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487" w:rsidRDefault="00726487" w:rsidP="00726487">
      <w:pPr>
        <w:rPr>
          <w:rStyle w:val="BookTitle"/>
          <w:spacing w:val="0"/>
        </w:rPr>
      </w:pPr>
      <w:bookmarkStart w:id="0" w:name="_Toc359995713"/>
    </w:p>
    <w:tbl>
      <w:tblPr>
        <w:tblW w:w="4716" w:type="pct"/>
        <w:tblLook w:val="04A0" w:firstRow="1" w:lastRow="0" w:firstColumn="1" w:lastColumn="0" w:noHBand="0" w:noVBand="1"/>
      </w:tblPr>
      <w:tblGrid>
        <w:gridCol w:w="8070"/>
      </w:tblGrid>
      <w:tr w:rsidR="00726487" w:rsidRPr="00B013ED" w:rsidTr="00FD22A0">
        <w:trPr>
          <w:trHeight w:val="2458"/>
        </w:trPr>
        <w:sdt>
          <w:sdtPr>
            <w:rPr>
              <w:rFonts w:eastAsiaTheme="majorEastAsia"/>
              <w:b/>
              <w:bCs w:val="0"/>
              <w:smallCaps/>
              <w:spacing w:val="5"/>
              <w:szCs w:val="24"/>
            </w:rPr>
            <w:alias w:val="Company"/>
            <w:id w:val="15524243"/>
            <w:dataBinding w:prefixMappings="xmlns:ns0='http://schemas.openxmlformats.org/officeDocument/2006/extended-properties'" w:xpath="/ns0:Properties[1]/ns0:Company[1]" w:storeItemID="{6668398D-A668-4E3E-A5EB-62B293D839F1}"/>
            <w:text/>
          </w:sdtPr>
          <w:sdtEndPr>
            <w:rPr>
              <w:sz w:val="56"/>
              <w:szCs w:val="56"/>
            </w:rPr>
          </w:sdtEndPr>
          <w:sdtContent>
            <w:tc>
              <w:tcPr>
                <w:tcW w:w="5000" w:type="pct"/>
              </w:tcPr>
              <w:p w:rsidR="00726487" w:rsidRPr="00D62B4D" w:rsidRDefault="0041305F" w:rsidP="00FD22A0">
                <w:pPr>
                  <w:pStyle w:val="table"/>
                  <w:jc w:val="center"/>
                  <w:rPr>
                    <w:rFonts w:eastAsiaTheme="majorEastAsia"/>
                    <w:b/>
                    <w:bCs w:val="0"/>
                  </w:rPr>
                </w:pPr>
                <w:r w:rsidRPr="00D62B4D">
                  <w:rPr>
                    <w:rFonts w:eastAsiaTheme="majorEastAsia"/>
                    <w:b/>
                    <w:bCs w:val="0"/>
                    <w:smallCaps/>
                    <w:spacing w:val="5"/>
                    <w:szCs w:val="24"/>
                  </w:rPr>
                  <w:t>University of Leeds</w:t>
                </w:r>
              </w:p>
            </w:tc>
          </w:sdtContent>
        </w:sdt>
      </w:tr>
      <w:tr w:rsidR="00726487" w:rsidRPr="00B013ED" w:rsidTr="00FD22A0">
        <w:trPr>
          <w:trHeight w:val="3150"/>
        </w:trPr>
        <w:tc>
          <w:tcPr>
            <w:tcW w:w="5000" w:type="pct"/>
          </w:tcPr>
          <w:p w:rsidR="00726487" w:rsidRPr="0074071A" w:rsidRDefault="00A9701A" w:rsidP="00EF36F8">
            <w:pPr>
              <w:pStyle w:val="NoSpacing"/>
              <w:jc w:val="center"/>
              <w:rPr>
                <w:rFonts w:asciiTheme="minorBidi" w:eastAsiaTheme="majorEastAsia" w:hAnsiTheme="minorBidi" w:cstheme="minorBidi"/>
                <w:b/>
                <w:sz w:val="80"/>
                <w:szCs w:val="80"/>
              </w:rPr>
            </w:pPr>
            <w:sdt>
              <w:sdtPr>
                <w:rPr>
                  <w:rFonts w:asciiTheme="minorBidi" w:eastAsiaTheme="majorEastAsia" w:hAnsiTheme="minorBidi" w:cstheme="minorBidi"/>
                  <w:b/>
                  <w:sz w:val="44"/>
                  <w:szCs w:val="44"/>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sidR="0041305F">
                  <w:rPr>
                    <w:rFonts w:asciiTheme="minorBidi" w:eastAsiaTheme="majorEastAsia" w:hAnsiTheme="minorBidi" w:cstheme="minorBidi"/>
                    <w:b/>
                    <w:sz w:val="44"/>
                    <w:szCs w:val="44"/>
                  </w:rPr>
                  <w:t>Studies on materials and techniques to enhance clinical outcomes for non-vital immature permanent incisors.</w:t>
                </w:r>
              </w:sdtContent>
            </w:sdt>
          </w:p>
        </w:tc>
      </w:tr>
      <w:tr w:rsidR="00726487" w:rsidRPr="00B013ED" w:rsidTr="00FD22A0">
        <w:trPr>
          <w:trHeight w:val="1389"/>
        </w:trPr>
        <w:tc>
          <w:tcPr>
            <w:tcW w:w="5000" w:type="pct"/>
          </w:tcPr>
          <w:p w:rsidR="00726487" w:rsidRPr="00B013ED" w:rsidRDefault="003C4940" w:rsidP="00250F94">
            <w:pPr>
              <w:pStyle w:val="NoSpacing"/>
              <w:jc w:val="center"/>
              <w:rPr>
                <w:rFonts w:asciiTheme="minorBidi" w:eastAsiaTheme="majorEastAsia" w:hAnsiTheme="minorBidi" w:cstheme="minorBidi"/>
                <w:sz w:val="44"/>
                <w:szCs w:val="44"/>
              </w:rPr>
            </w:pPr>
            <w:r w:rsidRPr="00B013ED">
              <w:rPr>
                <w:rFonts w:asciiTheme="minorBidi" w:eastAsiaTheme="majorEastAsia" w:hAnsiTheme="minorBidi" w:cstheme="minorBidi"/>
                <w:sz w:val="44"/>
                <w:szCs w:val="44"/>
              </w:rPr>
              <w:t xml:space="preserve"> </w:t>
            </w:r>
          </w:p>
          <w:p w:rsidR="00726487" w:rsidRPr="0074071A" w:rsidRDefault="00726487" w:rsidP="00772130">
            <w:pPr>
              <w:pStyle w:val="NoSpacing"/>
              <w:spacing w:after="120" w:line="360" w:lineRule="auto"/>
              <w:jc w:val="center"/>
              <w:rPr>
                <w:rFonts w:asciiTheme="minorBidi" w:hAnsiTheme="minorBidi" w:cstheme="minorBidi"/>
                <w:b/>
              </w:rPr>
            </w:pPr>
            <w:r w:rsidRPr="0074071A">
              <w:rPr>
                <w:rFonts w:asciiTheme="minorBidi" w:hAnsiTheme="minorBidi" w:cstheme="minorBidi"/>
                <w:b/>
              </w:rPr>
              <w:t xml:space="preserve">Submitted in accordance with the requirements of the degree of </w:t>
            </w:r>
            <w:r w:rsidR="006F2FA4" w:rsidRPr="006F2FA4">
              <w:rPr>
                <w:rFonts w:asciiTheme="minorBidi" w:hAnsiTheme="minorBidi" w:cstheme="minorBidi"/>
                <w:b/>
              </w:rPr>
              <w:t>Doctor of Philosophy</w:t>
            </w:r>
            <w:r w:rsidRPr="0074071A">
              <w:rPr>
                <w:rFonts w:asciiTheme="minorBidi" w:hAnsiTheme="minorBidi" w:cstheme="minorBidi"/>
                <w:b/>
              </w:rPr>
              <w:t xml:space="preserve"> by</w:t>
            </w:r>
          </w:p>
          <w:p w:rsidR="00726487" w:rsidRPr="00B013ED" w:rsidRDefault="00726487" w:rsidP="00250F94">
            <w:pPr>
              <w:pStyle w:val="NoSpacing"/>
              <w:spacing w:after="120" w:line="360" w:lineRule="auto"/>
              <w:jc w:val="both"/>
              <w:rPr>
                <w:rFonts w:asciiTheme="minorBidi" w:eastAsiaTheme="majorEastAsia" w:hAnsiTheme="minorBidi" w:cstheme="minorBidi"/>
                <w:szCs w:val="24"/>
              </w:rPr>
            </w:pPr>
          </w:p>
        </w:tc>
      </w:tr>
      <w:tr w:rsidR="00726487" w:rsidRPr="00B013ED" w:rsidTr="00FD22A0">
        <w:trPr>
          <w:trHeight w:val="398"/>
        </w:trPr>
        <w:tc>
          <w:tcPr>
            <w:tcW w:w="5000" w:type="pct"/>
          </w:tcPr>
          <w:p w:rsidR="00726487" w:rsidRPr="00B013ED" w:rsidRDefault="00726487" w:rsidP="00250F94">
            <w:pPr>
              <w:pStyle w:val="NoSpacing"/>
              <w:jc w:val="center"/>
              <w:rPr>
                <w:rFonts w:asciiTheme="minorBidi" w:hAnsiTheme="minorBidi" w:cstheme="minorBidi"/>
              </w:rPr>
            </w:pPr>
            <w:r w:rsidRPr="00B013ED">
              <w:rPr>
                <w:rFonts w:asciiTheme="minorBidi" w:hAnsiTheme="minorBidi" w:cstheme="minorBidi"/>
              </w:rPr>
              <w:t xml:space="preserve"> </w:t>
            </w:r>
          </w:p>
        </w:tc>
      </w:tr>
      <w:tr w:rsidR="00726487" w:rsidRPr="00B013ED" w:rsidTr="00FD22A0">
        <w:trPr>
          <w:trHeight w:val="134"/>
        </w:trPr>
        <w:sdt>
          <w:sdtPr>
            <w:rPr>
              <w:rFonts w:asciiTheme="minorBidi" w:hAnsiTheme="minorBidi" w:cstheme="minorBidi"/>
              <w:b/>
              <w:bCs/>
              <w:sz w:val="28"/>
              <w:szCs w:val="28"/>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tcPr>
              <w:p w:rsidR="00726487" w:rsidRPr="006F2FA4" w:rsidRDefault="006F2FA4" w:rsidP="006F2FA4">
                <w:pPr>
                  <w:pStyle w:val="NoSpacing"/>
                  <w:jc w:val="center"/>
                  <w:rPr>
                    <w:rFonts w:asciiTheme="minorBidi" w:hAnsiTheme="minorBidi" w:cstheme="minorBidi"/>
                    <w:b/>
                    <w:bCs/>
                    <w:sz w:val="28"/>
                    <w:szCs w:val="28"/>
                  </w:rPr>
                </w:pPr>
                <w:r w:rsidRPr="006F2FA4">
                  <w:rPr>
                    <w:rFonts w:asciiTheme="minorBidi" w:hAnsiTheme="minorBidi" w:cstheme="minorBidi"/>
                    <w:b/>
                    <w:bCs/>
                    <w:sz w:val="28"/>
                    <w:szCs w:val="28"/>
                  </w:rPr>
                  <w:t xml:space="preserve">2013 </w:t>
                </w:r>
                <w:r>
                  <w:rPr>
                    <w:rFonts w:asciiTheme="minorBidi" w:hAnsiTheme="minorBidi" w:cstheme="minorBidi"/>
                    <w:b/>
                    <w:bCs/>
                    <w:sz w:val="28"/>
                    <w:szCs w:val="28"/>
                  </w:rPr>
                  <w:t xml:space="preserve">THE </w:t>
                </w:r>
                <w:r w:rsidRPr="006F2FA4">
                  <w:rPr>
                    <w:rFonts w:asciiTheme="minorBidi" w:hAnsiTheme="minorBidi" w:cstheme="minorBidi"/>
                    <w:b/>
                    <w:bCs/>
                    <w:sz w:val="28"/>
                    <w:szCs w:val="28"/>
                  </w:rPr>
                  <w:t xml:space="preserve">UNIVERSITY OF LEEDS WAGEH </w:t>
                </w:r>
                <w:r>
                  <w:rPr>
                    <w:rFonts w:asciiTheme="minorBidi" w:hAnsiTheme="minorBidi" w:cstheme="minorBidi"/>
                    <w:b/>
                    <w:bCs/>
                    <w:sz w:val="28"/>
                    <w:szCs w:val="28"/>
                  </w:rPr>
                  <w:t xml:space="preserve">ALI </w:t>
                </w:r>
                <w:r w:rsidRPr="006F2FA4">
                  <w:rPr>
                    <w:rFonts w:asciiTheme="minorBidi" w:hAnsiTheme="minorBidi" w:cstheme="minorBidi"/>
                    <w:b/>
                    <w:bCs/>
                    <w:sz w:val="28"/>
                    <w:szCs w:val="28"/>
                  </w:rPr>
                  <w:t>TWATI</w:t>
                </w:r>
              </w:p>
            </w:tc>
          </w:sdtContent>
        </w:sdt>
      </w:tr>
      <w:tr w:rsidR="00726487" w:rsidRPr="00B013ED" w:rsidTr="00FD22A0">
        <w:trPr>
          <w:trHeight w:val="1273"/>
        </w:trPr>
        <w:tc>
          <w:tcPr>
            <w:tcW w:w="5000" w:type="pct"/>
          </w:tcPr>
          <w:p w:rsidR="00726487" w:rsidRPr="00B013ED" w:rsidRDefault="00726487" w:rsidP="00250F94">
            <w:pPr>
              <w:pStyle w:val="NoSpacing"/>
              <w:jc w:val="center"/>
              <w:rPr>
                <w:rFonts w:asciiTheme="minorBidi" w:hAnsiTheme="minorBidi" w:cstheme="minorBidi"/>
                <w:b/>
                <w:bCs/>
              </w:rPr>
            </w:pPr>
          </w:p>
          <w:p w:rsidR="00726487" w:rsidRPr="00B013ED" w:rsidRDefault="00726487" w:rsidP="00250F94">
            <w:pPr>
              <w:pStyle w:val="NoSpacing"/>
              <w:spacing w:after="120" w:line="360" w:lineRule="auto"/>
              <w:jc w:val="center"/>
              <w:rPr>
                <w:rFonts w:asciiTheme="minorBidi" w:hAnsiTheme="minorBidi" w:cstheme="minorBidi"/>
                <w:b/>
                <w:bCs/>
              </w:rPr>
            </w:pPr>
          </w:p>
          <w:p w:rsidR="00726487" w:rsidRPr="00B013ED" w:rsidRDefault="00726487" w:rsidP="006F2FA4">
            <w:pPr>
              <w:pStyle w:val="NoSpacing"/>
              <w:spacing w:after="120" w:line="360" w:lineRule="auto"/>
              <w:jc w:val="center"/>
              <w:rPr>
                <w:rFonts w:asciiTheme="minorBidi" w:hAnsiTheme="minorBidi" w:cstheme="minorBidi"/>
                <w:b/>
                <w:bCs/>
              </w:rPr>
            </w:pPr>
            <w:r w:rsidRPr="00B013ED">
              <w:rPr>
                <w:rFonts w:asciiTheme="minorBidi" w:hAnsiTheme="minorBidi" w:cstheme="minorBidi"/>
                <w:b/>
                <w:bCs/>
              </w:rPr>
              <w:t xml:space="preserve">  </w:t>
            </w:r>
          </w:p>
          <w:p w:rsidR="00726487" w:rsidRPr="00B013ED" w:rsidRDefault="00726487" w:rsidP="00250F94">
            <w:pPr>
              <w:pStyle w:val="NoSpacing"/>
              <w:spacing w:after="120" w:line="360" w:lineRule="auto"/>
              <w:jc w:val="center"/>
              <w:rPr>
                <w:rFonts w:asciiTheme="minorBidi" w:hAnsiTheme="minorBidi" w:cstheme="minorBidi"/>
                <w:b/>
                <w:bCs/>
              </w:rPr>
            </w:pPr>
          </w:p>
        </w:tc>
      </w:tr>
    </w:tbl>
    <w:p w:rsidR="00E06137" w:rsidRDefault="006F2FA4" w:rsidP="0074071A">
      <w:pPr>
        <w:jc w:val="center"/>
        <w:rPr>
          <w:rStyle w:val="BookTitle"/>
          <w:spacing w:val="0"/>
          <w:sz w:val="28"/>
        </w:rPr>
        <w:sectPr w:rsidR="00E06137" w:rsidSect="001376CF">
          <w:headerReference w:type="default" r:id="rId9"/>
          <w:pgSz w:w="11906" w:h="16838"/>
          <w:pgMar w:top="1440" w:right="1298" w:bottom="1151" w:left="2268" w:header="709" w:footer="709" w:gutter="0"/>
          <w:pgNumType w:fmt="upperRoman" w:start="1"/>
          <w:cols w:space="708"/>
          <w:titlePg/>
          <w:docGrid w:linePitch="360"/>
        </w:sectPr>
      </w:pPr>
      <w:r w:rsidRPr="006F2FA4">
        <w:rPr>
          <w:rStyle w:val="BookTitle"/>
          <w:b/>
          <w:bCs w:val="0"/>
          <w:spacing w:val="0"/>
          <w:sz w:val="28"/>
        </w:rPr>
        <w:t>This copy has been supplied on the understanding that it is copyright material and that no quotation from the thesis may be published without proper acknowledgement.</w:t>
      </w:r>
    </w:p>
    <w:p w:rsidR="000A1EEA" w:rsidRPr="00F224D6" w:rsidRDefault="000A1EEA" w:rsidP="00F224D6">
      <w:pPr>
        <w:pStyle w:val="Heading1"/>
        <w:spacing w:line="480" w:lineRule="auto"/>
        <w:jc w:val="center"/>
        <w:rPr>
          <w:szCs w:val="36"/>
        </w:rPr>
      </w:pPr>
      <w:bookmarkStart w:id="1" w:name="_Toc370819171"/>
      <w:r w:rsidRPr="00D072AB">
        <w:rPr>
          <w:szCs w:val="36"/>
        </w:rPr>
        <w:lastRenderedPageBreak/>
        <w:t>Abstract of the studies in this Thesis</w:t>
      </w:r>
      <w:bookmarkEnd w:id="1"/>
    </w:p>
    <w:p w:rsidR="000A1EEA" w:rsidRPr="000A1EEA" w:rsidRDefault="000A1EEA" w:rsidP="00F224D6">
      <w:pPr>
        <w:suppressAutoHyphens/>
        <w:autoSpaceDN w:val="0"/>
        <w:spacing w:after="120" w:line="480" w:lineRule="auto"/>
        <w:jc w:val="both"/>
        <w:textAlignment w:val="baseline"/>
        <w:rPr>
          <w:rFonts w:ascii="Arial" w:eastAsia="SimSun" w:hAnsi="Arial" w:cs="Arial"/>
          <w:szCs w:val="24"/>
        </w:rPr>
      </w:pPr>
      <w:r w:rsidRPr="000A1EEA">
        <w:rPr>
          <w:rFonts w:ascii="Arial" w:eastAsia="SimSun" w:hAnsi="Arial" w:cs="Arial"/>
          <w:szCs w:val="24"/>
        </w:rPr>
        <w:t>In this thesis three studies are presented all aimed at enhancing outcomes for the endod</w:t>
      </w:r>
      <w:r w:rsidR="00DB7090">
        <w:rPr>
          <w:rFonts w:ascii="Arial" w:eastAsia="SimSun" w:hAnsi="Arial" w:cs="Arial"/>
          <w:szCs w:val="24"/>
        </w:rPr>
        <w:t>o</w:t>
      </w:r>
      <w:r w:rsidRPr="000A1EEA">
        <w:rPr>
          <w:rFonts w:ascii="Arial" w:eastAsia="SimSun" w:hAnsi="Arial" w:cs="Arial"/>
          <w:szCs w:val="24"/>
        </w:rPr>
        <w:t>ntic management of non-vital immature permanent incisors.</w:t>
      </w:r>
    </w:p>
    <w:p w:rsidR="000A1EEA" w:rsidRPr="00173AA8" w:rsidRDefault="000A1EEA" w:rsidP="00F224D6">
      <w:pPr>
        <w:suppressAutoHyphens/>
        <w:autoSpaceDN w:val="0"/>
        <w:spacing w:after="120" w:line="480" w:lineRule="auto"/>
        <w:jc w:val="both"/>
        <w:textAlignment w:val="baseline"/>
        <w:rPr>
          <w:rFonts w:ascii="Arial" w:eastAsia="SimSun" w:hAnsi="Arial" w:cs="Arial"/>
          <w:b/>
          <w:bCs/>
          <w:szCs w:val="24"/>
        </w:rPr>
      </w:pPr>
      <w:proofErr w:type="gramStart"/>
      <w:r w:rsidRPr="00173AA8">
        <w:rPr>
          <w:rFonts w:ascii="Arial" w:eastAsia="SimSun" w:hAnsi="Arial" w:cs="Arial"/>
          <w:b/>
          <w:bCs/>
          <w:szCs w:val="24"/>
        </w:rPr>
        <w:t>Study 1.</w:t>
      </w:r>
      <w:proofErr w:type="gramEnd"/>
    </w:p>
    <w:p w:rsidR="00D52319" w:rsidRPr="00B013ED" w:rsidRDefault="00D52319" w:rsidP="00F224D6">
      <w:pPr>
        <w:spacing w:line="480" w:lineRule="auto"/>
        <w:jc w:val="both"/>
        <w:rPr>
          <w:rFonts w:cstheme="minorBidi"/>
        </w:rPr>
      </w:pPr>
      <w:r w:rsidRPr="00173AA8">
        <w:rPr>
          <w:rFonts w:cstheme="minorBidi"/>
          <w:b/>
          <w:bCs/>
        </w:rPr>
        <w:t>Aim:</w:t>
      </w:r>
      <w:r w:rsidRPr="00B013ED">
        <w:rPr>
          <w:rFonts w:cstheme="minorBidi"/>
        </w:rPr>
        <w:t xml:space="preserve"> </w:t>
      </w:r>
      <w:r>
        <w:rPr>
          <w:rFonts w:cstheme="minorBidi"/>
        </w:rPr>
        <w:t xml:space="preserve">To </w:t>
      </w:r>
      <w:r w:rsidRPr="00B013ED">
        <w:rPr>
          <w:rFonts w:cstheme="minorBidi"/>
        </w:rPr>
        <w:t>study the effect of non-setting calcium hydroxide (NSCH) and mineral trioxide aggregate (MTA) on mechanical properties of dentine.</w:t>
      </w:r>
    </w:p>
    <w:p w:rsidR="00D52319" w:rsidRPr="00B013ED" w:rsidRDefault="00D52319" w:rsidP="00F224D6">
      <w:pPr>
        <w:spacing w:line="480" w:lineRule="auto"/>
        <w:jc w:val="both"/>
        <w:rPr>
          <w:rFonts w:cstheme="minorBidi"/>
        </w:rPr>
      </w:pPr>
      <w:r w:rsidRPr="00173AA8">
        <w:rPr>
          <w:rFonts w:cstheme="minorBidi"/>
          <w:b/>
          <w:bCs/>
        </w:rPr>
        <w:t>Methodology:</w:t>
      </w:r>
      <w:r w:rsidRPr="00B013ED">
        <w:rPr>
          <w:rFonts w:cstheme="minorBidi"/>
        </w:rPr>
        <w:t xml:space="preserve"> </w:t>
      </w:r>
      <w:r>
        <w:rPr>
          <w:rFonts w:cstheme="minorBidi"/>
        </w:rPr>
        <w:t>Approval was obtained from the Tissue bank of the Leeds Dental Institute for the use of human teeth for this study.  Twenty-seven</w:t>
      </w:r>
      <w:r w:rsidRPr="00B013ED">
        <w:rPr>
          <w:rFonts w:cstheme="minorBidi"/>
        </w:rPr>
        <w:t xml:space="preserve"> human </w:t>
      </w:r>
      <w:r>
        <w:rPr>
          <w:rFonts w:cstheme="minorBidi"/>
        </w:rPr>
        <w:t xml:space="preserve">premolar teeth were sectioned to give a total of 54 dentine slabs.  </w:t>
      </w:r>
      <w:r w:rsidRPr="00B013ED">
        <w:rPr>
          <w:rFonts w:cstheme="minorBidi"/>
        </w:rPr>
        <w:t>Nine slabs used in each group</w:t>
      </w:r>
      <w:r>
        <w:rPr>
          <w:rFonts w:cstheme="minorBidi"/>
        </w:rPr>
        <w:t xml:space="preserve"> for each of the two time periods: 3 months and 8 months</w:t>
      </w:r>
      <w:r w:rsidRPr="00B013ED">
        <w:rPr>
          <w:rFonts w:cstheme="minorBidi"/>
        </w:rPr>
        <w:t xml:space="preserve">. A thin layer of NSCH or MTA was applied </w:t>
      </w:r>
      <w:r>
        <w:rPr>
          <w:rFonts w:cstheme="minorBidi"/>
        </w:rPr>
        <w:t>t</w:t>
      </w:r>
      <w:r w:rsidRPr="00B013ED">
        <w:rPr>
          <w:rFonts w:cstheme="minorBidi"/>
        </w:rPr>
        <w:t>o the slabs, whilst the control group had no application of a medicament. The total period of the study was eight months.  Dentine fracture resistance was measured using nano</w:t>
      </w:r>
      <w:r>
        <w:rPr>
          <w:rFonts w:cstheme="minorBidi"/>
        </w:rPr>
        <w:t>-</w:t>
      </w:r>
      <w:r w:rsidRPr="00B013ED">
        <w:rPr>
          <w:rFonts w:cstheme="minorBidi"/>
        </w:rPr>
        <w:t>indentation and by impact test, after which the slabs were Map Scanned for softening</w:t>
      </w:r>
      <w:r>
        <w:rPr>
          <w:rFonts w:cstheme="minorBidi"/>
        </w:rPr>
        <w:t xml:space="preserve"> after 3 months and then at 8 months</w:t>
      </w:r>
      <w:r w:rsidRPr="00B013ED">
        <w:rPr>
          <w:rFonts w:cstheme="minorBidi"/>
        </w:rPr>
        <w:t xml:space="preserve">. </w:t>
      </w:r>
    </w:p>
    <w:p w:rsidR="00D52319" w:rsidRPr="00B013ED" w:rsidRDefault="00D52319" w:rsidP="00D52319">
      <w:pPr>
        <w:spacing w:line="480" w:lineRule="auto"/>
        <w:jc w:val="both"/>
        <w:rPr>
          <w:rFonts w:cstheme="minorBidi"/>
        </w:rPr>
      </w:pPr>
      <w:r w:rsidRPr="00173AA8">
        <w:rPr>
          <w:rFonts w:cstheme="minorBidi"/>
          <w:b/>
          <w:bCs/>
        </w:rPr>
        <w:t>Results:</w:t>
      </w:r>
      <w:r w:rsidRPr="00B013ED">
        <w:rPr>
          <w:rFonts w:cstheme="minorBidi"/>
        </w:rPr>
        <w:t xml:space="preserve"> Impact test showed a significant reduction in the fracture resistance of dentine (p&lt;0.001)</w:t>
      </w:r>
      <w:r>
        <w:rPr>
          <w:rFonts w:cstheme="minorBidi"/>
        </w:rPr>
        <w:t xml:space="preserve"> after 3 and 8 months of application of MTA and NSCH compared with the control group</w:t>
      </w:r>
      <w:r w:rsidRPr="00B013ED">
        <w:rPr>
          <w:rFonts w:cstheme="minorBidi"/>
        </w:rPr>
        <w:t xml:space="preserve">.  MTA application had the worst effect on dentine followed by NSCH and control. Also the map scan showed softer areas in </w:t>
      </w:r>
      <w:r>
        <w:rPr>
          <w:rFonts w:cstheme="minorBidi"/>
        </w:rPr>
        <w:t xml:space="preserve">the </w:t>
      </w:r>
      <w:r w:rsidRPr="00B013ED">
        <w:rPr>
          <w:rFonts w:cstheme="minorBidi"/>
        </w:rPr>
        <w:t xml:space="preserve">MTA group than the other groups. </w:t>
      </w:r>
    </w:p>
    <w:p w:rsidR="000A1EEA" w:rsidRPr="003F6BC8" w:rsidRDefault="00D52319" w:rsidP="003F6BC8">
      <w:pPr>
        <w:spacing w:line="480" w:lineRule="auto"/>
        <w:jc w:val="both"/>
        <w:rPr>
          <w:rFonts w:cstheme="minorBidi"/>
        </w:rPr>
      </w:pPr>
      <w:r w:rsidRPr="00173AA8">
        <w:rPr>
          <w:rFonts w:cstheme="minorBidi"/>
          <w:b/>
          <w:bCs/>
        </w:rPr>
        <w:t>Conclusion:</w:t>
      </w:r>
      <w:r w:rsidRPr="00B013ED">
        <w:rPr>
          <w:rFonts w:cstheme="minorBidi"/>
        </w:rPr>
        <w:t xml:space="preserve"> There was a significant time dependant reduction in the hardness of dentine with NSCH and MTA application.</w:t>
      </w:r>
      <w:r>
        <w:br w:type="page"/>
      </w:r>
    </w:p>
    <w:p w:rsidR="000A1EEA" w:rsidRPr="00173AA8" w:rsidRDefault="000A1EEA" w:rsidP="00173AA8">
      <w:pPr>
        <w:suppressAutoHyphens/>
        <w:autoSpaceDN w:val="0"/>
        <w:spacing w:after="120" w:line="480" w:lineRule="auto"/>
        <w:jc w:val="both"/>
        <w:textAlignment w:val="baseline"/>
        <w:rPr>
          <w:rFonts w:ascii="Arial" w:eastAsia="SimSun" w:hAnsi="Arial" w:cs="Arial"/>
          <w:b/>
          <w:bCs/>
          <w:szCs w:val="24"/>
        </w:rPr>
      </w:pPr>
      <w:r w:rsidRPr="00173AA8">
        <w:rPr>
          <w:rFonts w:ascii="Arial" w:eastAsia="SimSun" w:hAnsi="Arial" w:cs="Arial"/>
          <w:b/>
          <w:bCs/>
          <w:szCs w:val="24"/>
        </w:rPr>
        <w:lastRenderedPageBreak/>
        <w:t>Study 2</w:t>
      </w:r>
    </w:p>
    <w:p w:rsidR="00173AA8" w:rsidRPr="00173AA8" w:rsidRDefault="00173AA8" w:rsidP="00173AA8">
      <w:pPr>
        <w:suppressAutoHyphens/>
        <w:autoSpaceDN w:val="0"/>
        <w:spacing w:after="120" w:line="480" w:lineRule="auto"/>
        <w:jc w:val="both"/>
        <w:textAlignment w:val="baseline"/>
        <w:rPr>
          <w:rFonts w:ascii="Arial" w:eastAsia="SimSun" w:hAnsi="Arial" w:cs="Arial"/>
          <w:szCs w:val="24"/>
        </w:rPr>
      </w:pPr>
      <w:r w:rsidRPr="00173AA8">
        <w:rPr>
          <w:rFonts w:ascii="Arial" w:eastAsia="SimSun" w:hAnsi="Arial" w:cs="Arial"/>
          <w:b/>
          <w:bCs/>
          <w:szCs w:val="24"/>
        </w:rPr>
        <w:t>The aim</w:t>
      </w:r>
      <w:r w:rsidRPr="00173AA8">
        <w:rPr>
          <w:rFonts w:ascii="Arial" w:eastAsia="SimSun" w:hAnsi="Arial" w:cs="Arial"/>
          <w:szCs w:val="24"/>
        </w:rPr>
        <w:t xml:space="preserve">: This study was undertaken to evaluate the most effective intra canal medicament against five bacteria commonly implicated in causation of endodontic infections.   </w:t>
      </w:r>
    </w:p>
    <w:p w:rsidR="00173AA8" w:rsidRPr="00173AA8" w:rsidRDefault="00173AA8" w:rsidP="00173AA8">
      <w:pPr>
        <w:suppressAutoHyphens/>
        <w:autoSpaceDN w:val="0"/>
        <w:spacing w:after="120" w:line="480" w:lineRule="auto"/>
        <w:jc w:val="both"/>
        <w:textAlignment w:val="baseline"/>
        <w:rPr>
          <w:rFonts w:ascii="Arial" w:eastAsia="SimSun" w:hAnsi="Arial" w:cs="Arial"/>
          <w:szCs w:val="24"/>
        </w:rPr>
      </w:pPr>
      <w:r w:rsidRPr="00173AA8">
        <w:rPr>
          <w:rFonts w:ascii="Arial" w:eastAsia="SimSun" w:hAnsi="Arial" w:cs="Arial"/>
          <w:b/>
          <w:bCs/>
          <w:szCs w:val="24"/>
        </w:rPr>
        <w:t xml:space="preserve">Methodology: </w:t>
      </w:r>
      <w:r w:rsidRPr="00173AA8">
        <w:rPr>
          <w:rFonts w:ascii="Arial" w:eastAsia="SimSun" w:hAnsi="Arial" w:cs="Arial"/>
          <w:bCs/>
          <w:szCs w:val="24"/>
        </w:rPr>
        <w:t>F</w:t>
      </w:r>
      <w:r w:rsidRPr="00173AA8">
        <w:rPr>
          <w:rFonts w:ascii="Arial" w:eastAsia="SimSun" w:hAnsi="Arial" w:cs="Arial"/>
          <w:szCs w:val="24"/>
        </w:rPr>
        <w:t xml:space="preserve">ive bacteria, namely, </w:t>
      </w:r>
      <w:r w:rsidRPr="00173AA8">
        <w:rPr>
          <w:rFonts w:ascii="Arial" w:eastAsia="SimSun" w:hAnsi="Arial" w:cs="Arial"/>
          <w:bCs/>
          <w:i/>
          <w:szCs w:val="24"/>
        </w:rPr>
        <w:t>Actinomyces odontolyticus</w:t>
      </w:r>
      <w:r w:rsidRPr="00173AA8">
        <w:rPr>
          <w:rFonts w:ascii="Arial" w:eastAsia="SimSun" w:hAnsi="Arial" w:cs="Arial"/>
          <w:bCs/>
          <w:szCs w:val="24"/>
        </w:rPr>
        <w:t xml:space="preserve"> (NCTC 9335) </w:t>
      </w:r>
      <w:r w:rsidRPr="00173AA8">
        <w:rPr>
          <w:rFonts w:ascii="Arial" w:eastAsia="SimSun" w:hAnsi="Arial" w:cs="Arial"/>
          <w:bCs/>
          <w:i/>
          <w:szCs w:val="24"/>
        </w:rPr>
        <w:t xml:space="preserve">Porphyromonas </w:t>
      </w:r>
      <w:r w:rsidRPr="00173AA8">
        <w:rPr>
          <w:rFonts w:ascii="Arial" w:eastAsia="SimSun" w:hAnsi="Arial" w:cs="Arial"/>
          <w:i/>
          <w:szCs w:val="24"/>
        </w:rPr>
        <w:t>gingivalis</w:t>
      </w:r>
      <w:r w:rsidRPr="00173AA8">
        <w:rPr>
          <w:rFonts w:ascii="Arial" w:eastAsia="SimSun" w:hAnsi="Arial" w:cs="Arial"/>
          <w:bCs/>
          <w:i/>
          <w:szCs w:val="24"/>
        </w:rPr>
        <w:t xml:space="preserve"> </w:t>
      </w:r>
      <w:r w:rsidRPr="00173AA8">
        <w:rPr>
          <w:rFonts w:ascii="Arial" w:eastAsia="SimSun" w:hAnsi="Arial" w:cs="Arial"/>
          <w:bCs/>
          <w:szCs w:val="24"/>
        </w:rPr>
        <w:t xml:space="preserve">(W50), </w:t>
      </w:r>
      <w:r w:rsidRPr="00173AA8">
        <w:rPr>
          <w:rFonts w:ascii="Arial" w:eastAsia="SimSun" w:hAnsi="Arial" w:cs="Arial"/>
          <w:i/>
          <w:szCs w:val="24"/>
        </w:rPr>
        <w:t>Fusobacterium nucleatum</w:t>
      </w:r>
      <w:r w:rsidRPr="00173AA8">
        <w:rPr>
          <w:rFonts w:ascii="Arial" w:eastAsia="SimSun" w:hAnsi="Arial" w:cs="Arial"/>
          <w:szCs w:val="24"/>
        </w:rPr>
        <w:t xml:space="preserve"> (ACTC 10953), </w:t>
      </w:r>
      <w:r w:rsidRPr="00173AA8">
        <w:rPr>
          <w:rFonts w:ascii="Arial" w:eastAsia="SimSun" w:hAnsi="Arial" w:cs="Arial"/>
          <w:bCs/>
          <w:i/>
          <w:szCs w:val="24"/>
        </w:rPr>
        <w:t xml:space="preserve">Escherichia coli </w:t>
      </w:r>
      <w:r w:rsidRPr="00173AA8">
        <w:rPr>
          <w:rFonts w:ascii="Arial" w:eastAsia="SimSun" w:hAnsi="Arial" w:cs="Arial"/>
          <w:bCs/>
          <w:szCs w:val="24"/>
        </w:rPr>
        <w:t>(NCTC 11954) and Enterococcus</w:t>
      </w:r>
      <w:r w:rsidRPr="00173AA8">
        <w:rPr>
          <w:rFonts w:ascii="Arial" w:eastAsia="SimSun" w:hAnsi="Arial" w:cs="Arial"/>
          <w:bCs/>
          <w:i/>
          <w:szCs w:val="24"/>
        </w:rPr>
        <w:t xml:space="preserve"> faecalis </w:t>
      </w:r>
      <w:r w:rsidRPr="00173AA8">
        <w:rPr>
          <w:rFonts w:ascii="Arial" w:eastAsia="SimSun" w:hAnsi="Arial" w:cs="Arial"/>
          <w:bCs/>
          <w:szCs w:val="24"/>
        </w:rPr>
        <w:t>(NCTC 755) were selected for this study.  The test materials used to evaluate their effect against the chosen bacteria were calcium hydroxide (CH), mineral trioxide aggregate (MTA) and the recently advocated antibiotics (Minocycline, Metronidazole and Ciprofloxicillin), individually and as a Triple mixture</w:t>
      </w:r>
      <w:r w:rsidRPr="00173AA8">
        <w:rPr>
          <w:rFonts w:ascii="Arial" w:eastAsia="SimSun" w:hAnsi="Arial" w:cs="Arial"/>
          <w:szCs w:val="24"/>
        </w:rPr>
        <w:t xml:space="preserve">. </w:t>
      </w:r>
      <w:r w:rsidRPr="00173AA8">
        <w:rPr>
          <w:rFonts w:ascii="Arial" w:eastAsia="SimSun" w:hAnsi="Arial" w:cs="Arial"/>
          <w:bCs/>
          <w:i/>
          <w:szCs w:val="24"/>
        </w:rPr>
        <w:t>E. coli</w:t>
      </w:r>
      <w:r w:rsidRPr="00173AA8">
        <w:rPr>
          <w:rFonts w:ascii="Arial" w:eastAsia="SimSun" w:hAnsi="Arial" w:cs="Arial"/>
          <w:bCs/>
          <w:szCs w:val="24"/>
        </w:rPr>
        <w:t xml:space="preserve"> and </w:t>
      </w:r>
      <w:r w:rsidRPr="00173AA8">
        <w:rPr>
          <w:rFonts w:ascii="Arial" w:eastAsia="SimSun" w:hAnsi="Arial" w:cs="Arial"/>
          <w:bCs/>
          <w:i/>
          <w:szCs w:val="24"/>
        </w:rPr>
        <w:t>E</w:t>
      </w:r>
      <w:r w:rsidRPr="00173AA8">
        <w:rPr>
          <w:rFonts w:ascii="Arial" w:eastAsia="SimSun" w:hAnsi="Arial" w:cs="Arial"/>
          <w:bCs/>
          <w:szCs w:val="24"/>
        </w:rPr>
        <w:t xml:space="preserve">. </w:t>
      </w:r>
      <w:r w:rsidRPr="00173AA8">
        <w:rPr>
          <w:rFonts w:ascii="Arial" w:eastAsia="SimSun" w:hAnsi="Arial" w:cs="Arial"/>
          <w:bCs/>
          <w:i/>
          <w:szCs w:val="24"/>
        </w:rPr>
        <w:t xml:space="preserve">faecalis </w:t>
      </w:r>
      <w:r w:rsidRPr="00173AA8">
        <w:rPr>
          <w:rFonts w:ascii="Arial" w:eastAsia="SimSun" w:hAnsi="Arial" w:cs="Arial"/>
          <w:szCs w:val="24"/>
        </w:rPr>
        <w:t>were grown in Brain Heart Infusion (BHI) broth under an atmosphere of 10% CO</w:t>
      </w:r>
      <w:r w:rsidRPr="00173AA8">
        <w:rPr>
          <w:rFonts w:ascii="Arial" w:eastAsia="SimSun" w:hAnsi="Arial" w:cs="Arial"/>
          <w:szCs w:val="24"/>
          <w:vertAlign w:val="subscript"/>
        </w:rPr>
        <w:t>2</w:t>
      </w:r>
      <w:r w:rsidRPr="00173AA8">
        <w:rPr>
          <w:rFonts w:ascii="Arial" w:eastAsia="SimSun" w:hAnsi="Arial" w:cs="Arial"/>
          <w:szCs w:val="24"/>
        </w:rPr>
        <w:t xml:space="preserve"> + air and incubated at 37ºC.  </w:t>
      </w:r>
      <w:r w:rsidRPr="00173AA8">
        <w:rPr>
          <w:rFonts w:ascii="Arial" w:eastAsia="SimSun" w:hAnsi="Arial" w:cs="Arial"/>
          <w:bCs/>
          <w:i/>
          <w:szCs w:val="24"/>
        </w:rPr>
        <w:t>P g</w:t>
      </w:r>
      <w:r w:rsidRPr="00173AA8">
        <w:rPr>
          <w:rFonts w:ascii="Arial" w:eastAsia="SimSun" w:hAnsi="Arial" w:cs="Arial"/>
          <w:i/>
          <w:szCs w:val="24"/>
        </w:rPr>
        <w:t xml:space="preserve">ingivalis, </w:t>
      </w:r>
      <w:r w:rsidRPr="00173AA8">
        <w:rPr>
          <w:rFonts w:ascii="Arial" w:eastAsia="SimSun" w:hAnsi="Arial" w:cs="Arial"/>
          <w:szCs w:val="24"/>
        </w:rPr>
        <w:t xml:space="preserve"> </w:t>
      </w:r>
      <w:r w:rsidRPr="00173AA8">
        <w:rPr>
          <w:rFonts w:ascii="Arial" w:eastAsia="SimSun" w:hAnsi="Arial" w:cs="Arial"/>
          <w:i/>
          <w:szCs w:val="24"/>
        </w:rPr>
        <w:t xml:space="preserve">F. nucleatum </w:t>
      </w:r>
      <w:r w:rsidRPr="00173AA8">
        <w:rPr>
          <w:rFonts w:ascii="Arial" w:eastAsia="SimSun" w:hAnsi="Arial" w:cs="Arial"/>
          <w:szCs w:val="24"/>
        </w:rPr>
        <w:t>and</w:t>
      </w:r>
      <w:r w:rsidRPr="00173AA8">
        <w:rPr>
          <w:rFonts w:ascii="Arial" w:eastAsia="SimSun" w:hAnsi="Arial" w:cs="Arial"/>
          <w:i/>
          <w:szCs w:val="24"/>
        </w:rPr>
        <w:t xml:space="preserve"> A. odontolytics w</w:t>
      </w:r>
      <w:r w:rsidRPr="00173AA8">
        <w:rPr>
          <w:rFonts w:ascii="Arial" w:eastAsia="SimSun" w:hAnsi="Arial" w:cs="Arial"/>
          <w:szCs w:val="24"/>
        </w:rPr>
        <w:t>ere grown in BHI broth supplementd with haemin and menadione at a final concentration of 5 µg/ml and 1 µg/µl respectively, all three bacteria were incubated at 37ºC under anaerobic conditions (80% N</w:t>
      </w:r>
      <w:r w:rsidRPr="00173AA8">
        <w:rPr>
          <w:rFonts w:ascii="Arial" w:eastAsia="SimSun" w:hAnsi="Arial" w:cs="Arial"/>
          <w:szCs w:val="24"/>
          <w:vertAlign w:val="subscript"/>
        </w:rPr>
        <w:t>2</w:t>
      </w:r>
      <w:r w:rsidRPr="00173AA8">
        <w:rPr>
          <w:rFonts w:ascii="Arial" w:eastAsia="SimSun" w:hAnsi="Arial" w:cs="Arial"/>
          <w:szCs w:val="24"/>
        </w:rPr>
        <w:t>, 10% H</w:t>
      </w:r>
      <w:r w:rsidRPr="00173AA8">
        <w:rPr>
          <w:rFonts w:ascii="Arial" w:eastAsia="SimSun" w:hAnsi="Arial" w:cs="Arial"/>
          <w:szCs w:val="24"/>
          <w:vertAlign w:val="subscript"/>
        </w:rPr>
        <w:t>2</w:t>
      </w:r>
      <w:r w:rsidRPr="00173AA8">
        <w:rPr>
          <w:rFonts w:ascii="Arial" w:eastAsia="SimSun" w:hAnsi="Arial" w:cs="Arial"/>
          <w:szCs w:val="24"/>
        </w:rPr>
        <w:t xml:space="preserve"> and 10% CO</w:t>
      </w:r>
      <w:r w:rsidRPr="00173AA8">
        <w:rPr>
          <w:rFonts w:ascii="Arial" w:eastAsia="SimSun" w:hAnsi="Arial" w:cs="Arial"/>
          <w:szCs w:val="24"/>
          <w:vertAlign w:val="subscript"/>
        </w:rPr>
        <w:t>2</w:t>
      </w:r>
      <w:r w:rsidRPr="00173AA8">
        <w:rPr>
          <w:rFonts w:ascii="Arial" w:eastAsia="SimSun" w:hAnsi="Arial" w:cs="Arial"/>
          <w:szCs w:val="24"/>
        </w:rPr>
        <w:t>) in a Mark III anaerobic Work station (Don Whitley Scientific, Shipley, UK). The antimicrobial activity of test materials were determined in agar diffusion assays. Broth cultures of all five bacteria were adjusted in sterile BHI or BHI supplemented with haemin and menadione to an optical density at 540 nm corresponding to 1 x 10</w:t>
      </w:r>
      <w:r w:rsidRPr="00173AA8">
        <w:rPr>
          <w:rFonts w:ascii="Arial" w:eastAsia="SimSun" w:hAnsi="Arial" w:cs="Arial"/>
          <w:szCs w:val="24"/>
          <w:vertAlign w:val="superscript"/>
        </w:rPr>
        <w:t xml:space="preserve">6 </w:t>
      </w:r>
      <w:r w:rsidRPr="00173AA8">
        <w:rPr>
          <w:rFonts w:ascii="Arial" w:eastAsia="SimSun" w:hAnsi="Arial" w:cs="Arial"/>
          <w:szCs w:val="24"/>
        </w:rPr>
        <w:t xml:space="preserve">colony forming units (CFU) per ml. Aliquots (100 µl)  of bacterial suspensions were inoculated onto the surfaces of Columbia blood agar plates (pre-reduced for anaerobic bacteria). Wells of 3 mm diameter were cut in each plate using a sterile cork borer and test materials applied using a syringe. Zones of </w:t>
      </w:r>
      <w:r w:rsidRPr="00173AA8">
        <w:rPr>
          <w:rFonts w:ascii="Arial" w:eastAsia="SimSun" w:hAnsi="Arial" w:cs="Arial"/>
          <w:szCs w:val="24"/>
        </w:rPr>
        <w:lastRenderedPageBreak/>
        <w:t>inhibition of bacterial growth were measured using a caliper gauge and the mean of three measurements of each zone was calculated, each experiment was carried out on three different occasions.</w:t>
      </w:r>
    </w:p>
    <w:p w:rsidR="00173AA8" w:rsidRPr="00173AA8" w:rsidRDefault="00173AA8" w:rsidP="00173AA8">
      <w:pPr>
        <w:suppressAutoHyphens/>
        <w:autoSpaceDN w:val="0"/>
        <w:spacing w:after="120" w:line="480" w:lineRule="auto"/>
        <w:jc w:val="both"/>
        <w:textAlignment w:val="baseline"/>
        <w:rPr>
          <w:rFonts w:ascii="Arial" w:eastAsia="SimSun" w:hAnsi="Arial" w:cs="Arial"/>
          <w:szCs w:val="24"/>
        </w:rPr>
      </w:pPr>
      <w:r w:rsidRPr="00173AA8">
        <w:rPr>
          <w:rFonts w:ascii="Arial" w:eastAsia="SimSun" w:hAnsi="Arial" w:cs="Arial"/>
          <w:b/>
          <w:bCs/>
          <w:szCs w:val="24"/>
        </w:rPr>
        <w:t>Results:</w:t>
      </w:r>
      <w:r w:rsidRPr="00173AA8">
        <w:rPr>
          <w:rFonts w:ascii="Arial" w:eastAsia="SimSun" w:hAnsi="Arial" w:cs="Arial"/>
          <w:szCs w:val="24"/>
        </w:rPr>
        <w:t xml:space="preserve"> CH, MTA and Metronidazole were not effective against</w:t>
      </w:r>
      <w:r w:rsidRPr="00173AA8">
        <w:rPr>
          <w:rFonts w:ascii="Arial" w:eastAsia="SimSun" w:hAnsi="Arial" w:cs="Arial"/>
          <w:bCs/>
          <w:szCs w:val="24"/>
        </w:rPr>
        <w:t xml:space="preserve"> </w:t>
      </w:r>
      <w:r w:rsidRPr="00173AA8">
        <w:rPr>
          <w:rFonts w:ascii="Arial" w:eastAsia="SimSun" w:hAnsi="Arial" w:cs="Arial"/>
          <w:bCs/>
          <w:i/>
          <w:szCs w:val="24"/>
        </w:rPr>
        <w:t>E. faecalis</w:t>
      </w:r>
      <w:r w:rsidRPr="00173AA8">
        <w:rPr>
          <w:rFonts w:ascii="Arial" w:eastAsia="SimSun" w:hAnsi="Arial" w:cs="Arial"/>
          <w:bCs/>
          <w:szCs w:val="24"/>
        </w:rPr>
        <w:t xml:space="preserve">; whereas </w:t>
      </w:r>
      <w:r w:rsidRPr="00173AA8">
        <w:rPr>
          <w:rFonts w:ascii="Arial" w:eastAsia="SimSun" w:hAnsi="Arial" w:cs="Arial"/>
          <w:szCs w:val="24"/>
        </w:rPr>
        <w:t xml:space="preserve">Ciprofloxacin and Minocycline showed large inhibition zones with all five types of bacteria used in the present study.  When all three antibiotics were used as a mixture, they were found to be effective against all five types of bacteria.  </w:t>
      </w:r>
    </w:p>
    <w:p w:rsidR="000A1EEA" w:rsidRPr="000A1EEA" w:rsidRDefault="00173AA8" w:rsidP="003F6BC8">
      <w:pPr>
        <w:suppressAutoHyphens/>
        <w:autoSpaceDN w:val="0"/>
        <w:spacing w:after="120" w:line="480" w:lineRule="auto"/>
        <w:jc w:val="both"/>
        <w:textAlignment w:val="baseline"/>
        <w:rPr>
          <w:rFonts w:ascii="Arial" w:eastAsia="SimSun" w:hAnsi="Arial" w:cs="Arial"/>
          <w:szCs w:val="24"/>
        </w:rPr>
      </w:pPr>
      <w:r w:rsidRPr="00173AA8">
        <w:rPr>
          <w:rFonts w:ascii="Arial" w:eastAsia="SimSun" w:hAnsi="Arial" w:cs="Arial"/>
          <w:b/>
          <w:bCs/>
          <w:szCs w:val="24"/>
        </w:rPr>
        <w:t xml:space="preserve">Conclusions: </w:t>
      </w:r>
      <w:r w:rsidRPr="00173AA8">
        <w:rPr>
          <w:rFonts w:ascii="Arial" w:eastAsia="SimSun" w:hAnsi="Arial" w:cs="Arial"/>
          <w:szCs w:val="24"/>
        </w:rPr>
        <w:t xml:space="preserve">In the present study the application of triple antibiotic (TriBioDent) was effective against the five common types of bacteria that cause endodontic lesions.  </w:t>
      </w:r>
    </w:p>
    <w:p w:rsidR="003F6BC8" w:rsidRDefault="003F6BC8">
      <w:pPr>
        <w:rPr>
          <w:rFonts w:ascii="Arial" w:eastAsia="SimSun" w:hAnsi="Arial" w:cs="Arial"/>
          <w:b/>
          <w:bCs/>
          <w:szCs w:val="24"/>
        </w:rPr>
      </w:pPr>
      <w:r>
        <w:rPr>
          <w:rFonts w:ascii="Arial" w:eastAsia="SimSun" w:hAnsi="Arial" w:cs="Arial"/>
          <w:b/>
          <w:bCs/>
          <w:szCs w:val="24"/>
        </w:rPr>
        <w:br w:type="page"/>
      </w:r>
    </w:p>
    <w:p w:rsidR="000A1EEA" w:rsidRPr="00173AA8" w:rsidRDefault="000A1EEA" w:rsidP="000A1EEA">
      <w:pPr>
        <w:suppressAutoHyphens/>
        <w:autoSpaceDN w:val="0"/>
        <w:spacing w:after="120" w:line="360" w:lineRule="auto"/>
        <w:jc w:val="both"/>
        <w:textAlignment w:val="baseline"/>
        <w:rPr>
          <w:rFonts w:ascii="Arial" w:eastAsia="SimSun" w:hAnsi="Arial" w:cs="Arial"/>
          <w:b/>
          <w:bCs/>
          <w:szCs w:val="24"/>
        </w:rPr>
      </w:pPr>
      <w:r w:rsidRPr="00173AA8">
        <w:rPr>
          <w:rFonts w:ascii="Arial" w:eastAsia="SimSun" w:hAnsi="Arial" w:cs="Arial"/>
          <w:b/>
          <w:bCs/>
          <w:szCs w:val="24"/>
        </w:rPr>
        <w:lastRenderedPageBreak/>
        <w:t>Study 3</w:t>
      </w:r>
    </w:p>
    <w:p w:rsidR="002B54A2" w:rsidRPr="002B54A2" w:rsidRDefault="002B54A2" w:rsidP="00772130">
      <w:pPr>
        <w:suppressAutoHyphens/>
        <w:autoSpaceDN w:val="0"/>
        <w:spacing w:after="120" w:line="480" w:lineRule="auto"/>
        <w:textAlignment w:val="baseline"/>
        <w:rPr>
          <w:rFonts w:ascii="Arial" w:eastAsia="Calibri" w:hAnsi="Arial"/>
        </w:rPr>
      </w:pPr>
      <w:r w:rsidRPr="002B54A2">
        <w:rPr>
          <w:rFonts w:ascii="Arial" w:eastAsia="SimSun" w:hAnsi="Arial" w:cs="Arial"/>
          <w:b/>
          <w:bCs/>
          <w:szCs w:val="24"/>
          <w:lang w:eastAsia="zh-CN"/>
        </w:rPr>
        <w:t>Aim</w:t>
      </w:r>
      <w:r w:rsidRPr="002B54A2">
        <w:rPr>
          <w:rFonts w:ascii="Arial" w:eastAsia="SimSun" w:hAnsi="Arial" w:cs="Arial"/>
          <w:szCs w:val="24"/>
          <w:lang w:eastAsia="zh-CN"/>
        </w:rPr>
        <w:t xml:space="preserve">: To evaluate the toxicity of antibiotics used for regenerative antibiotic technique, both individually and in combination on pulp cell survival. </w:t>
      </w:r>
      <w:r w:rsidRPr="002B54A2">
        <w:rPr>
          <w:rFonts w:ascii="Arial" w:eastAsia="SimSun" w:hAnsi="Arial" w:cs="Arial"/>
          <w:szCs w:val="24"/>
          <w:lang w:eastAsia="zh-CN"/>
        </w:rPr>
        <w:br/>
      </w:r>
      <w:r w:rsidRPr="002B54A2">
        <w:rPr>
          <w:rFonts w:ascii="Arial" w:eastAsia="SimSun" w:hAnsi="Arial" w:cs="Arial"/>
          <w:b/>
          <w:bCs/>
          <w:szCs w:val="24"/>
          <w:lang w:eastAsia="zh-CN"/>
        </w:rPr>
        <w:t>Methodology</w:t>
      </w:r>
      <w:r w:rsidRPr="002B54A2">
        <w:rPr>
          <w:rFonts w:ascii="Arial" w:eastAsia="SimSun" w:hAnsi="Arial" w:cs="Arial"/>
          <w:szCs w:val="24"/>
          <w:lang w:eastAsia="zh-CN"/>
        </w:rPr>
        <w:t>:</w:t>
      </w:r>
    </w:p>
    <w:p w:rsidR="002B54A2" w:rsidRPr="002B54A2" w:rsidRDefault="002B54A2" w:rsidP="002B54A2">
      <w:pPr>
        <w:suppressAutoHyphens/>
        <w:autoSpaceDN w:val="0"/>
        <w:spacing w:after="120" w:line="480" w:lineRule="auto"/>
        <w:jc w:val="both"/>
        <w:textAlignment w:val="baseline"/>
        <w:rPr>
          <w:rFonts w:ascii="Arial" w:eastAsia="Calibri" w:hAnsi="Arial"/>
        </w:rPr>
      </w:pPr>
      <w:r w:rsidRPr="002B54A2">
        <w:rPr>
          <w:rFonts w:ascii="Arial" w:eastAsia="SimSun" w:hAnsi="Arial" w:cs="Arial"/>
          <w:szCs w:val="24"/>
          <w:lang w:eastAsia="zh-CN"/>
        </w:rPr>
        <w:t xml:space="preserve"> Human dental pulp cells obtained from three different donors from the tissue bank were grown until sub-confluence. These were then incubated for 24 hours with culture media supplemented with different antibiotics (50 mg/ml each) in five groups including: 1- Metronidazole, 2- Ciprofloxacin and 3- Minocycline, 4- Metronidazole + Ciprofloxacin and 5- Metronidazole + Ciprofloxacin + Minocycline. Cells grown in culture medium without any antibiotics were used as a control. The experiments were repeated three times and the cell viability was measured using three methods: Lactate Dehydrogenase (LDH) assay, Trypan blue cell counting and flow cytometery. </w:t>
      </w:r>
      <w:r w:rsidRPr="002B54A2">
        <w:rPr>
          <w:rFonts w:ascii="Arial" w:eastAsia="SimSun" w:hAnsi="Arial" w:cs="Arial"/>
          <w:szCs w:val="24"/>
          <w:lang w:eastAsia="zh-CN"/>
        </w:rPr>
        <w:br/>
      </w:r>
      <w:r w:rsidRPr="002B54A2">
        <w:rPr>
          <w:rFonts w:ascii="Arial" w:eastAsia="SimSun" w:hAnsi="Arial" w:cs="Arial"/>
          <w:b/>
          <w:bCs/>
          <w:szCs w:val="24"/>
          <w:lang w:eastAsia="zh-CN"/>
        </w:rPr>
        <w:t>Results</w:t>
      </w:r>
      <w:r w:rsidRPr="002B54A2">
        <w:rPr>
          <w:rFonts w:ascii="Arial" w:eastAsia="SimSun" w:hAnsi="Arial" w:cs="Arial"/>
          <w:szCs w:val="24"/>
          <w:lang w:eastAsia="zh-CN"/>
        </w:rPr>
        <w:t xml:space="preserve">: </w:t>
      </w:r>
    </w:p>
    <w:p w:rsidR="002B54A2" w:rsidRPr="002B54A2" w:rsidRDefault="002B54A2" w:rsidP="002B54A2">
      <w:pPr>
        <w:suppressAutoHyphens/>
        <w:autoSpaceDN w:val="0"/>
        <w:spacing w:after="120" w:line="480" w:lineRule="auto"/>
        <w:jc w:val="both"/>
        <w:textAlignment w:val="baseline"/>
        <w:rPr>
          <w:rFonts w:ascii="Arial" w:eastAsia="Calibri" w:hAnsi="Arial"/>
        </w:rPr>
      </w:pPr>
      <w:r w:rsidRPr="002B54A2">
        <w:rPr>
          <w:rFonts w:ascii="Arial" w:eastAsia="Calibri" w:hAnsi="Arial" w:cs="Arial"/>
          <w:bCs/>
          <w:szCs w:val="24"/>
        </w:rPr>
        <w:t>T</w:t>
      </w:r>
      <w:r w:rsidRPr="002B54A2">
        <w:rPr>
          <w:rFonts w:ascii="Arial" w:eastAsia="Calibri" w:hAnsi="Arial" w:cs="Arial"/>
          <w:szCs w:val="24"/>
        </w:rPr>
        <w:t>he three methods used to measure the effect of individual or mixed antibiotics on cell viability showed consistent results. Ciprofloxicillin showed a high cytotoxic when compared to the control group that was significantly different</w:t>
      </w:r>
      <w:r w:rsidRPr="002B54A2">
        <w:rPr>
          <w:rFonts w:ascii="Arial" w:eastAsia="Calibri" w:hAnsi="Arial"/>
        </w:rPr>
        <w:t xml:space="preserve"> (p&lt;0.00)</w:t>
      </w:r>
      <w:r w:rsidRPr="002B54A2">
        <w:rPr>
          <w:rFonts w:ascii="Arial" w:eastAsia="Calibri" w:hAnsi="Arial" w:cs="Arial"/>
          <w:szCs w:val="24"/>
        </w:rPr>
        <w:t xml:space="preserve">. However a combination of two antibiotics, i.e, Metronidazole and Ciprofloxicillin showed a slightly higher cell survival as compared with a combination of all three antibiotics as currently used for the regenerative endodontic technique. </w:t>
      </w:r>
    </w:p>
    <w:p w:rsidR="002B54A2" w:rsidRPr="002B54A2" w:rsidRDefault="002B54A2" w:rsidP="002B54A2">
      <w:pPr>
        <w:suppressAutoHyphens/>
        <w:autoSpaceDN w:val="0"/>
        <w:spacing w:after="120" w:line="480" w:lineRule="auto"/>
        <w:jc w:val="both"/>
        <w:textAlignment w:val="baseline"/>
        <w:rPr>
          <w:rFonts w:ascii="Arial" w:eastAsia="Calibri" w:hAnsi="Arial"/>
        </w:rPr>
      </w:pPr>
      <w:r w:rsidRPr="002B54A2">
        <w:rPr>
          <w:rFonts w:ascii="Arial" w:eastAsia="SimSun" w:hAnsi="Arial" w:cs="Arial"/>
          <w:b/>
          <w:bCs/>
          <w:szCs w:val="24"/>
          <w:lang w:eastAsia="zh-CN"/>
        </w:rPr>
        <w:t>Conclusion</w:t>
      </w:r>
      <w:r w:rsidRPr="002B54A2">
        <w:rPr>
          <w:rFonts w:ascii="Arial" w:eastAsia="SimSun" w:hAnsi="Arial" w:cs="Arial"/>
          <w:szCs w:val="24"/>
          <w:lang w:eastAsia="zh-CN"/>
        </w:rPr>
        <w:t xml:space="preserve">: </w:t>
      </w:r>
    </w:p>
    <w:p w:rsidR="00B90C3A" w:rsidRDefault="002B54A2" w:rsidP="003F6BC8">
      <w:pPr>
        <w:suppressAutoHyphens/>
        <w:autoSpaceDN w:val="0"/>
        <w:spacing w:after="120" w:line="480" w:lineRule="auto"/>
        <w:jc w:val="both"/>
        <w:textAlignment w:val="baseline"/>
        <w:rPr>
          <w:rFonts w:ascii="Arial" w:eastAsia="SimSun" w:hAnsi="Arial" w:cs="Arial"/>
          <w:szCs w:val="24"/>
          <w:lang w:eastAsia="zh-CN"/>
        </w:rPr>
      </w:pPr>
      <w:r w:rsidRPr="002B54A2">
        <w:rPr>
          <w:rFonts w:ascii="Arial" w:eastAsia="SimSun" w:hAnsi="Arial" w:cs="Arial"/>
          <w:szCs w:val="24"/>
          <w:lang w:eastAsia="zh-CN"/>
        </w:rPr>
        <w:t xml:space="preserve">In the present study the application of antibiotics used in the regenerative endodontic technique (double or triple antibiotics) was considered to have no </w:t>
      </w:r>
      <w:r w:rsidRPr="002B54A2">
        <w:rPr>
          <w:rFonts w:ascii="Arial" w:eastAsia="SimSun" w:hAnsi="Arial" w:cs="Arial"/>
          <w:szCs w:val="24"/>
          <w:lang w:eastAsia="zh-CN"/>
        </w:rPr>
        <w:lastRenderedPageBreak/>
        <w:t>significant effect on the survival of pulp cells. There was no difference between using two or three antibiotics in combination.</w:t>
      </w:r>
    </w:p>
    <w:p w:rsidR="0004193F" w:rsidRPr="00B90C3A" w:rsidRDefault="00B90C3A" w:rsidP="00B90C3A">
      <w:pPr>
        <w:rPr>
          <w:rStyle w:val="BookTitle"/>
          <w:rFonts w:ascii="Arial" w:eastAsia="SimSun" w:hAnsi="Arial" w:cs="Arial"/>
          <w:bCs w:val="0"/>
          <w:smallCaps w:val="0"/>
          <w:spacing w:val="0"/>
          <w:szCs w:val="24"/>
          <w:lang w:eastAsia="zh-CN"/>
        </w:rPr>
      </w:pPr>
      <w:r>
        <w:rPr>
          <w:rFonts w:ascii="Arial" w:eastAsia="SimSun" w:hAnsi="Arial" w:cs="Arial"/>
          <w:szCs w:val="24"/>
          <w:lang w:eastAsia="zh-CN"/>
        </w:rPr>
        <w:br w:type="page"/>
      </w:r>
    </w:p>
    <w:p w:rsidR="002C1195" w:rsidRPr="002C1195" w:rsidRDefault="002C1195" w:rsidP="0004193F">
      <w:pPr>
        <w:pStyle w:val="Heading1"/>
        <w:jc w:val="center"/>
        <w:rPr>
          <w:rFonts w:ascii="Times New Roman" w:eastAsia="Times New Roman" w:hAnsi="Times New Roman" w:cs="Times New Roman"/>
        </w:rPr>
      </w:pPr>
      <w:bookmarkStart w:id="2" w:name="_Toc370819172"/>
      <w:r w:rsidRPr="002C1195">
        <w:rPr>
          <w:rStyle w:val="BookTitle"/>
          <w:smallCaps w:val="0"/>
          <w:sz w:val="32"/>
          <w:szCs w:val="32"/>
        </w:rPr>
        <w:lastRenderedPageBreak/>
        <w:t>ACKNOWLEDGEMENTS</w:t>
      </w:r>
      <w:bookmarkEnd w:id="2"/>
    </w:p>
    <w:p w:rsidR="002C1195" w:rsidRPr="00E16AF9" w:rsidRDefault="002C1195" w:rsidP="00E16AF9">
      <w:pPr>
        <w:spacing w:after="0" w:line="360" w:lineRule="auto"/>
        <w:jc w:val="both"/>
        <w:rPr>
          <w:rFonts w:eastAsia="Times New Roman" w:cstheme="minorBidi"/>
          <w:szCs w:val="24"/>
        </w:rPr>
      </w:pPr>
      <w:r w:rsidRPr="00E16AF9">
        <w:rPr>
          <w:rFonts w:eastAsia="Times New Roman" w:cstheme="minorBidi"/>
          <w:szCs w:val="24"/>
        </w:rPr>
        <w:t xml:space="preserve">It would not have been possible to write this </w:t>
      </w:r>
      <w:r w:rsidR="00DB7090" w:rsidRPr="00E16AF9">
        <w:rPr>
          <w:rFonts w:eastAsia="Times New Roman" w:cstheme="minorBidi"/>
          <w:szCs w:val="24"/>
        </w:rPr>
        <w:t xml:space="preserve">PhD </w:t>
      </w:r>
      <w:r w:rsidRPr="00E16AF9">
        <w:rPr>
          <w:rFonts w:eastAsia="Times New Roman" w:cstheme="minorBidi"/>
          <w:szCs w:val="24"/>
        </w:rPr>
        <w:t>thesis without the help and support of the kind people around me, to only some of whom it is possible to give particular mention here. Above all, I would like to thank my wife Dr Fatma Aoun for her personal support and great patience at all times. My Parents, Mr &amp; Mrs Twati and Mr &amp; Mrs Aoun who they have giv</w:t>
      </w:r>
      <w:r w:rsidR="0068788D" w:rsidRPr="00E16AF9">
        <w:rPr>
          <w:rFonts w:eastAsia="Times New Roman" w:cstheme="minorBidi"/>
          <w:szCs w:val="24"/>
        </w:rPr>
        <w:t>en me their unequivocal support.</w:t>
      </w:r>
    </w:p>
    <w:p w:rsidR="002C1195" w:rsidRPr="00E16AF9" w:rsidRDefault="002C1195" w:rsidP="00E16AF9">
      <w:pPr>
        <w:spacing w:after="0" w:line="360" w:lineRule="auto"/>
        <w:jc w:val="both"/>
        <w:rPr>
          <w:rFonts w:eastAsia="Times New Roman" w:cstheme="minorBidi"/>
          <w:szCs w:val="24"/>
        </w:rPr>
      </w:pPr>
      <w:r w:rsidRPr="00E16AF9">
        <w:rPr>
          <w:rFonts w:eastAsia="Times New Roman" w:cstheme="minorBidi"/>
          <w:szCs w:val="24"/>
        </w:rPr>
        <w:t xml:space="preserve">This thesis would not have been possible without the help, support and patience of my principal supervisor, </w:t>
      </w:r>
      <w:r w:rsidRPr="00E16AF9">
        <w:rPr>
          <w:rFonts w:eastAsia="Times New Roman" w:cstheme="minorBidi"/>
          <w:b/>
          <w:bCs/>
          <w:szCs w:val="24"/>
        </w:rPr>
        <w:t>Prof. Monty Duggal</w:t>
      </w:r>
      <w:r w:rsidRPr="00E16AF9">
        <w:rPr>
          <w:rFonts w:eastAsia="Times New Roman" w:cstheme="minorBidi"/>
          <w:szCs w:val="24"/>
        </w:rPr>
        <w:t xml:space="preserve"> who spent time in reviewing and suggestion correct changes for my project. Special thanks to </w:t>
      </w:r>
      <w:r w:rsidRPr="00E16AF9">
        <w:rPr>
          <w:rFonts w:eastAsia="Times New Roman" w:cstheme="minorBidi"/>
          <w:b/>
          <w:bCs/>
          <w:szCs w:val="24"/>
        </w:rPr>
        <w:t>Prof. KJ Toumba</w:t>
      </w:r>
      <w:r w:rsidRPr="00E16AF9">
        <w:rPr>
          <w:rFonts w:eastAsia="Times New Roman" w:cstheme="minorBidi"/>
          <w:szCs w:val="24"/>
        </w:rPr>
        <w:t xml:space="preserve"> for his support and encouragement </w:t>
      </w:r>
      <w:r w:rsidR="002425D8" w:rsidRPr="00E16AF9">
        <w:rPr>
          <w:rFonts w:eastAsia="Times New Roman" w:cstheme="minorBidi"/>
          <w:szCs w:val="24"/>
        </w:rPr>
        <w:t>throughout</w:t>
      </w:r>
      <w:r w:rsidRPr="00E16AF9">
        <w:rPr>
          <w:rFonts w:eastAsia="Times New Roman" w:cstheme="minorBidi"/>
          <w:szCs w:val="24"/>
        </w:rPr>
        <w:t xml:space="preserve"> </w:t>
      </w:r>
      <w:r w:rsidR="003208E6" w:rsidRPr="00E16AF9">
        <w:rPr>
          <w:rFonts w:eastAsia="Times New Roman" w:cstheme="minorBidi"/>
          <w:szCs w:val="24"/>
        </w:rPr>
        <w:t>PhD</w:t>
      </w:r>
      <w:r w:rsidRPr="00E16AF9">
        <w:rPr>
          <w:rFonts w:eastAsia="Times New Roman" w:cstheme="minorBidi"/>
          <w:szCs w:val="24"/>
        </w:rPr>
        <w:t xml:space="preserve">. Also I would like to thank </w:t>
      </w:r>
      <w:r w:rsidR="003208E6" w:rsidRPr="00E16AF9">
        <w:rPr>
          <w:rFonts w:eastAsia="Times New Roman" w:cstheme="minorBidi"/>
          <w:b/>
          <w:bCs/>
          <w:szCs w:val="24"/>
        </w:rPr>
        <w:t xml:space="preserve">Prof. </w:t>
      </w:r>
      <w:r w:rsidRPr="00E16AF9">
        <w:rPr>
          <w:rFonts w:eastAsia="Times New Roman" w:cstheme="minorBidi"/>
          <w:b/>
          <w:bCs/>
          <w:szCs w:val="24"/>
        </w:rPr>
        <w:t>D.J Wood</w:t>
      </w:r>
      <w:r w:rsidR="002425D8" w:rsidRPr="00E16AF9">
        <w:rPr>
          <w:rFonts w:eastAsia="Times New Roman" w:cstheme="minorBidi"/>
          <w:szCs w:val="24"/>
        </w:rPr>
        <w:t xml:space="preserve"> for his advice and suggestion.</w:t>
      </w:r>
    </w:p>
    <w:p w:rsidR="003208E6" w:rsidRPr="0028036E" w:rsidRDefault="003208E6" w:rsidP="00E16AF9">
      <w:pPr>
        <w:pStyle w:val="Title"/>
        <w:pBdr>
          <w:bottom w:val="single" w:sz="8" w:space="5" w:color="4F81BD" w:themeColor="accent1"/>
        </w:pBdr>
        <w:spacing w:line="360" w:lineRule="auto"/>
        <w:jc w:val="both"/>
        <w:rPr>
          <w:rFonts w:eastAsia="Times New Roman" w:cstheme="minorBidi"/>
          <w:b w:val="0"/>
          <w:spacing w:val="0"/>
          <w:kern w:val="0"/>
          <w:sz w:val="24"/>
          <w:szCs w:val="24"/>
        </w:rPr>
      </w:pPr>
      <w:r w:rsidRPr="00E16AF9">
        <w:rPr>
          <w:rFonts w:eastAsia="Times New Roman" w:cstheme="minorBidi"/>
          <w:b w:val="0"/>
          <w:spacing w:val="0"/>
          <w:kern w:val="0"/>
          <w:sz w:val="24"/>
          <w:szCs w:val="24"/>
        </w:rPr>
        <w:t xml:space="preserve">I would like to </w:t>
      </w:r>
      <w:r w:rsidR="0028036E">
        <w:rPr>
          <w:rFonts w:eastAsia="Times New Roman" w:cstheme="minorBidi"/>
          <w:b w:val="0"/>
          <w:spacing w:val="0"/>
          <w:kern w:val="0"/>
          <w:sz w:val="24"/>
          <w:szCs w:val="24"/>
        </w:rPr>
        <w:t>a</w:t>
      </w:r>
      <w:r w:rsidRPr="00E16AF9">
        <w:rPr>
          <w:rFonts w:eastAsia="Times New Roman" w:cstheme="minorBidi"/>
          <w:b w:val="0"/>
          <w:spacing w:val="0"/>
          <w:kern w:val="0"/>
          <w:sz w:val="24"/>
          <w:szCs w:val="24"/>
        </w:rPr>
        <w:t xml:space="preserve">cknowledge </w:t>
      </w:r>
      <w:r w:rsidRPr="0028036E">
        <w:rPr>
          <w:rFonts w:eastAsia="Times New Roman" w:cstheme="minorBidi"/>
          <w:b w:val="0"/>
          <w:spacing w:val="0"/>
          <w:kern w:val="0"/>
          <w:sz w:val="24"/>
          <w:szCs w:val="24"/>
        </w:rPr>
        <w:t>Dr Tomasz Liskiewicz</w:t>
      </w:r>
      <w:r w:rsidRPr="00E16AF9">
        <w:rPr>
          <w:rFonts w:eastAsia="Times New Roman" w:cstheme="minorBidi"/>
          <w:b w:val="0"/>
          <w:spacing w:val="0"/>
          <w:kern w:val="0"/>
          <w:sz w:val="24"/>
          <w:szCs w:val="24"/>
        </w:rPr>
        <w:t xml:space="preserve"> for his support</w:t>
      </w:r>
      <w:r w:rsidR="0028036E">
        <w:rPr>
          <w:rFonts w:eastAsia="Times New Roman" w:cstheme="minorBidi"/>
          <w:b w:val="0"/>
          <w:spacing w:val="0"/>
          <w:kern w:val="0"/>
          <w:sz w:val="24"/>
          <w:szCs w:val="24"/>
        </w:rPr>
        <w:t xml:space="preserve"> and</w:t>
      </w:r>
      <w:r w:rsidRPr="00E16AF9">
        <w:rPr>
          <w:rFonts w:eastAsia="Times New Roman" w:cstheme="minorBidi"/>
          <w:b w:val="0"/>
          <w:spacing w:val="0"/>
          <w:kern w:val="0"/>
          <w:sz w:val="24"/>
          <w:szCs w:val="24"/>
        </w:rPr>
        <w:t xml:space="preserve"> training </w:t>
      </w:r>
      <w:r w:rsidR="0028036E">
        <w:rPr>
          <w:rFonts w:eastAsia="Times New Roman" w:cstheme="minorBidi"/>
          <w:b w:val="0"/>
          <w:spacing w:val="0"/>
          <w:kern w:val="0"/>
          <w:sz w:val="24"/>
          <w:szCs w:val="24"/>
        </w:rPr>
        <w:t>in the use of</w:t>
      </w:r>
      <w:r w:rsidRPr="00E16AF9">
        <w:rPr>
          <w:rFonts w:eastAsia="Times New Roman" w:cstheme="minorBidi"/>
          <w:b w:val="0"/>
          <w:spacing w:val="0"/>
          <w:kern w:val="0"/>
          <w:sz w:val="24"/>
          <w:szCs w:val="24"/>
        </w:rPr>
        <w:t xml:space="preserve"> </w:t>
      </w:r>
      <w:r w:rsidR="0028036E">
        <w:rPr>
          <w:rFonts w:eastAsia="Times New Roman" w:cstheme="minorBidi"/>
          <w:b w:val="0"/>
          <w:spacing w:val="0"/>
          <w:kern w:val="0"/>
          <w:sz w:val="24"/>
          <w:szCs w:val="24"/>
        </w:rPr>
        <w:t>n</w:t>
      </w:r>
      <w:r w:rsidRPr="00E16AF9">
        <w:rPr>
          <w:rFonts w:eastAsia="Times New Roman" w:cstheme="minorBidi"/>
          <w:b w:val="0"/>
          <w:spacing w:val="0"/>
          <w:kern w:val="0"/>
          <w:sz w:val="24"/>
          <w:szCs w:val="24"/>
        </w:rPr>
        <w:t>ano-indentation</w:t>
      </w:r>
      <w:r w:rsidR="0028036E">
        <w:rPr>
          <w:rFonts w:eastAsia="Times New Roman" w:cstheme="minorBidi"/>
          <w:b w:val="0"/>
          <w:spacing w:val="0"/>
          <w:kern w:val="0"/>
          <w:sz w:val="24"/>
          <w:szCs w:val="24"/>
        </w:rPr>
        <w:t xml:space="preserve"> technique</w:t>
      </w:r>
      <w:r w:rsidRPr="00E16AF9">
        <w:rPr>
          <w:rFonts w:eastAsia="Times New Roman" w:cstheme="minorBidi"/>
          <w:b w:val="0"/>
          <w:spacing w:val="0"/>
          <w:kern w:val="0"/>
          <w:sz w:val="24"/>
          <w:szCs w:val="24"/>
        </w:rPr>
        <w:t>.</w:t>
      </w:r>
      <w:r w:rsidRPr="00E16AF9">
        <w:rPr>
          <w:sz w:val="24"/>
          <w:szCs w:val="24"/>
        </w:rPr>
        <w:t xml:space="preserve"> </w:t>
      </w:r>
      <w:r w:rsidR="0028036E" w:rsidRPr="0028036E">
        <w:rPr>
          <w:b w:val="0"/>
          <w:sz w:val="24"/>
          <w:szCs w:val="24"/>
        </w:rPr>
        <w:t xml:space="preserve">Thanks also to </w:t>
      </w:r>
      <w:r w:rsidRPr="0028036E">
        <w:rPr>
          <w:rFonts w:eastAsia="Times New Roman" w:cstheme="minorBidi"/>
          <w:b w:val="0"/>
          <w:spacing w:val="0"/>
          <w:kern w:val="0"/>
          <w:sz w:val="24"/>
          <w:szCs w:val="24"/>
        </w:rPr>
        <w:t>Dr Rimondia S Percival</w:t>
      </w:r>
      <w:r w:rsidRPr="00E16AF9">
        <w:rPr>
          <w:rFonts w:eastAsia="Times New Roman" w:cstheme="minorBidi"/>
          <w:b w:val="0"/>
          <w:spacing w:val="0"/>
          <w:kern w:val="0"/>
          <w:sz w:val="24"/>
          <w:szCs w:val="24"/>
        </w:rPr>
        <w:t xml:space="preserve"> for training and support and value advice</w:t>
      </w:r>
      <w:r w:rsidR="0028036E">
        <w:rPr>
          <w:rFonts w:eastAsia="Times New Roman" w:cstheme="minorBidi"/>
          <w:b w:val="0"/>
          <w:spacing w:val="0"/>
          <w:kern w:val="0"/>
          <w:sz w:val="24"/>
          <w:szCs w:val="24"/>
        </w:rPr>
        <w:t xml:space="preserve"> in microbiology</w:t>
      </w:r>
      <w:r w:rsidRPr="00E16AF9">
        <w:rPr>
          <w:rFonts w:eastAsia="Times New Roman" w:cstheme="minorBidi"/>
          <w:b w:val="0"/>
          <w:spacing w:val="0"/>
          <w:kern w:val="0"/>
          <w:sz w:val="24"/>
          <w:szCs w:val="24"/>
        </w:rPr>
        <w:t xml:space="preserve">. </w:t>
      </w:r>
      <w:r w:rsidR="0068788D" w:rsidRPr="00E16AF9">
        <w:rPr>
          <w:rFonts w:eastAsia="Times New Roman" w:cstheme="minorBidi"/>
          <w:b w:val="0"/>
          <w:spacing w:val="0"/>
          <w:kern w:val="0"/>
          <w:sz w:val="24"/>
          <w:szCs w:val="24"/>
        </w:rPr>
        <w:t xml:space="preserve">Special thanks </w:t>
      </w:r>
      <w:r w:rsidR="0068788D" w:rsidRPr="0028036E">
        <w:rPr>
          <w:rFonts w:eastAsia="Times New Roman" w:cstheme="minorBidi"/>
          <w:b w:val="0"/>
          <w:spacing w:val="0"/>
          <w:kern w:val="0"/>
          <w:sz w:val="24"/>
          <w:szCs w:val="24"/>
        </w:rPr>
        <w:t>to Dr Thuy Do for</w:t>
      </w:r>
      <w:r w:rsidR="0068788D" w:rsidRPr="00E16AF9">
        <w:rPr>
          <w:rFonts w:eastAsia="Times New Roman" w:cstheme="minorBidi"/>
          <w:b w:val="0"/>
          <w:spacing w:val="0"/>
          <w:kern w:val="0"/>
          <w:sz w:val="24"/>
          <w:szCs w:val="24"/>
        </w:rPr>
        <w:t xml:space="preserve"> her helping and support</w:t>
      </w:r>
      <w:r w:rsidR="0028036E">
        <w:rPr>
          <w:rFonts w:eastAsia="Times New Roman" w:cstheme="minorBidi"/>
          <w:b w:val="0"/>
          <w:spacing w:val="0"/>
          <w:kern w:val="0"/>
          <w:sz w:val="24"/>
          <w:szCs w:val="24"/>
        </w:rPr>
        <w:t xml:space="preserve"> in the final stages of the thesis</w:t>
      </w:r>
      <w:r w:rsidR="0068788D" w:rsidRPr="00E16AF9">
        <w:rPr>
          <w:rFonts w:eastAsia="Times New Roman" w:cstheme="minorBidi"/>
          <w:b w:val="0"/>
          <w:spacing w:val="0"/>
          <w:kern w:val="0"/>
          <w:sz w:val="24"/>
          <w:szCs w:val="24"/>
        </w:rPr>
        <w:t xml:space="preserve">. </w:t>
      </w:r>
      <w:r w:rsidRPr="00E16AF9">
        <w:rPr>
          <w:rFonts w:eastAsia="Times New Roman" w:cstheme="minorBidi"/>
          <w:b w:val="0"/>
          <w:spacing w:val="0"/>
          <w:kern w:val="0"/>
          <w:sz w:val="24"/>
          <w:szCs w:val="24"/>
        </w:rPr>
        <w:t xml:space="preserve">I would also like to thank </w:t>
      </w:r>
      <w:r w:rsidRPr="0028036E">
        <w:rPr>
          <w:rFonts w:eastAsia="Times New Roman" w:cstheme="minorBidi"/>
          <w:b w:val="0"/>
          <w:spacing w:val="0"/>
          <w:kern w:val="0"/>
          <w:sz w:val="24"/>
          <w:szCs w:val="24"/>
        </w:rPr>
        <w:t>Dr. El-Mostafa Raif</w:t>
      </w:r>
      <w:r w:rsidRPr="00E16AF9">
        <w:rPr>
          <w:rFonts w:eastAsia="Times New Roman" w:cstheme="minorBidi"/>
          <w:b w:val="0"/>
          <w:spacing w:val="0"/>
          <w:kern w:val="0"/>
          <w:sz w:val="24"/>
          <w:szCs w:val="24"/>
        </w:rPr>
        <w:t xml:space="preserve"> for his indispensable advice, training</w:t>
      </w:r>
      <w:r w:rsidR="00451C36" w:rsidRPr="00E16AF9">
        <w:rPr>
          <w:rFonts w:eastAsia="Times New Roman" w:cstheme="minorBidi"/>
          <w:b w:val="0"/>
          <w:spacing w:val="0"/>
          <w:kern w:val="0"/>
          <w:sz w:val="24"/>
          <w:szCs w:val="24"/>
        </w:rPr>
        <w:t>,</w:t>
      </w:r>
      <w:r w:rsidRPr="00E16AF9">
        <w:rPr>
          <w:rFonts w:eastAsia="Times New Roman" w:cstheme="minorBidi"/>
          <w:b w:val="0"/>
          <w:spacing w:val="0"/>
          <w:kern w:val="0"/>
          <w:sz w:val="24"/>
          <w:szCs w:val="24"/>
        </w:rPr>
        <w:t xml:space="preserve"> support and developing my work</w:t>
      </w:r>
      <w:r w:rsidR="0028036E">
        <w:rPr>
          <w:rFonts w:eastAsia="Times New Roman" w:cstheme="minorBidi"/>
          <w:b w:val="0"/>
          <w:spacing w:val="0"/>
          <w:kern w:val="0"/>
          <w:sz w:val="24"/>
          <w:szCs w:val="24"/>
        </w:rPr>
        <w:t xml:space="preserve"> in </w:t>
      </w:r>
      <w:proofErr w:type="gramStart"/>
      <w:r w:rsidR="0028036E">
        <w:rPr>
          <w:rFonts w:eastAsia="Times New Roman" w:cstheme="minorBidi"/>
          <w:b w:val="0"/>
          <w:spacing w:val="0"/>
          <w:kern w:val="0"/>
          <w:sz w:val="24"/>
          <w:szCs w:val="24"/>
        </w:rPr>
        <w:t>stem</w:t>
      </w:r>
      <w:proofErr w:type="gramEnd"/>
      <w:r w:rsidR="0028036E">
        <w:rPr>
          <w:rFonts w:eastAsia="Times New Roman" w:cstheme="minorBidi"/>
          <w:b w:val="0"/>
          <w:spacing w:val="0"/>
          <w:kern w:val="0"/>
          <w:sz w:val="24"/>
          <w:szCs w:val="24"/>
        </w:rPr>
        <w:t xml:space="preserve"> cells</w:t>
      </w:r>
      <w:r w:rsidRPr="00E16AF9">
        <w:rPr>
          <w:rFonts w:eastAsia="Times New Roman" w:cstheme="minorBidi"/>
          <w:b w:val="0"/>
          <w:spacing w:val="0"/>
          <w:kern w:val="0"/>
          <w:sz w:val="24"/>
          <w:szCs w:val="24"/>
        </w:rPr>
        <w:t>. Special t</w:t>
      </w:r>
      <w:r w:rsidR="00451C36" w:rsidRPr="00E16AF9">
        <w:rPr>
          <w:rFonts w:eastAsia="Times New Roman" w:cstheme="minorBidi"/>
          <w:b w:val="0"/>
          <w:spacing w:val="0"/>
          <w:kern w:val="0"/>
          <w:sz w:val="24"/>
          <w:szCs w:val="24"/>
        </w:rPr>
        <w:t>h</w:t>
      </w:r>
      <w:r w:rsidRPr="00E16AF9">
        <w:rPr>
          <w:rFonts w:eastAsia="Times New Roman" w:cstheme="minorBidi"/>
          <w:b w:val="0"/>
          <w:spacing w:val="0"/>
          <w:kern w:val="0"/>
          <w:sz w:val="24"/>
          <w:szCs w:val="24"/>
        </w:rPr>
        <w:t xml:space="preserve">anks to </w:t>
      </w:r>
      <w:r w:rsidRPr="0028036E">
        <w:rPr>
          <w:rFonts w:eastAsia="Times New Roman" w:cstheme="minorBidi"/>
          <w:b w:val="0"/>
          <w:spacing w:val="0"/>
          <w:kern w:val="0"/>
          <w:sz w:val="24"/>
          <w:szCs w:val="24"/>
        </w:rPr>
        <w:t>Dr Matthew Tomlinson</w:t>
      </w:r>
      <w:r w:rsidR="00451C36" w:rsidRPr="0028036E">
        <w:rPr>
          <w:rFonts w:eastAsia="Times New Roman" w:cstheme="minorBidi"/>
          <w:b w:val="0"/>
          <w:spacing w:val="0"/>
          <w:kern w:val="0"/>
          <w:sz w:val="24"/>
          <w:szCs w:val="24"/>
        </w:rPr>
        <w:t xml:space="preserve"> and Shabnum Rashid</w:t>
      </w:r>
      <w:r w:rsidR="0028036E" w:rsidRPr="0028036E">
        <w:rPr>
          <w:rFonts w:eastAsia="Times New Roman" w:cstheme="minorBidi"/>
          <w:b w:val="0"/>
          <w:spacing w:val="0"/>
          <w:kern w:val="0"/>
          <w:sz w:val="24"/>
          <w:szCs w:val="24"/>
        </w:rPr>
        <w:t>.</w:t>
      </w:r>
      <w:bookmarkEnd w:id="0"/>
      <w:r w:rsidR="0068788D" w:rsidRPr="0028036E">
        <w:rPr>
          <w:rFonts w:eastAsia="Times New Roman" w:cstheme="minorBidi"/>
          <w:b w:val="0"/>
          <w:spacing w:val="0"/>
          <w:kern w:val="0"/>
          <w:sz w:val="24"/>
          <w:szCs w:val="24"/>
        </w:rPr>
        <w:t xml:space="preserve"> </w:t>
      </w:r>
      <w:r w:rsidR="00451C36" w:rsidRPr="0028036E">
        <w:rPr>
          <w:b w:val="0"/>
          <w:bCs/>
          <w:sz w:val="24"/>
          <w:szCs w:val="24"/>
        </w:rPr>
        <w:t xml:space="preserve">Also I would like to acknowledge </w:t>
      </w:r>
      <w:r w:rsidR="0028036E" w:rsidRPr="0028036E">
        <w:rPr>
          <w:b w:val="0"/>
          <w:bCs/>
          <w:sz w:val="24"/>
          <w:szCs w:val="24"/>
        </w:rPr>
        <w:t xml:space="preserve">our </w:t>
      </w:r>
      <w:r w:rsidR="00451C36" w:rsidRPr="0028036E">
        <w:rPr>
          <w:b w:val="0"/>
          <w:bCs/>
          <w:sz w:val="24"/>
          <w:szCs w:val="24"/>
        </w:rPr>
        <w:t xml:space="preserve">statistician </w:t>
      </w:r>
      <w:r w:rsidRPr="0028036E">
        <w:rPr>
          <w:b w:val="0"/>
          <w:bCs/>
          <w:sz w:val="24"/>
          <w:szCs w:val="24"/>
        </w:rPr>
        <w:t xml:space="preserve">Dr </w:t>
      </w:r>
      <w:r w:rsidRPr="0028036E">
        <w:rPr>
          <w:rFonts w:eastAsia="Times New Roman" w:cstheme="minorBidi"/>
          <w:b w:val="0"/>
          <w:bCs/>
          <w:spacing w:val="0"/>
          <w:kern w:val="0"/>
          <w:sz w:val="24"/>
          <w:szCs w:val="24"/>
        </w:rPr>
        <w:t>Theresa Munyombwe</w:t>
      </w:r>
      <w:r w:rsidRPr="0028036E">
        <w:rPr>
          <w:b w:val="0"/>
          <w:bCs/>
          <w:sz w:val="24"/>
          <w:szCs w:val="24"/>
        </w:rPr>
        <w:t xml:space="preserve"> </w:t>
      </w:r>
      <w:r w:rsidR="00451C36" w:rsidRPr="0028036E">
        <w:rPr>
          <w:b w:val="0"/>
          <w:bCs/>
          <w:sz w:val="24"/>
          <w:szCs w:val="24"/>
        </w:rPr>
        <w:t xml:space="preserve">for her hard work in </w:t>
      </w:r>
      <w:r w:rsidR="0028036E" w:rsidRPr="0028036E">
        <w:rPr>
          <w:b w:val="0"/>
          <w:bCs/>
          <w:sz w:val="24"/>
          <w:szCs w:val="24"/>
        </w:rPr>
        <w:t xml:space="preserve">helping in </w:t>
      </w:r>
      <w:r w:rsidR="00451C36" w:rsidRPr="0028036E">
        <w:rPr>
          <w:b w:val="0"/>
          <w:bCs/>
          <w:sz w:val="24"/>
          <w:szCs w:val="24"/>
        </w:rPr>
        <w:t xml:space="preserve">designing my study, sample size, calculation and interpretation. </w:t>
      </w:r>
    </w:p>
    <w:p w:rsidR="00970B53" w:rsidRDefault="003208E6" w:rsidP="00970B53">
      <w:pPr>
        <w:pStyle w:val="Title"/>
        <w:pBdr>
          <w:bottom w:val="single" w:sz="8" w:space="5" w:color="4F81BD" w:themeColor="accent1"/>
        </w:pBdr>
        <w:spacing w:line="360" w:lineRule="auto"/>
        <w:rPr>
          <w:rFonts w:eastAsia="Times New Roman" w:cstheme="minorBidi"/>
          <w:b w:val="0"/>
          <w:spacing w:val="0"/>
          <w:kern w:val="0"/>
          <w:sz w:val="24"/>
          <w:szCs w:val="24"/>
        </w:rPr>
      </w:pPr>
      <w:r w:rsidRPr="0028036E">
        <w:rPr>
          <w:rFonts w:eastAsia="Times New Roman" w:cstheme="minorBidi"/>
          <w:b w:val="0"/>
          <w:spacing w:val="0"/>
          <w:kern w:val="0"/>
          <w:sz w:val="24"/>
          <w:szCs w:val="24"/>
        </w:rPr>
        <w:t xml:space="preserve">I would like to </w:t>
      </w:r>
      <w:r w:rsidR="0028036E" w:rsidRPr="0028036E">
        <w:rPr>
          <w:rFonts w:eastAsia="Times New Roman" w:cstheme="minorBidi"/>
          <w:b w:val="0"/>
          <w:spacing w:val="0"/>
          <w:kern w:val="0"/>
          <w:sz w:val="24"/>
          <w:szCs w:val="24"/>
        </w:rPr>
        <w:t>a</w:t>
      </w:r>
      <w:r w:rsidRPr="0028036E">
        <w:rPr>
          <w:rFonts w:eastAsia="Times New Roman" w:cstheme="minorBidi"/>
          <w:b w:val="0"/>
          <w:spacing w:val="0"/>
          <w:kern w:val="0"/>
          <w:sz w:val="24"/>
          <w:szCs w:val="24"/>
        </w:rPr>
        <w:t>cknowledge Dr Steve Brooks for his</w:t>
      </w:r>
      <w:r w:rsidRPr="00E16AF9">
        <w:rPr>
          <w:rFonts w:eastAsia="Times New Roman" w:cstheme="minorBidi"/>
          <w:b w:val="0"/>
          <w:spacing w:val="0"/>
          <w:kern w:val="0"/>
          <w:sz w:val="24"/>
          <w:szCs w:val="24"/>
        </w:rPr>
        <w:t xml:space="preserve"> </w:t>
      </w:r>
      <w:r w:rsidR="0028036E">
        <w:rPr>
          <w:rFonts w:eastAsia="Times New Roman" w:cstheme="minorBidi"/>
          <w:b w:val="0"/>
          <w:spacing w:val="0"/>
          <w:kern w:val="0"/>
          <w:sz w:val="24"/>
          <w:szCs w:val="24"/>
        </w:rPr>
        <w:t xml:space="preserve">advice through some of the project.  </w:t>
      </w:r>
    </w:p>
    <w:p w:rsidR="00970B53" w:rsidRDefault="00970B53" w:rsidP="00970B53">
      <w:pPr>
        <w:pStyle w:val="Title"/>
        <w:pBdr>
          <w:bottom w:val="single" w:sz="8" w:space="5" w:color="4F81BD" w:themeColor="accent1"/>
        </w:pBdr>
        <w:spacing w:line="360" w:lineRule="auto"/>
        <w:rPr>
          <w:rFonts w:eastAsia="Times New Roman" w:cstheme="minorBidi"/>
          <w:b w:val="0"/>
          <w:spacing w:val="0"/>
          <w:kern w:val="0"/>
          <w:sz w:val="24"/>
          <w:szCs w:val="24"/>
        </w:rPr>
      </w:pPr>
    </w:p>
    <w:p w:rsidR="00970B53" w:rsidRPr="00970B53" w:rsidRDefault="00970B53" w:rsidP="00970B53">
      <w:pPr>
        <w:pStyle w:val="Title"/>
        <w:pBdr>
          <w:bottom w:val="single" w:sz="8" w:space="5" w:color="4F81BD" w:themeColor="accent1"/>
        </w:pBdr>
        <w:spacing w:line="360" w:lineRule="auto"/>
        <w:rPr>
          <w:rFonts w:eastAsia="Times New Roman" w:cstheme="minorBidi"/>
          <w:b w:val="0"/>
          <w:spacing w:val="0"/>
          <w:kern w:val="0"/>
          <w:sz w:val="24"/>
          <w:szCs w:val="24"/>
        </w:rPr>
      </w:pPr>
      <w:r w:rsidRPr="00970B53">
        <w:rPr>
          <w:rFonts w:eastAsia="Times New Roman" w:cstheme="minorBidi"/>
          <w:b w:val="0"/>
          <w:spacing w:val="0"/>
          <w:kern w:val="0"/>
          <w:sz w:val="24"/>
          <w:szCs w:val="24"/>
        </w:rPr>
        <w:t>I would also like to express my gratitude to my colleagues in Paediatric dentistry, Marina Malinowski and Hani Nazzal for their friendship and support</w:t>
      </w:r>
    </w:p>
    <w:p w:rsidR="00970B53" w:rsidRPr="00970B53" w:rsidRDefault="00970B53" w:rsidP="00970B53">
      <w:pPr>
        <w:pStyle w:val="Title"/>
        <w:pBdr>
          <w:bottom w:val="single" w:sz="8" w:space="5" w:color="4F81BD" w:themeColor="accent1"/>
        </w:pBdr>
        <w:spacing w:line="360" w:lineRule="auto"/>
        <w:rPr>
          <w:rFonts w:eastAsia="Times New Roman" w:cstheme="minorBidi"/>
          <w:b w:val="0"/>
          <w:spacing w:val="0"/>
          <w:kern w:val="0"/>
          <w:sz w:val="24"/>
          <w:szCs w:val="24"/>
        </w:rPr>
      </w:pPr>
    </w:p>
    <w:p w:rsidR="0028036E" w:rsidRDefault="00970B53" w:rsidP="00970B53">
      <w:pPr>
        <w:pStyle w:val="Title"/>
        <w:pBdr>
          <w:bottom w:val="single" w:sz="8" w:space="5" w:color="4F81BD" w:themeColor="accent1"/>
        </w:pBdr>
        <w:spacing w:line="360" w:lineRule="auto"/>
        <w:jc w:val="both"/>
        <w:rPr>
          <w:rFonts w:eastAsia="Times New Roman" w:cstheme="minorBidi"/>
          <w:b w:val="0"/>
          <w:spacing w:val="0"/>
          <w:kern w:val="0"/>
          <w:sz w:val="24"/>
          <w:szCs w:val="24"/>
        </w:rPr>
      </w:pPr>
      <w:r w:rsidRPr="00970B53">
        <w:rPr>
          <w:rFonts w:eastAsia="Times New Roman" w:cstheme="minorBidi"/>
          <w:b w:val="0"/>
          <w:spacing w:val="0"/>
          <w:kern w:val="0"/>
          <w:sz w:val="24"/>
          <w:szCs w:val="24"/>
        </w:rPr>
        <w:t>I would like to acknowledge the Libyan Government for financial support without which my studies would not have been possible.</w:t>
      </w:r>
    </w:p>
    <w:p w:rsidR="0028036E" w:rsidRDefault="0028036E" w:rsidP="0028036E"/>
    <w:p w:rsidR="003208E6" w:rsidRPr="00E16AF9" w:rsidRDefault="003208E6" w:rsidP="00E16AF9">
      <w:pPr>
        <w:spacing w:line="360" w:lineRule="auto"/>
        <w:rPr>
          <w:szCs w:val="24"/>
        </w:rPr>
      </w:pPr>
    </w:p>
    <w:p w:rsidR="00E06137" w:rsidRDefault="00E06137">
      <w:r>
        <w:br w:type="page"/>
      </w:r>
    </w:p>
    <w:sdt>
      <w:sdtPr>
        <w:rPr>
          <w:rFonts w:cstheme="minorBidi"/>
          <w:b/>
          <w:bCs/>
          <w:sz w:val="22"/>
          <w:szCs w:val="22"/>
        </w:rPr>
        <w:id w:val="-1795664547"/>
        <w:docPartObj>
          <w:docPartGallery w:val="Table of Contents"/>
          <w:docPartUnique/>
        </w:docPartObj>
      </w:sdtPr>
      <w:sdtEndPr>
        <w:rPr>
          <w:noProof/>
        </w:rPr>
      </w:sdtEndPr>
      <w:sdtContent>
        <w:p w:rsidR="000D083C" w:rsidRPr="00FB4405" w:rsidRDefault="00D072AB" w:rsidP="00D072AB">
          <w:pPr>
            <w:jc w:val="center"/>
            <w:rPr>
              <w:rFonts w:cstheme="minorBidi"/>
              <w:b/>
              <w:bCs/>
              <w:sz w:val="22"/>
              <w:szCs w:val="22"/>
            </w:rPr>
          </w:pPr>
          <w:r w:rsidRPr="00FB4405">
            <w:rPr>
              <w:rFonts w:cstheme="minorBidi"/>
              <w:b/>
              <w:bCs/>
              <w:sz w:val="22"/>
              <w:szCs w:val="22"/>
            </w:rPr>
            <w:t>Table of c</w:t>
          </w:r>
          <w:r w:rsidR="000D083C" w:rsidRPr="00FB4405">
            <w:rPr>
              <w:rFonts w:cstheme="minorBidi"/>
              <w:b/>
              <w:bCs/>
              <w:sz w:val="22"/>
              <w:szCs w:val="22"/>
            </w:rPr>
            <w:t>ontents</w:t>
          </w:r>
        </w:p>
        <w:p w:rsidR="001313F9" w:rsidRDefault="000D083C">
          <w:pPr>
            <w:pStyle w:val="TOC1"/>
            <w:tabs>
              <w:tab w:val="left" w:pos="480"/>
              <w:tab w:val="right" w:leader="dot" w:pos="8330"/>
            </w:tabs>
            <w:rPr>
              <w:rFonts w:asciiTheme="minorHAnsi" w:eastAsiaTheme="minorEastAsia" w:hAnsiTheme="minorHAnsi" w:cstheme="minorBidi"/>
              <w:noProof/>
              <w:sz w:val="22"/>
              <w:szCs w:val="22"/>
              <w:lang w:eastAsia="en-GB"/>
            </w:rPr>
          </w:pPr>
          <w:r w:rsidRPr="00FB4405">
            <w:rPr>
              <w:rFonts w:cstheme="minorBidi"/>
              <w:b/>
              <w:bCs/>
              <w:sz w:val="22"/>
              <w:szCs w:val="22"/>
            </w:rPr>
            <w:fldChar w:fldCharType="begin"/>
          </w:r>
          <w:r w:rsidRPr="00FB4405">
            <w:rPr>
              <w:rFonts w:cstheme="minorBidi"/>
              <w:b/>
              <w:bCs/>
              <w:sz w:val="22"/>
              <w:szCs w:val="22"/>
            </w:rPr>
            <w:instrText xml:space="preserve"> TOC \o "1-3" \h \z \u </w:instrText>
          </w:r>
          <w:r w:rsidRPr="00FB4405">
            <w:rPr>
              <w:rFonts w:cstheme="minorBidi"/>
              <w:b/>
              <w:bCs/>
              <w:sz w:val="22"/>
              <w:szCs w:val="22"/>
            </w:rPr>
            <w:fldChar w:fldCharType="separate"/>
          </w:r>
          <w:hyperlink w:anchor="_Toc370819171" w:history="1">
            <w:r w:rsidR="001313F9" w:rsidRPr="00B8197B">
              <w:rPr>
                <w:rStyle w:val="Hyperlink"/>
                <w:noProof/>
                <w14:scene3d>
                  <w14:camera w14:prst="orthographicFront"/>
                  <w14:lightRig w14:rig="threePt" w14:dir="t">
                    <w14:rot w14:lat="0" w14:lon="0" w14:rev="0"/>
                  </w14:lightRig>
                </w14:scene3d>
              </w:rPr>
              <w:t>1.</w:t>
            </w:r>
            <w:r w:rsidR="001313F9">
              <w:rPr>
                <w:rFonts w:asciiTheme="minorHAnsi" w:eastAsiaTheme="minorEastAsia" w:hAnsiTheme="minorHAnsi" w:cstheme="minorBidi"/>
                <w:noProof/>
                <w:sz w:val="22"/>
                <w:szCs w:val="22"/>
                <w:lang w:eastAsia="en-GB"/>
              </w:rPr>
              <w:tab/>
            </w:r>
            <w:r w:rsidR="001313F9" w:rsidRPr="00B8197B">
              <w:rPr>
                <w:rStyle w:val="Hyperlink"/>
                <w:noProof/>
              </w:rPr>
              <w:t>Abstract of the studies in this Thesis</w:t>
            </w:r>
            <w:r w:rsidR="001313F9">
              <w:rPr>
                <w:noProof/>
                <w:webHidden/>
              </w:rPr>
              <w:tab/>
            </w:r>
            <w:r w:rsidR="001313F9">
              <w:rPr>
                <w:noProof/>
                <w:webHidden/>
              </w:rPr>
              <w:fldChar w:fldCharType="begin"/>
            </w:r>
            <w:r w:rsidR="001313F9">
              <w:rPr>
                <w:noProof/>
                <w:webHidden/>
              </w:rPr>
              <w:instrText xml:space="preserve"> PAGEREF _Toc370819171 \h </w:instrText>
            </w:r>
            <w:r w:rsidR="001313F9">
              <w:rPr>
                <w:noProof/>
                <w:webHidden/>
              </w:rPr>
            </w:r>
            <w:r w:rsidR="001313F9">
              <w:rPr>
                <w:noProof/>
                <w:webHidden/>
              </w:rPr>
              <w:fldChar w:fldCharType="separate"/>
            </w:r>
            <w:r w:rsidR="001313F9">
              <w:rPr>
                <w:noProof/>
                <w:webHidden/>
              </w:rPr>
              <w:t>II</w:t>
            </w:r>
            <w:r w:rsidR="001313F9">
              <w:rPr>
                <w:noProof/>
                <w:webHidden/>
              </w:rPr>
              <w:fldChar w:fldCharType="end"/>
            </w:r>
          </w:hyperlink>
        </w:p>
        <w:p w:rsidR="001313F9" w:rsidRDefault="00A9701A">
          <w:pPr>
            <w:pStyle w:val="TOC1"/>
            <w:tabs>
              <w:tab w:val="left" w:pos="480"/>
              <w:tab w:val="right" w:leader="dot" w:pos="8330"/>
            </w:tabs>
            <w:rPr>
              <w:rFonts w:asciiTheme="minorHAnsi" w:eastAsiaTheme="minorEastAsia" w:hAnsiTheme="minorHAnsi" w:cstheme="minorBidi"/>
              <w:noProof/>
              <w:sz w:val="22"/>
              <w:szCs w:val="22"/>
              <w:lang w:eastAsia="en-GB"/>
            </w:rPr>
          </w:pPr>
          <w:hyperlink w:anchor="_Toc370819172" w:history="1">
            <w:r w:rsidR="001313F9" w:rsidRPr="00B8197B">
              <w:rPr>
                <w:rStyle w:val="Hyperlink"/>
                <w:rFonts w:ascii="Times New Roman" w:eastAsia="Times New Roman" w:hAnsi="Times New Roman" w:cs="Times New Roman"/>
                <w:noProof/>
                <w14:scene3d>
                  <w14:camera w14:prst="orthographicFront"/>
                  <w14:lightRig w14:rig="threePt" w14:dir="t">
                    <w14:rot w14:lat="0" w14:lon="0" w14:rev="0"/>
                  </w14:lightRig>
                </w14:scene3d>
              </w:rPr>
              <w:t>2.</w:t>
            </w:r>
            <w:r w:rsidR="001313F9">
              <w:rPr>
                <w:rFonts w:asciiTheme="minorHAnsi" w:eastAsiaTheme="minorEastAsia" w:hAnsiTheme="minorHAnsi" w:cstheme="minorBidi"/>
                <w:noProof/>
                <w:sz w:val="22"/>
                <w:szCs w:val="22"/>
                <w:lang w:eastAsia="en-GB"/>
              </w:rPr>
              <w:tab/>
            </w:r>
            <w:r w:rsidR="001313F9" w:rsidRPr="00B8197B">
              <w:rPr>
                <w:rStyle w:val="Hyperlink"/>
                <w:noProof/>
                <w:spacing w:val="5"/>
              </w:rPr>
              <w:t>ACKNOWLEDGEMENTS</w:t>
            </w:r>
            <w:r w:rsidR="001313F9">
              <w:rPr>
                <w:noProof/>
                <w:webHidden/>
              </w:rPr>
              <w:tab/>
            </w:r>
            <w:r w:rsidR="001313F9">
              <w:rPr>
                <w:noProof/>
                <w:webHidden/>
              </w:rPr>
              <w:fldChar w:fldCharType="begin"/>
            </w:r>
            <w:r w:rsidR="001313F9">
              <w:rPr>
                <w:noProof/>
                <w:webHidden/>
              </w:rPr>
              <w:instrText xml:space="preserve"> PAGEREF _Toc370819172 \h </w:instrText>
            </w:r>
            <w:r w:rsidR="001313F9">
              <w:rPr>
                <w:noProof/>
                <w:webHidden/>
              </w:rPr>
            </w:r>
            <w:r w:rsidR="001313F9">
              <w:rPr>
                <w:noProof/>
                <w:webHidden/>
              </w:rPr>
              <w:fldChar w:fldCharType="separate"/>
            </w:r>
            <w:r w:rsidR="001313F9">
              <w:rPr>
                <w:noProof/>
                <w:webHidden/>
              </w:rPr>
              <w:t>VII</w:t>
            </w:r>
            <w:r w:rsidR="001313F9">
              <w:rPr>
                <w:noProof/>
                <w:webHidden/>
              </w:rPr>
              <w:fldChar w:fldCharType="end"/>
            </w:r>
          </w:hyperlink>
        </w:p>
        <w:p w:rsidR="001313F9" w:rsidRDefault="00A9701A">
          <w:pPr>
            <w:pStyle w:val="TOC1"/>
            <w:tabs>
              <w:tab w:val="left" w:pos="480"/>
              <w:tab w:val="right" w:leader="dot" w:pos="8330"/>
            </w:tabs>
            <w:rPr>
              <w:rFonts w:asciiTheme="minorHAnsi" w:eastAsiaTheme="minorEastAsia" w:hAnsiTheme="minorHAnsi" w:cstheme="minorBidi"/>
              <w:noProof/>
              <w:sz w:val="22"/>
              <w:szCs w:val="22"/>
              <w:lang w:eastAsia="en-GB"/>
            </w:rPr>
          </w:pPr>
          <w:hyperlink w:anchor="_Toc370819173" w:history="1">
            <w:r w:rsidR="001313F9" w:rsidRPr="00B8197B">
              <w:rPr>
                <w:rStyle w:val="Hyperlink"/>
                <w:noProof/>
                <w14:scene3d>
                  <w14:camera w14:prst="orthographicFront"/>
                  <w14:lightRig w14:rig="threePt" w14:dir="t">
                    <w14:rot w14:lat="0" w14:lon="0" w14:rev="0"/>
                  </w14:lightRig>
                </w14:scene3d>
              </w:rPr>
              <w:t>1.</w:t>
            </w:r>
            <w:r w:rsidR="001313F9">
              <w:rPr>
                <w:rFonts w:asciiTheme="minorHAnsi" w:eastAsiaTheme="minorEastAsia" w:hAnsiTheme="minorHAnsi" w:cstheme="minorBidi"/>
                <w:noProof/>
                <w:sz w:val="22"/>
                <w:szCs w:val="22"/>
                <w:lang w:eastAsia="en-GB"/>
              </w:rPr>
              <w:tab/>
            </w:r>
            <w:r w:rsidR="001313F9" w:rsidRPr="00B8197B">
              <w:rPr>
                <w:rStyle w:val="Hyperlink"/>
                <w:noProof/>
              </w:rPr>
              <w:t>Chapter 1</w:t>
            </w:r>
            <w:r w:rsidR="001313F9">
              <w:rPr>
                <w:noProof/>
                <w:webHidden/>
              </w:rPr>
              <w:tab/>
            </w:r>
            <w:r w:rsidR="001313F9">
              <w:rPr>
                <w:noProof/>
                <w:webHidden/>
              </w:rPr>
              <w:fldChar w:fldCharType="begin"/>
            </w:r>
            <w:r w:rsidR="001313F9">
              <w:rPr>
                <w:noProof/>
                <w:webHidden/>
              </w:rPr>
              <w:instrText xml:space="preserve"> PAGEREF _Toc370819173 \h </w:instrText>
            </w:r>
            <w:r w:rsidR="001313F9">
              <w:rPr>
                <w:noProof/>
                <w:webHidden/>
              </w:rPr>
            </w:r>
            <w:r w:rsidR="001313F9">
              <w:rPr>
                <w:noProof/>
                <w:webHidden/>
              </w:rPr>
              <w:fldChar w:fldCharType="separate"/>
            </w:r>
            <w:r w:rsidR="001313F9">
              <w:rPr>
                <w:noProof/>
                <w:webHidden/>
              </w:rPr>
              <w:t>1</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174" w:history="1">
            <w:r w:rsidR="001313F9" w:rsidRPr="00B8197B">
              <w:rPr>
                <w:rStyle w:val="Hyperlink"/>
                <w:noProof/>
                <w14:scene3d>
                  <w14:camera w14:prst="orthographicFront"/>
                  <w14:lightRig w14:rig="threePt" w14:dir="t">
                    <w14:rot w14:lat="0" w14:lon="0" w14:rev="0"/>
                  </w14:lightRig>
                </w14:scene3d>
              </w:rPr>
              <w:t>1.1</w:t>
            </w:r>
            <w:r w:rsidR="001313F9">
              <w:rPr>
                <w:rFonts w:asciiTheme="minorHAnsi" w:eastAsiaTheme="minorEastAsia" w:hAnsiTheme="minorHAnsi" w:cstheme="minorBidi"/>
                <w:noProof/>
                <w:sz w:val="22"/>
                <w:szCs w:val="22"/>
                <w:lang w:eastAsia="en-GB"/>
              </w:rPr>
              <w:tab/>
            </w:r>
            <w:r w:rsidR="001313F9" w:rsidRPr="00B8197B">
              <w:rPr>
                <w:rStyle w:val="Hyperlink"/>
                <w:noProof/>
              </w:rPr>
              <w:t>INTRODUCTION</w:t>
            </w:r>
            <w:r w:rsidR="001313F9">
              <w:rPr>
                <w:noProof/>
                <w:webHidden/>
              </w:rPr>
              <w:tab/>
            </w:r>
            <w:r w:rsidR="001313F9">
              <w:rPr>
                <w:noProof/>
                <w:webHidden/>
              </w:rPr>
              <w:fldChar w:fldCharType="begin"/>
            </w:r>
            <w:r w:rsidR="001313F9">
              <w:rPr>
                <w:noProof/>
                <w:webHidden/>
              </w:rPr>
              <w:instrText xml:space="preserve"> PAGEREF _Toc370819174 \h </w:instrText>
            </w:r>
            <w:r w:rsidR="001313F9">
              <w:rPr>
                <w:noProof/>
                <w:webHidden/>
              </w:rPr>
            </w:r>
            <w:r w:rsidR="001313F9">
              <w:rPr>
                <w:noProof/>
                <w:webHidden/>
              </w:rPr>
              <w:fldChar w:fldCharType="separate"/>
            </w:r>
            <w:r w:rsidR="001313F9">
              <w:rPr>
                <w:noProof/>
                <w:webHidden/>
              </w:rPr>
              <w:t>1</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175" w:history="1">
            <w:r w:rsidR="001313F9" w:rsidRPr="00B8197B">
              <w:rPr>
                <w:rStyle w:val="Hyperlink"/>
                <w:noProof/>
                <w14:scene3d>
                  <w14:camera w14:prst="orthographicFront"/>
                  <w14:lightRig w14:rig="threePt" w14:dir="t">
                    <w14:rot w14:lat="0" w14:lon="0" w14:rev="0"/>
                  </w14:lightRig>
                </w14:scene3d>
              </w:rPr>
              <w:t>1.2</w:t>
            </w:r>
            <w:r w:rsidR="001313F9">
              <w:rPr>
                <w:rFonts w:asciiTheme="minorHAnsi" w:eastAsiaTheme="minorEastAsia" w:hAnsiTheme="minorHAnsi" w:cstheme="minorBidi"/>
                <w:noProof/>
                <w:sz w:val="22"/>
                <w:szCs w:val="22"/>
                <w:lang w:eastAsia="en-GB"/>
              </w:rPr>
              <w:tab/>
            </w:r>
            <w:r w:rsidR="001313F9" w:rsidRPr="00B8197B">
              <w:rPr>
                <w:rStyle w:val="Hyperlink"/>
                <w:noProof/>
              </w:rPr>
              <w:t>Literature Review</w:t>
            </w:r>
            <w:r w:rsidR="001313F9">
              <w:rPr>
                <w:noProof/>
                <w:webHidden/>
              </w:rPr>
              <w:tab/>
            </w:r>
            <w:r w:rsidR="001313F9">
              <w:rPr>
                <w:noProof/>
                <w:webHidden/>
              </w:rPr>
              <w:fldChar w:fldCharType="begin"/>
            </w:r>
            <w:r w:rsidR="001313F9">
              <w:rPr>
                <w:noProof/>
                <w:webHidden/>
              </w:rPr>
              <w:instrText xml:space="preserve"> PAGEREF _Toc370819175 \h </w:instrText>
            </w:r>
            <w:r w:rsidR="001313F9">
              <w:rPr>
                <w:noProof/>
                <w:webHidden/>
              </w:rPr>
            </w:r>
            <w:r w:rsidR="001313F9">
              <w:rPr>
                <w:noProof/>
                <w:webHidden/>
              </w:rPr>
              <w:fldChar w:fldCharType="separate"/>
            </w:r>
            <w:r w:rsidR="001313F9">
              <w:rPr>
                <w:noProof/>
                <w:webHidden/>
              </w:rPr>
              <w:t>4</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176" w:history="1">
            <w:r w:rsidR="001313F9" w:rsidRPr="00B8197B">
              <w:rPr>
                <w:rStyle w:val="Hyperlink"/>
                <w:noProof/>
                <w14:scene3d>
                  <w14:camera w14:prst="orthographicFront"/>
                  <w14:lightRig w14:rig="threePt" w14:dir="t">
                    <w14:rot w14:lat="0" w14:lon="0" w14:rev="0"/>
                  </w14:lightRig>
                </w14:scene3d>
              </w:rPr>
              <w:t>1.3</w:t>
            </w:r>
            <w:r w:rsidR="001313F9">
              <w:rPr>
                <w:rFonts w:asciiTheme="minorHAnsi" w:eastAsiaTheme="minorEastAsia" w:hAnsiTheme="minorHAnsi" w:cstheme="minorBidi"/>
                <w:noProof/>
                <w:sz w:val="22"/>
                <w:szCs w:val="22"/>
                <w:lang w:eastAsia="en-GB"/>
              </w:rPr>
              <w:tab/>
            </w:r>
            <w:r w:rsidR="001313F9" w:rsidRPr="00B8197B">
              <w:rPr>
                <w:rStyle w:val="Hyperlink"/>
                <w:noProof/>
              </w:rPr>
              <w:t>A Systematic Review of the Evidence.</w:t>
            </w:r>
            <w:r w:rsidR="001313F9">
              <w:rPr>
                <w:noProof/>
                <w:webHidden/>
              </w:rPr>
              <w:tab/>
            </w:r>
            <w:r w:rsidR="001313F9">
              <w:rPr>
                <w:noProof/>
                <w:webHidden/>
              </w:rPr>
              <w:fldChar w:fldCharType="begin"/>
            </w:r>
            <w:r w:rsidR="001313F9">
              <w:rPr>
                <w:noProof/>
                <w:webHidden/>
              </w:rPr>
              <w:instrText xml:space="preserve"> PAGEREF _Toc370819176 \h </w:instrText>
            </w:r>
            <w:r w:rsidR="001313F9">
              <w:rPr>
                <w:noProof/>
                <w:webHidden/>
              </w:rPr>
            </w:r>
            <w:r w:rsidR="001313F9">
              <w:rPr>
                <w:noProof/>
                <w:webHidden/>
              </w:rPr>
              <w:fldChar w:fldCharType="separate"/>
            </w:r>
            <w:r w:rsidR="001313F9">
              <w:rPr>
                <w:noProof/>
                <w:webHidden/>
              </w:rPr>
              <w:t>5</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177" w:history="1">
            <w:r w:rsidR="001313F9" w:rsidRPr="00B8197B">
              <w:rPr>
                <w:rStyle w:val="Hyperlink"/>
                <w:noProof/>
                <w14:scene3d>
                  <w14:camera w14:prst="orthographicFront"/>
                  <w14:lightRig w14:rig="threePt" w14:dir="t">
                    <w14:rot w14:lat="0" w14:lon="0" w14:rev="0"/>
                  </w14:lightRig>
                </w14:scene3d>
              </w:rPr>
              <w:t>1.3.1</w:t>
            </w:r>
            <w:r w:rsidR="001313F9">
              <w:rPr>
                <w:rFonts w:asciiTheme="minorHAnsi" w:eastAsiaTheme="minorEastAsia" w:hAnsiTheme="minorHAnsi" w:cstheme="minorBidi"/>
                <w:noProof/>
                <w:sz w:val="22"/>
                <w:szCs w:val="22"/>
                <w:lang w:eastAsia="en-GB"/>
              </w:rPr>
              <w:tab/>
            </w:r>
            <w:r w:rsidR="001313F9" w:rsidRPr="00B8197B">
              <w:rPr>
                <w:rStyle w:val="Hyperlink"/>
                <w:noProof/>
              </w:rPr>
              <w:t>INTRODUCTION</w:t>
            </w:r>
            <w:r w:rsidR="001313F9">
              <w:rPr>
                <w:noProof/>
                <w:webHidden/>
              </w:rPr>
              <w:tab/>
            </w:r>
            <w:r w:rsidR="001313F9">
              <w:rPr>
                <w:noProof/>
                <w:webHidden/>
              </w:rPr>
              <w:fldChar w:fldCharType="begin"/>
            </w:r>
            <w:r w:rsidR="001313F9">
              <w:rPr>
                <w:noProof/>
                <w:webHidden/>
              </w:rPr>
              <w:instrText xml:space="preserve"> PAGEREF _Toc370819177 \h </w:instrText>
            </w:r>
            <w:r w:rsidR="001313F9">
              <w:rPr>
                <w:noProof/>
                <w:webHidden/>
              </w:rPr>
            </w:r>
            <w:r w:rsidR="001313F9">
              <w:rPr>
                <w:noProof/>
                <w:webHidden/>
              </w:rPr>
              <w:fldChar w:fldCharType="separate"/>
            </w:r>
            <w:r w:rsidR="001313F9">
              <w:rPr>
                <w:noProof/>
                <w:webHidden/>
              </w:rPr>
              <w:t>5</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178" w:history="1">
            <w:r w:rsidR="001313F9" w:rsidRPr="00B8197B">
              <w:rPr>
                <w:rStyle w:val="Hyperlink"/>
                <w:noProof/>
                <w14:scene3d>
                  <w14:camera w14:prst="orthographicFront"/>
                  <w14:lightRig w14:rig="threePt" w14:dir="t">
                    <w14:rot w14:lat="0" w14:lon="0" w14:rev="0"/>
                  </w14:lightRig>
                </w14:scene3d>
              </w:rPr>
              <w:t>1.3.2</w:t>
            </w:r>
            <w:r w:rsidR="001313F9">
              <w:rPr>
                <w:rFonts w:asciiTheme="minorHAnsi" w:eastAsiaTheme="minorEastAsia" w:hAnsiTheme="minorHAnsi" w:cstheme="minorBidi"/>
                <w:noProof/>
                <w:sz w:val="22"/>
                <w:szCs w:val="22"/>
                <w:lang w:eastAsia="en-GB"/>
              </w:rPr>
              <w:tab/>
            </w:r>
            <w:r w:rsidR="001313F9" w:rsidRPr="00B8197B">
              <w:rPr>
                <w:rStyle w:val="Hyperlink"/>
                <w:noProof/>
              </w:rPr>
              <w:t>OBJECTIVES OF THE REVIEW</w:t>
            </w:r>
            <w:r w:rsidR="001313F9">
              <w:rPr>
                <w:noProof/>
                <w:webHidden/>
              </w:rPr>
              <w:tab/>
            </w:r>
            <w:r w:rsidR="001313F9">
              <w:rPr>
                <w:noProof/>
                <w:webHidden/>
              </w:rPr>
              <w:fldChar w:fldCharType="begin"/>
            </w:r>
            <w:r w:rsidR="001313F9">
              <w:rPr>
                <w:noProof/>
                <w:webHidden/>
              </w:rPr>
              <w:instrText xml:space="preserve"> PAGEREF _Toc370819178 \h </w:instrText>
            </w:r>
            <w:r w:rsidR="001313F9">
              <w:rPr>
                <w:noProof/>
                <w:webHidden/>
              </w:rPr>
            </w:r>
            <w:r w:rsidR="001313F9">
              <w:rPr>
                <w:noProof/>
                <w:webHidden/>
              </w:rPr>
              <w:fldChar w:fldCharType="separate"/>
            </w:r>
            <w:r w:rsidR="001313F9">
              <w:rPr>
                <w:noProof/>
                <w:webHidden/>
              </w:rPr>
              <w:t>8</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179" w:history="1">
            <w:r w:rsidR="001313F9" w:rsidRPr="00B8197B">
              <w:rPr>
                <w:rStyle w:val="Hyperlink"/>
                <w:noProof/>
                <w14:scene3d>
                  <w14:camera w14:prst="orthographicFront"/>
                  <w14:lightRig w14:rig="threePt" w14:dir="t">
                    <w14:rot w14:lat="0" w14:lon="0" w14:rev="0"/>
                  </w14:lightRig>
                </w14:scene3d>
              </w:rPr>
              <w:t>1.4</w:t>
            </w:r>
            <w:r w:rsidR="001313F9">
              <w:rPr>
                <w:rFonts w:asciiTheme="minorHAnsi" w:eastAsiaTheme="minorEastAsia" w:hAnsiTheme="minorHAnsi" w:cstheme="minorBidi"/>
                <w:noProof/>
                <w:sz w:val="22"/>
                <w:szCs w:val="22"/>
                <w:lang w:eastAsia="en-GB"/>
              </w:rPr>
              <w:tab/>
            </w:r>
            <w:r w:rsidR="001313F9" w:rsidRPr="00B8197B">
              <w:rPr>
                <w:rStyle w:val="Hyperlink"/>
                <w:noProof/>
              </w:rPr>
              <w:t>METHODOLOGY.</w:t>
            </w:r>
            <w:r w:rsidR="001313F9">
              <w:rPr>
                <w:noProof/>
                <w:webHidden/>
              </w:rPr>
              <w:tab/>
            </w:r>
            <w:r w:rsidR="001313F9">
              <w:rPr>
                <w:noProof/>
                <w:webHidden/>
              </w:rPr>
              <w:fldChar w:fldCharType="begin"/>
            </w:r>
            <w:r w:rsidR="001313F9">
              <w:rPr>
                <w:noProof/>
                <w:webHidden/>
              </w:rPr>
              <w:instrText xml:space="preserve"> PAGEREF _Toc370819179 \h </w:instrText>
            </w:r>
            <w:r w:rsidR="001313F9">
              <w:rPr>
                <w:noProof/>
                <w:webHidden/>
              </w:rPr>
            </w:r>
            <w:r w:rsidR="001313F9">
              <w:rPr>
                <w:noProof/>
                <w:webHidden/>
              </w:rPr>
              <w:fldChar w:fldCharType="separate"/>
            </w:r>
            <w:r w:rsidR="001313F9">
              <w:rPr>
                <w:noProof/>
                <w:webHidden/>
              </w:rPr>
              <w:t>9</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180" w:history="1">
            <w:r w:rsidR="001313F9" w:rsidRPr="00B8197B">
              <w:rPr>
                <w:rStyle w:val="Hyperlink"/>
                <w:noProof/>
                <w14:scene3d>
                  <w14:camera w14:prst="orthographicFront"/>
                  <w14:lightRig w14:rig="threePt" w14:dir="t">
                    <w14:rot w14:lat="0" w14:lon="0" w14:rev="0"/>
                  </w14:lightRig>
                </w14:scene3d>
              </w:rPr>
              <w:t>1.4.1</w:t>
            </w:r>
            <w:r w:rsidR="001313F9">
              <w:rPr>
                <w:rFonts w:asciiTheme="minorHAnsi" w:eastAsiaTheme="minorEastAsia" w:hAnsiTheme="minorHAnsi" w:cstheme="minorBidi"/>
                <w:noProof/>
                <w:sz w:val="22"/>
                <w:szCs w:val="22"/>
                <w:lang w:eastAsia="en-GB"/>
              </w:rPr>
              <w:tab/>
            </w:r>
            <w:r w:rsidR="001313F9" w:rsidRPr="00B8197B">
              <w:rPr>
                <w:rStyle w:val="Hyperlink"/>
                <w:noProof/>
              </w:rPr>
              <w:t>Search strategy for identification of studies.</w:t>
            </w:r>
            <w:r w:rsidR="001313F9">
              <w:rPr>
                <w:noProof/>
                <w:webHidden/>
              </w:rPr>
              <w:tab/>
            </w:r>
            <w:r w:rsidR="001313F9">
              <w:rPr>
                <w:noProof/>
                <w:webHidden/>
              </w:rPr>
              <w:fldChar w:fldCharType="begin"/>
            </w:r>
            <w:r w:rsidR="001313F9">
              <w:rPr>
                <w:noProof/>
                <w:webHidden/>
              </w:rPr>
              <w:instrText xml:space="preserve"> PAGEREF _Toc370819180 \h </w:instrText>
            </w:r>
            <w:r w:rsidR="001313F9">
              <w:rPr>
                <w:noProof/>
                <w:webHidden/>
              </w:rPr>
            </w:r>
            <w:r w:rsidR="001313F9">
              <w:rPr>
                <w:noProof/>
                <w:webHidden/>
              </w:rPr>
              <w:fldChar w:fldCharType="separate"/>
            </w:r>
            <w:r w:rsidR="001313F9">
              <w:rPr>
                <w:noProof/>
                <w:webHidden/>
              </w:rPr>
              <w:t>9</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181" w:history="1">
            <w:r w:rsidR="001313F9" w:rsidRPr="00B8197B">
              <w:rPr>
                <w:rStyle w:val="Hyperlink"/>
                <w:noProof/>
                <w14:scene3d>
                  <w14:camera w14:prst="orthographicFront"/>
                  <w14:lightRig w14:rig="threePt" w14:dir="t">
                    <w14:rot w14:lat="0" w14:lon="0" w14:rev="0"/>
                  </w14:lightRig>
                </w14:scene3d>
              </w:rPr>
              <w:t>1.4.2</w:t>
            </w:r>
            <w:r w:rsidR="001313F9">
              <w:rPr>
                <w:rFonts w:asciiTheme="minorHAnsi" w:eastAsiaTheme="minorEastAsia" w:hAnsiTheme="minorHAnsi" w:cstheme="minorBidi"/>
                <w:noProof/>
                <w:sz w:val="22"/>
                <w:szCs w:val="22"/>
                <w:lang w:eastAsia="en-GB"/>
              </w:rPr>
              <w:tab/>
            </w:r>
            <w:r w:rsidR="001313F9" w:rsidRPr="00B8197B">
              <w:rPr>
                <w:rStyle w:val="Hyperlink"/>
                <w:noProof/>
              </w:rPr>
              <w:t>Electronic Search strategy.</w:t>
            </w:r>
            <w:r w:rsidR="001313F9">
              <w:rPr>
                <w:noProof/>
                <w:webHidden/>
              </w:rPr>
              <w:tab/>
            </w:r>
            <w:r w:rsidR="001313F9">
              <w:rPr>
                <w:noProof/>
                <w:webHidden/>
              </w:rPr>
              <w:fldChar w:fldCharType="begin"/>
            </w:r>
            <w:r w:rsidR="001313F9">
              <w:rPr>
                <w:noProof/>
                <w:webHidden/>
              </w:rPr>
              <w:instrText xml:space="preserve"> PAGEREF _Toc370819181 \h </w:instrText>
            </w:r>
            <w:r w:rsidR="001313F9">
              <w:rPr>
                <w:noProof/>
                <w:webHidden/>
              </w:rPr>
            </w:r>
            <w:r w:rsidR="001313F9">
              <w:rPr>
                <w:noProof/>
                <w:webHidden/>
              </w:rPr>
              <w:fldChar w:fldCharType="separate"/>
            </w:r>
            <w:r w:rsidR="001313F9">
              <w:rPr>
                <w:noProof/>
                <w:webHidden/>
              </w:rPr>
              <w:t>9</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182" w:history="1">
            <w:r w:rsidR="001313F9" w:rsidRPr="00B8197B">
              <w:rPr>
                <w:rStyle w:val="Hyperlink"/>
                <w:noProof/>
                <w14:scene3d>
                  <w14:camera w14:prst="orthographicFront"/>
                  <w14:lightRig w14:rig="threePt" w14:dir="t">
                    <w14:rot w14:lat="0" w14:lon="0" w14:rev="0"/>
                  </w14:lightRig>
                </w14:scene3d>
              </w:rPr>
              <w:t>1.4.3</w:t>
            </w:r>
            <w:r w:rsidR="001313F9">
              <w:rPr>
                <w:rFonts w:asciiTheme="minorHAnsi" w:eastAsiaTheme="minorEastAsia" w:hAnsiTheme="minorHAnsi" w:cstheme="minorBidi"/>
                <w:noProof/>
                <w:sz w:val="22"/>
                <w:szCs w:val="22"/>
                <w:lang w:eastAsia="en-GB"/>
              </w:rPr>
              <w:tab/>
            </w:r>
            <w:r w:rsidR="001313F9" w:rsidRPr="00B8197B">
              <w:rPr>
                <w:rStyle w:val="Hyperlink"/>
                <w:noProof/>
              </w:rPr>
              <w:t>Subject search strategy for MEDLINE via OVID.</w:t>
            </w:r>
            <w:r w:rsidR="001313F9">
              <w:rPr>
                <w:noProof/>
                <w:webHidden/>
              </w:rPr>
              <w:tab/>
            </w:r>
            <w:r w:rsidR="001313F9">
              <w:rPr>
                <w:noProof/>
                <w:webHidden/>
              </w:rPr>
              <w:fldChar w:fldCharType="begin"/>
            </w:r>
            <w:r w:rsidR="001313F9">
              <w:rPr>
                <w:noProof/>
                <w:webHidden/>
              </w:rPr>
              <w:instrText xml:space="preserve"> PAGEREF _Toc370819182 \h </w:instrText>
            </w:r>
            <w:r w:rsidR="001313F9">
              <w:rPr>
                <w:noProof/>
                <w:webHidden/>
              </w:rPr>
            </w:r>
            <w:r w:rsidR="001313F9">
              <w:rPr>
                <w:noProof/>
                <w:webHidden/>
              </w:rPr>
              <w:fldChar w:fldCharType="separate"/>
            </w:r>
            <w:r w:rsidR="001313F9">
              <w:rPr>
                <w:noProof/>
                <w:webHidden/>
              </w:rPr>
              <w:t>9</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183" w:history="1">
            <w:r w:rsidR="001313F9" w:rsidRPr="00B8197B">
              <w:rPr>
                <w:rStyle w:val="Hyperlink"/>
                <w:noProof/>
                <w14:scene3d>
                  <w14:camera w14:prst="orthographicFront"/>
                  <w14:lightRig w14:rig="threePt" w14:dir="t">
                    <w14:rot w14:lat="0" w14:lon="0" w14:rev="0"/>
                  </w14:lightRig>
                </w14:scene3d>
              </w:rPr>
              <w:t>1.4.4</w:t>
            </w:r>
            <w:r w:rsidR="001313F9">
              <w:rPr>
                <w:rFonts w:asciiTheme="minorHAnsi" w:eastAsiaTheme="minorEastAsia" w:hAnsiTheme="minorHAnsi" w:cstheme="minorBidi"/>
                <w:noProof/>
                <w:sz w:val="22"/>
                <w:szCs w:val="22"/>
                <w:lang w:eastAsia="en-GB"/>
              </w:rPr>
              <w:tab/>
            </w:r>
            <w:r w:rsidR="001313F9" w:rsidRPr="00B8197B">
              <w:rPr>
                <w:rStyle w:val="Hyperlink"/>
                <w:noProof/>
              </w:rPr>
              <w:t>Subject search strategy for MEDLINE via OVID.</w:t>
            </w:r>
            <w:r w:rsidR="001313F9">
              <w:rPr>
                <w:noProof/>
                <w:webHidden/>
              </w:rPr>
              <w:tab/>
            </w:r>
            <w:r w:rsidR="001313F9">
              <w:rPr>
                <w:noProof/>
                <w:webHidden/>
              </w:rPr>
              <w:fldChar w:fldCharType="begin"/>
            </w:r>
            <w:r w:rsidR="001313F9">
              <w:rPr>
                <w:noProof/>
                <w:webHidden/>
              </w:rPr>
              <w:instrText xml:space="preserve"> PAGEREF _Toc370819183 \h </w:instrText>
            </w:r>
            <w:r w:rsidR="001313F9">
              <w:rPr>
                <w:noProof/>
                <w:webHidden/>
              </w:rPr>
            </w:r>
            <w:r w:rsidR="001313F9">
              <w:rPr>
                <w:noProof/>
                <w:webHidden/>
              </w:rPr>
              <w:fldChar w:fldCharType="separate"/>
            </w:r>
            <w:r w:rsidR="001313F9">
              <w:rPr>
                <w:noProof/>
                <w:webHidden/>
              </w:rPr>
              <w:t>10</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184" w:history="1">
            <w:r w:rsidR="001313F9" w:rsidRPr="00B8197B">
              <w:rPr>
                <w:rStyle w:val="Hyperlink"/>
                <w:noProof/>
                <w14:scene3d>
                  <w14:camera w14:prst="orthographicFront"/>
                  <w14:lightRig w14:rig="threePt" w14:dir="t">
                    <w14:rot w14:lat="0" w14:lon="0" w14:rev="0"/>
                  </w14:lightRig>
                </w14:scene3d>
              </w:rPr>
              <w:t>1.4.5</w:t>
            </w:r>
            <w:r w:rsidR="001313F9">
              <w:rPr>
                <w:rFonts w:asciiTheme="minorHAnsi" w:eastAsiaTheme="minorEastAsia" w:hAnsiTheme="minorHAnsi" w:cstheme="minorBidi"/>
                <w:noProof/>
                <w:sz w:val="22"/>
                <w:szCs w:val="22"/>
                <w:lang w:eastAsia="en-GB"/>
              </w:rPr>
              <w:tab/>
            </w:r>
            <w:r w:rsidR="001313F9" w:rsidRPr="00B8197B">
              <w:rPr>
                <w:rStyle w:val="Hyperlink"/>
                <w:noProof/>
              </w:rPr>
              <w:t>Databases searched</w:t>
            </w:r>
            <w:r w:rsidR="001313F9">
              <w:rPr>
                <w:noProof/>
                <w:webHidden/>
              </w:rPr>
              <w:tab/>
            </w:r>
            <w:r w:rsidR="001313F9">
              <w:rPr>
                <w:noProof/>
                <w:webHidden/>
              </w:rPr>
              <w:fldChar w:fldCharType="begin"/>
            </w:r>
            <w:r w:rsidR="001313F9">
              <w:rPr>
                <w:noProof/>
                <w:webHidden/>
              </w:rPr>
              <w:instrText xml:space="preserve"> PAGEREF _Toc370819184 \h </w:instrText>
            </w:r>
            <w:r w:rsidR="001313F9">
              <w:rPr>
                <w:noProof/>
                <w:webHidden/>
              </w:rPr>
            </w:r>
            <w:r w:rsidR="001313F9">
              <w:rPr>
                <w:noProof/>
                <w:webHidden/>
              </w:rPr>
              <w:fldChar w:fldCharType="separate"/>
            </w:r>
            <w:r w:rsidR="001313F9">
              <w:rPr>
                <w:noProof/>
                <w:webHidden/>
              </w:rPr>
              <w:t>11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185" w:history="1">
            <w:r w:rsidR="001313F9" w:rsidRPr="00B8197B">
              <w:rPr>
                <w:rStyle w:val="Hyperlink"/>
                <w:noProof/>
                <w14:scene3d>
                  <w14:camera w14:prst="orthographicFront"/>
                  <w14:lightRig w14:rig="threePt" w14:dir="t">
                    <w14:rot w14:lat="0" w14:lon="0" w14:rev="0"/>
                  </w14:lightRig>
                </w14:scene3d>
              </w:rPr>
              <w:t>1.4.6</w:t>
            </w:r>
            <w:r w:rsidR="001313F9">
              <w:rPr>
                <w:rFonts w:asciiTheme="minorHAnsi" w:eastAsiaTheme="minorEastAsia" w:hAnsiTheme="minorHAnsi" w:cstheme="minorBidi"/>
                <w:noProof/>
                <w:sz w:val="22"/>
                <w:szCs w:val="22"/>
                <w:lang w:eastAsia="en-GB"/>
              </w:rPr>
              <w:tab/>
            </w:r>
            <w:r w:rsidR="001313F9" w:rsidRPr="00B8197B">
              <w:rPr>
                <w:rStyle w:val="Hyperlink"/>
                <w:noProof/>
              </w:rPr>
              <w:t>Hand search strategy</w:t>
            </w:r>
            <w:r w:rsidR="001313F9">
              <w:rPr>
                <w:noProof/>
                <w:webHidden/>
              </w:rPr>
              <w:tab/>
            </w:r>
            <w:r w:rsidR="001313F9">
              <w:rPr>
                <w:noProof/>
                <w:webHidden/>
              </w:rPr>
              <w:fldChar w:fldCharType="begin"/>
            </w:r>
            <w:r w:rsidR="001313F9">
              <w:rPr>
                <w:noProof/>
                <w:webHidden/>
              </w:rPr>
              <w:instrText xml:space="preserve"> PAGEREF _Toc370819185 \h </w:instrText>
            </w:r>
            <w:r w:rsidR="001313F9">
              <w:rPr>
                <w:noProof/>
                <w:webHidden/>
              </w:rPr>
            </w:r>
            <w:r w:rsidR="001313F9">
              <w:rPr>
                <w:noProof/>
                <w:webHidden/>
              </w:rPr>
              <w:fldChar w:fldCharType="separate"/>
            </w:r>
            <w:r w:rsidR="001313F9">
              <w:rPr>
                <w:noProof/>
                <w:webHidden/>
              </w:rPr>
              <w:t>12</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186" w:history="1">
            <w:r w:rsidR="001313F9" w:rsidRPr="00B8197B">
              <w:rPr>
                <w:rStyle w:val="Hyperlink"/>
                <w:noProof/>
                <w14:scene3d>
                  <w14:camera w14:prst="orthographicFront"/>
                  <w14:lightRig w14:rig="threePt" w14:dir="t">
                    <w14:rot w14:lat="0" w14:lon="0" w14:rev="0"/>
                  </w14:lightRig>
                </w14:scene3d>
              </w:rPr>
              <w:t>1.4.7</w:t>
            </w:r>
            <w:r w:rsidR="001313F9">
              <w:rPr>
                <w:rFonts w:asciiTheme="minorHAnsi" w:eastAsiaTheme="minorEastAsia" w:hAnsiTheme="minorHAnsi" w:cstheme="minorBidi"/>
                <w:noProof/>
                <w:sz w:val="22"/>
                <w:szCs w:val="22"/>
                <w:lang w:eastAsia="en-GB"/>
              </w:rPr>
              <w:tab/>
            </w:r>
            <w:r w:rsidR="001313F9" w:rsidRPr="00B8197B">
              <w:rPr>
                <w:rStyle w:val="Hyperlink"/>
                <w:noProof/>
              </w:rPr>
              <w:t>The key journals that have been identified were as follows:</w:t>
            </w:r>
            <w:r w:rsidR="001313F9">
              <w:rPr>
                <w:noProof/>
                <w:webHidden/>
              </w:rPr>
              <w:tab/>
            </w:r>
            <w:r w:rsidR="001313F9">
              <w:rPr>
                <w:noProof/>
                <w:webHidden/>
              </w:rPr>
              <w:fldChar w:fldCharType="begin"/>
            </w:r>
            <w:r w:rsidR="001313F9">
              <w:rPr>
                <w:noProof/>
                <w:webHidden/>
              </w:rPr>
              <w:instrText xml:space="preserve"> PAGEREF _Toc370819186 \h </w:instrText>
            </w:r>
            <w:r w:rsidR="001313F9">
              <w:rPr>
                <w:noProof/>
                <w:webHidden/>
              </w:rPr>
            </w:r>
            <w:r w:rsidR="001313F9">
              <w:rPr>
                <w:noProof/>
                <w:webHidden/>
              </w:rPr>
              <w:fldChar w:fldCharType="separate"/>
            </w:r>
            <w:r w:rsidR="001313F9">
              <w:rPr>
                <w:noProof/>
                <w:webHidden/>
              </w:rPr>
              <w:t>13</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187" w:history="1">
            <w:r w:rsidR="001313F9" w:rsidRPr="00B8197B">
              <w:rPr>
                <w:rStyle w:val="Hyperlink"/>
                <w:noProof/>
                <w14:scene3d>
                  <w14:camera w14:prst="orthographicFront"/>
                  <w14:lightRig w14:rig="threePt" w14:dir="t">
                    <w14:rot w14:lat="0" w14:lon="0" w14:rev="0"/>
                  </w14:lightRig>
                </w14:scene3d>
              </w:rPr>
              <w:t>1.4.8</w:t>
            </w:r>
            <w:r w:rsidR="001313F9">
              <w:rPr>
                <w:rFonts w:asciiTheme="minorHAnsi" w:eastAsiaTheme="minorEastAsia" w:hAnsiTheme="minorHAnsi" w:cstheme="minorBidi"/>
                <w:noProof/>
                <w:sz w:val="22"/>
                <w:szCs w:val="22"/>
                <w:lang w:eastAsia="en-GB"/>
              </w:rPr>
              <w:tab/>
            </w:r>
            <w:r w:rsidR="001313F9" w:rsidRPr="00B8197B">
              <w:rPr>
                <w:rStyle w:val="Hyperlink"/>
                <w:noProof/>
              </w:rPr>
              <w:t>Personal contacts</w:t>
            </w:r>
            <w:r w:rsidR="001313F9">
              <w:rPr>
                <w:noProof/>
                <w:webHidden/>
              </w:rPr>
              <w:tab/>
            </w:r>
            <w:r w:rsidR="001313F9">
              <w:rPr>
                <w:noProof/>
                <w:webHidden/>
              </w:rPr>
              <w:fldChar w:fldCharType="begin"/>
            </w:r>
            <w:r w:rsidR="001313F9">
              <w:rPr>
                <w:noProof/>
                <w:webHidden/>
              </w:rPr>
              <w:instrText xml:space="preserve"> PAGEREF _Toc370819187 \h </w:instrText>
            </w:r>
            <w:r w:rsidR="001313F9">
              <w:rPr>
                <w:noProof/>
                <w:webHidden/>
              </w:rPr>
            </w:r>
            <w:r w:rsidR="001313F9">
              <w:rPr>
                <w:noProof/>
                <w:webHidden/>
              </w:rPr>
              <w:fldChar w:fldCharType="separate"/>
            </w:r>
            <w:r w:rsidR="001313F9">
              <w:rPr>
                <w:noProof/>
                <w:webHidden/>
              </w:rPr>
              <w:t>14</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188" w:history="1">
            <w:r w:rsidR="001313F9" w:rsidRPr="00B8197B">
              <w:rPr>
                <w:rStyle w:val="Hyperlink"/>
                <w:noProof/>
                <w14:scene3d>
                  <w14:camera w14:prst="orthographicFront"/>
                  <w14:lightRig w14:rig="threePt" w14:dir="t">
                    <w14:rot w14:lat="0" w14:lon="0" w14:rev="0"/>
                  </w14:lightRig>
                </w14:scene3d>
              </w:rPr>
              <w:t>1.4.9</w:t>
            </w:r>
            <w:r w:rsidR="001313F9">
              <w:rPr>
                <w:rFonts w:asciiTheme="minorHAnsi" w:eastAsiaTheme="minorEastAsia" w:hAnsiTheme="minorHAnsi" w:cstheme="minorBidi"/>
                <w:noProof/>
                <w:sz w:val="22"/>
                <w:szCs w:val="22"/>
                <w:lang w:eastAsia="en-GB"/>
              </w:rPr>
              <w:tab/>
            </w:r>
            <w:r w:rsidR="001313F9" w:rsidRPr="00B8197B">
              <w:rPr>
                <w:rStyle w:val="Hyperlink"/>
                <w:noProof/>
              </w:rPr>
              <w:t>Study selection process</w:t>
            </w:r>
            <w:r w:rsidR="001313F9">
              <w:rPr>
                <w:noProof/>
                <w:webHidden/>
              </w:rPr>
              <w:tab/>
            </w:r>
            <w:r w:rsidR="001313F9">
              <w:rPr>
                <w:noProof/>
                <w:webHidden/>
              </w:rPr>
              <w:fldChar w:fldCharType="begin"/>
            </w:r>
            <w:r w:rsidR="001313F9">
              <w:rPr>
                <w:noProof/>
                <w:webHidden/>
              </w:rPr>
              <w:instrText xml:space="preserve"> PAGEREF _Toc370819188 \h </w:instrText>
            </w:r>
            <w:r w:rsidR="001313F9">
              <w:rPr>
                <w:noProof/>
                <w:webHidden/>
              </w:rPr>
            </w:r>
            <w:r w:rsidR="001313F9">
              <w:rPr>
                <w:noProof/>
                <w:webHidden/>
              </w:rPr>
              <w:fldChar w:fldCharType="separate"/>
            </w:r>
            <w:r w:rsidR="001313F9">
              <w:rPr>
                <w:noProof/>
                <w:webHidden/>
              </w:rPr>
              <w:t>14</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189" w:history="1">
            <w:r w:rsidR="001313F9" w:rsidRPr="00B8197B">
              <w:rPr>
                <w:rStyle w:val="Hyperlink"/>
                <w:noProof/>
                <w14:scene3d>
                  <w14:camera w14:prst="orthographicFront"/>
                  <w14:lightRig w14:rig="threePt" w14:dir="t">
                    <w14:rot w14:lat="0" w14:lon="0" w14:rev="0"/>
                  </w14:lightRig>
                </w14:scene3d>
              </w:rPr>
              <w:t>1.4.10</w:t>
            </w:r>
            <w:r w:rsidR="001313F9">
              <w:rPr>
                <w:rFonts w:asciiTheme="minorHAnsi" w:eastAsiaTheme="minorEastAsia" w:hAnsiTheme="minorHAnsi" w:cstheme="minorBidi"/>
                <w:noProof/>
                <w:sz w:val="22"/>
                <w:szCs w:val="22"/>
                <w:lang w:eastAsia="en-GB"/>
              </w:rPr>
              <w:tab/>
            </w:r>
            <w:r w:rsidR="001313F9" w:rsidRPr="00B8197B">
              <w:rPr>
                <w:rStyle w:val="Hyperlink"/>
                <w:noProof/>
              </w:rPr>
              <w:t>Criteria for considering studies</w:t>
            </w:r>
            <w:r w:rsidR="001313F9">
              <w:rPr>
                <w:noProof/>
                <w:webHidden/>
              </w:rPr>
              <w:tab/>
            </w:r>
            <w:r w:rsidR="001313F9">
              <w:rPr>
                <w:noProof/>
                <w:webHidden/>
              </w:rPr>
              <w:fldChar w:fldCharType="begin"/>
            </w:r>
            <w:r w:rsidR="001313F9">
              <w:rPr>
                <w:noProof/>
                <w:webHidden/>
              </w:rPr>
              <w:instrText xml:space="preserve"> PAGEREF _Toc370819189 \h </w:instrText>
            </w:r>
            <w:r w:rsidR="001313F9">
              <w:rPr>
                <w:noProof/>
                <w:webHidden/>
              </w:rPr>
            </w:r>
            <w:r w:rsidR="001313F9">
              <w:rPr>
                <w:noProof/>
                <w:webHidden/>
              </w:rPr>
              <w:fldChar w:fldCharType="separate"/>
            </w:r>
            <w:r w:rsidR="001313F9">
              <w:rPr>
                <w:noProof/>
                <w:webHidden/>
              </w:rPr>
              <w:t>15</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190" w:history="1">
            <w:r w:rsidR="001313F9" w:rsidRPr="00B8197B">
              <w:rPr>
                <w:rStyle w:val="Hyperlink"/>
                <w:noProof/>
                <w14:scene3d>
                  <w14:camera w14:prst="orthographicFront"/>
                  <w14:lightRig w14:rig="threePt" w14:dir="t">
                    <w14:rot w14:lat="0" w14:lon="0" w14:rev="0"/>
                  </w14:lightRig>
                </w14:scene3d>
              </w:rPr>
              <w:t>1.4.11</w:t>
            </w:r>
            <w:r w:rsidR="001313F9">
              <w:rPr>
                <w:rFonts w:asciiTheme="minorHAnsi" w:eastAsiaTheme="minorEastAsia" w:hAnsiTheme="minorHAnsi" w:cstheme="minorBidi"/>
                <w:noProof/>
                <w:sz w:val="22"/>
                <w:szCs w:val="22"/>
                <w:lang w:eastAsia="en-GB"/>
              </w:rPr>
              <w:tab/>
            </w:r>
            <w:r w:rsidR="001313F9" w:rsidRPr="00B8197B">
              <w:rPr>
                <w:rStyle w:val="Hyperlink"/>
                <w:noProof/>
              </w:rPr>
              <w:t>Types of studies</w:t>
            </w:r>
            <w:r w:rsidR="001313F9">
              <w:rPr>
                <w:noProof/>
                <w:webHidden/>
              </w:rPr>
              <w:tab/>
            </w:r>
            <w:r w:rsidR="001313F9">
              <w:rPr>
                <w:noProof/>
                <w:webHidden/>
              </w:rPr>
              <w:fldChar w:fldCharType="begin"/>
            </w:r>
            <w:r w:rsidR="001313F9">
              <w:rPr>
                <w:noProof/>
                <w:webHidden/>
              </w:rPr>
              <w:instrText xml:space="preserve"> PAGEREF _Toc370819190 \h </w:instrText>
            </w:r>
            <w:r w:rsidR="001313F9">
              <w:rPr>
                <w:noProof/>
                <w:webHidden/>
              </w:rPr>
            </w:r>
            <w:r w:rsidR="001313F9">
              <w:rPr>
                <w:noProof/>
                <w:webHidden/>
              </w:rPr>
              <w:fldChar w:fldCharType="separate"/>
            </w:r>
            <w:r w:rsidR="001313F9">
              <w:rPr>
                <w:noProof/>
                <w:webHidden/>
              </w:rPr>
              <w:t>16</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191" w:history="1">
            <w:r w:rsidR="001313F9" w:rsidRPr="00B8197B">
              <w:rPr>
                <w:rStyle w:val="Hyperlink"/>
                <w:noProof/>
                <w14:scene3d>
                  <w14:camera w14:prst="orthographicFront"/>
                  <w14:lightRig w14:rig="threePt" w14:dir="t">
                    <w14:rot w14:lat="0" w14:lon="0" w14:rev="0"/>
                  </w14:lightRig>
                </w14:scene3d>
              </w:rPr>
              <w:t>1.4.12</w:t>
            </w:r>
            <w:r w:rsidR="001313F9">
              <w:rPr>
                <w:rFonts w:asciiTheme="minorHAnsi" w:eastAsiaTheme="minorEastAsia" w:hAnsiTheme="minorHAnsi" w:cstheme="minorBidi"/>
                <w:noProof/>
                <w:sz w:val="22"/>
                <w:szCs w:val="22"/>
                <w:lang w:eastAsia="en-GB"/>
              </w:rPr>
              <w:tab/>
            </w:r>
            <w:r w:rsidR="001313F9" w:rsidRPr="00B8197B">
              <w:rPr>
                <w:rStyle w:val="Hyperlink"/>
                <w:noProof/>
              </w:rPr>
              <w:t>Assessment of methodological quality of selected trials</w:t>
            </w:r>
            <w:r w:rsidR="001313F9">
              <w:rPr>
                <w:noProof/>
                <w:webHidden/>
              </w:rPr>
              <w:tab/>
            </w:r>
            <w:r w:rsidR="001313F9">
              <w:rPr>
                <w:noProof/>
                <w:webHidden/>
              </w:rPr>
              <w:fldChar w:fldCharType="begin"/>
            </w:r>
            <w:r w:rsidR="001313F9">
              <w:rPr>
                <w:noProof/>
                <w:webHidden/>
              </w:rPr>
              <w:instrText xml:space="preserve"> PAGEREF _Toc370819191 \h </w:instrText>
            </w:r>
            <w:r w:rsidR="001313F9">
              <w:rPr>
                <w:noProof/>
                <w:webHidden/>
              </w:rPr>
            </w:r>
            <w:r w:rsidR="001313F9">
              <w:rPr>
                <w:noProof/>
                <w:webHidden/>
              </w:rPr>
              <w:fldChar w:fldCharType="separate"/>
            </w:r>
            <w:r w:rsidR="001313F9">
              <w:rPr>
                <w:noProof/>
                <w:webHidden/>
              </w:rPr>
              <w:t>18</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192" w:history="1">
            <w:r w:rsidR="001313F9" w:rsidRPr="00B8197B">
              <w:rPr>
                <w:rStyle w:val="Hyperlink"/>
                <w:noProof/>
                <w14:scene3d>
                  <w14:camera w14:prst="orthographicFront"/>
                  <w14:lightRig w14:rig="threePt" w14:dir="t">
                    <w14:rot w14:lat="0" w14:lon="0" w14:rev="0"/>
                  </w14:lightRig>
                </w14:scene3d>
              </w:rPr>
              <w:t>1.4.13</w:t>
            </w:r>
            <w:r w:rsidR="001313F9">
              <w:rPr>
                <w:rFonts w:asciiTheme="minorHAnsi" w:eastAsiaTheme="minorEastAsia" w:hAnsiTheme="minorHAnsi" w:cstheme="minorBidi"/>
                <w:noProof/>
                <w:sz w:val="22"/>
                <w:szCs w:val="22"/>
                <w:lang w:eastAsia="en-GB"/>
              </w:rPr>
              <w:tab/>
            </w:r>
            <w:r w:rsidR="001313F9" w:rsidRPr="00B8197B">
              <w:rPr>
                <w:rStyle w:val="Hyperlink"/>
                <w:noProof/>
              </w:rPr>
              <w:t>Definition of success and failure criteria:</w:t>
            </w:r>
            <w:r w:rsidR="001313F9">
              <w:rPr>
                <w:noProof/>
                <w:webHidden/>
              </w:rPr>
              <w:tab/>
            </w:r>
            <w:r w:rsidR="001313F9">
              <w:rPr>
                <w:noProof/>
                <w:webHidden/>
              </w:rPr>
              <w:fldChar w:fldCharType="begin"/>
            </w:r>
            <w:r w:rsidR="001313F9">
              <w:rPr>
                <w:noProof/>
                <w:webHidden/>
              </w:rPr>
              <w:instrText xml:space="preserve"> PAGEREF _Toc370819192 \h </w:instrText>
            </w:r>
            <w:r w:rsidR="001313F9">
              <w:rPr>
                <w:noProof/>
                <w:webHidden/>
              </w:rPr>
            </w:r>
            <w:r w:rsidR="001313F9">
              <w:rPr>
                <w:noProof/>
                <w:webHidden/>
              </w:rPr>
              <w:fldChar w:fldCharType="separate"/>
            </w:r>
            <w:r w:rsidR="001313F9">
              <w:rPr>
                <w:noProof/>
                <w:webHidden/>
              </w:rPr>
              <w:t>20</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193" w:history="1">
            <w:r w:rsidR="001313F9" w:rsidRPr="00B8197B">
              <w:rPr>
                <w:rStyle w:val="Hyperlink"/>
                <w:noProof/>
                <w14:scene3d>
                  <w14:camera w14:prst="orthographicFront"/>
                  <w14:lightRig w14:rig="threePt" w14:dir="t">
                    <w14:rot w14:lat="0" w14:lon="0" w14:rev="0"/>
                  </w14:lightRig>
                </w14:scene3d>
              </w:rPr>
              <w:t>1.4.14</w:t>
            </w:r>
            <w:r w:rsidR="001313F9">
              <w:rPr>
                <w:rFonts w:asciiTheme="minorHAnsi" w:eastAsiaTheme="minorEastAsia" w:hAnsiTheme="minorHAnsi" w:cstheme="minorBidi"/>
                <w:noProof/>
                <w:sz w:val="22"/>
                <w:szCs w:val="22"/>
                <w:lang w:eastAsia="en-GB"/>
              </w:rPr>
              <w:tab/>
            </w:r>
            <w:r w:rsidR="001313F9" w:rsidRPr="00B8197B">
              <w:rPr>
                <w:rStyle w:val="Hyperlink"/>
                <w:noProof/>
              </w:rPr>
              <w:t>Data collection</w:t>
            </w:r>
            <w:r w:rsidR="001313F9">
              <w:rPr>
                <w:noProof/>
                <w:webHidden/>
              </w:rPr>
              <w:tab/>
            </w:r>
            <w:r w:rsidR="001313F9">
              <w:rPr>
                <w:noProof/>
                <w:webHidden/>
              </w:rPr>
              <w:fldChar w:fldCharType="begin"/>
            </w:r>
            <w:r w:rsidR="001313F9">
              <w:rPr>
                <w:noProof/>
                <w:webHidden/>
              </w:rPr>
              <w:instrText xml:space="preserve"> PAGEREF _Toc370819193 \h </w:instrText>
            </w:r>
            <w:r w:rsidR="001313F9">
              <w:rPr>
                <w:noProof/>
                <w:webHidden/>
              </w:rPr>
            </w:r>
            <w:r w:rsidR="001313F9">
              <w:rPr>
                <w:noProof/>
                <w:webHidden/>
              </w:rPr>
              <w:fldChar w:fldCharType="separate"/>
            </w:r>
            <w:r w:rsidR="001313F9">
              <w:rPr>
                <w:noProof/>
                <w:webHidden/>
              </w:rPr>
              <w:t>20</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194" w:history="1">
            <w:r w:rsidR="001313F9" w:rsidRPr="00B8197B">
              <w:rPr>
                <w:rStyle w:val="Hyperlink"/>
                <w:noProof/>
                <w14:scene3d>
                  <w14:camera w14:prst="orthographicFront"/>
                  <w14:lightRig w14:rig="threePt" w14:dir="t">
                    <w14:rot w14:lat="0" w14:lon="0" w14:rev="0"/>
                  </w14:lightRig>
                </w14:scene3d>
              </w:rPr>
              <w:t>1.4.15</w:t>
            </w:r>
            <w:r w:rsidR="001313F9">
              <w:rPr>
                <w:rFonts w:asciiTheme="minorHAnsi" w:eastAsiaTheme="minorEastAsia" w:hAnsiTheme="minorHAnsi" w:cstheme="minorBidi"/>
                <w:noProof/>
                <w:sz w:val="22"/>
                <w:szCs w:val="22"/>
                <w:lang w:eastAsia="en-GB"/>
              </w:rPr>
              <w:tab/>
            </w:r>
            <w:r w:rsidR="001313F9" w:rsidRPr="00B8197B">
              <w:rPr>
                <w:rStyle w:val="Hyperlink"/>
                <w:noProof/>
              </w:rPr>
              <w:t>RESULTS AND DISCUSSION</w:t>
            </w:r>
            <w:r w:rsidR="001313F9">
              <w:rPr>
                <w:noProof/>
                <w:webHidden/>
              </w:rPr>
              <w:tab/>
            </w:r>
            <w:r w:rsidR="001313F9">
              <w:rPr>
                <w:noProof/>
                <w:webHidden/>
              </w:rPr>
              <w:fldChar w:fldCharType="begin"/>
            </w:r>
            <w:r w:rsidR="001313F9">
              <w:rPr>
                <w:noProof/>
                <w:webHidden/>
              </w:rPr>
              <w:instrText xml:space="preserve"> PAGEREF _Toc370819194 \h </w:instrText>
            </w:r>
            <w:r w:rsidR="001313F9">
              <w:rPr>
                <w:noProof/>
                <w:webHidden/>
              </w:rPr>
            </w:r>
            <w:r w:rsidR="001313F9">
              <w:rPr>
                <w:noProof/>
                <w:webHidden/>
              </w:rPr>
              <w:fldChar w:fldCharType="separate"/>
            </w:r>
            <w:r w:rsidR="001313F9">
              <w:rPr>
                <w:noProof/>
                <w:webHidden/>
              </w:rPr>
              <w:t>22</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195" w:history="1">
            <w:r w:rsidR="001313F9" w:rsidRPr="00B8197B">
              <w:rPr>
                <w:rStyle w:val="Hyperlink"/>
                <w:noProof/>
                <w14:scene3d>
                  <w14:camera w14:prst="orthographicFront"/>
                  <w14:lightRig w14:rig="threePt" w14:dir="t">
                    <w14:rot w14:lat="0" w14:lon="0" w14:rev="0"/>
                  </w14:lightRig>
                </w14:scene3d>
              </w:rPr>
              <w:t>1.4.16</w:t>
            </w:r>
            <w:r w:rsidR="001313F9">
              <w:rPr>
                <w:rFonts w:asciiTheme="minorHAnsi" w:eastAsiaTheme="minorEastAsia" w:hAnsiTheme="minorHAnsi" w:cstheme="minorBidi"/>
                <w:noProof/>
                <w:sz w:val="22"/>
                <w:szCs w:val="22"/>
                <w:lang w:eastAsia="en-GB"/>
              </w:rPr>
              <w:tab/>
            </w:r>
            <w:r w:rsidR="001313F9" w:rsidRPr="00B8197B">
              <w:rPr>
                <w:rStyle w:val="Hyperlink"/>
                <w:noProof/>
              </w:rPr>
              <w:t>Recommended best practice based on the clinical experience of the guideline development group (SIGN).</w:t>
            </w:r>
            <w:r w:rsidR="001313F9">
              <w:rPr>
                <w:noProof/>
                <w:webHidden/>
              </w:rPr>
              <w:tab/>
            </w:r>
            <w:r w:rsidR="001313F9">
              <w:rPr>
                <w:noProof/>
                <w:webHidden/>
              </w:rPr>
              <w:fldChar w:fldCharType="begin"/>
            </w:r>
            <w:r w:rsidR="001313F9">
              <w:rPr>
                <w:noProof/>
                <w:webHidden/>
              </w:rPr>
              <w:instrText xml:space="preserve"> PAGEREF _Toc370819195 \h </w:instrText>
            </w:r>
            <w:r w:rsidR="001313F9">
              <w:rPr>
                <w:noProof/>
                <w:webHidden/>
              </w:rPr>
            </w:r>
            <w:r w:rsidR="001313F9">
              <w:rPr>
                <w:noProof/>
                <w:webHidden/>
              </w:rPr>
              <w:fldChar w:fldCharType="separate"/>
            </w:r>
            <w:r w:rsidR="001313F9">
              <w:rPr>
                <w:noProof/>
                <w:webHidden/>
              </w:rPr>
              <w:t>33</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196" w:history="1">
            <w:r w:rsidR="001313F9" w:rsidRPr="00B8197B">
              <w:rPr>
                <w:rStyle w:val="Hyperlink"/>
                <w:noProof/>
                <w14:scene3d>
                  <w14:camera w14:prst="orthographicFront"/>
                  <w14:lightRig w14:rig="threePt" w14:dir="t">
                    <w14:rot w14:lat="0" w14:lon="0" w14:rev="0"/>
                  </w14:lightRig>
                </w14:scene3d>
              </w:rPr>
              <w:t>1.4.17</w:t>
            </w:r>
            <w:r w:rsidR="001313F9">
              <w:rPr>
                <w:rFonts w:asciiTheme="minorHAnsi" w:eastAsiaTheme="minorEastAsia" w:hAnsiTheme="minorHAnsi" w:cstheme="minorBidi"/>
                <w:noProof/>
                <w:sz w:val="22"/>
                <w:szCs w:val="22"/>
                <w:lang w:eastAsia="en-GB"/>
              </w:rPr>
              <w:tab/>
            </w:r>
            <w:r w:rsidR="001313F9" w:rsidRPr="00B8197B">
              <w:rPr>
                <w:rStyle w:val="Hyperlink"/>
                <w:noProof/>
              </w:rPr>
              <w:t>Reinforcement of the coronal portion after endodontic management</w:t>
            </w:r>
            <w:r w:rsidR="001313F9">
              <w:rPr>
                <w:noProof/>
                <w:webHidden/>
              </w:rPr>
              <w:tab/>
            </w:r>
            <w:r w:rsidR="001313F9">
              <w:rPr>
                <w:noProof/>
                <w:webHidden/>
              </w:rPr>
              <w:fldChar w:fldCharType="begin"/>
            </w:r>
            <w:r w:rsidR="001313F9">
              <w:rPr>
                <w:noProof/>
                <w:webHidden/>
              </w:rPr>
              <w:instrText xml:space="preserve"> PAGEREF _Toc370819196 \h </w:instrText>
            </w:r>
            <w:r w:rsidR="001313F9">
              <w:rPr>
                <w:noProof/>
                <w:webHidden/>
              </w:rPr>
            </w:r>
            <w:r w:rsidR="001313F9">
              <w:rPr>
                <w:noProof/>
                <w:webHidden/>
              </w:rPr>
              <w:fldChar w:fldCharType="separate"/>
            </w:r>
            <w:r w:rsidR="001313F9">
              <w:rPr>
                <w:noProof/>
                <w:webHidden/>
              </w:rPr>
              <w:t>35</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197" w:history="1">
            <w:r w:rsidR="001313F9" w:rsidRPr="00B8197B">
              <w:rPr>
                <w:rStyle w:val="Hyperlink"/>
                <w:noProof/>
                <w14:scene3d>
                  <w14:camera w14:prst="orthographicFront"/>
                  <w14:lightRig w14:rig="threePt" w14:dir="t">
                    <w14:rot w14:lat="0" w14:lon="0" w14:rev="0"/>
                  </w14:lightRig>
                </w14:scene3d>
              </w:rPr>
              <w:t>1.4.18</w:t>
            </w:r>
            <w:r w:rsidR="001313F9">
              <w:rPr>
                <w:rFonts w:asciiTheme="minorHAnsi" w:eastAsiaTheme="minorEastAsia" w:hAnsiTheme="minorHAnsi" w:cstheme="minorBidi"/>
                <w:noProof/>
                <w:sz w:val="22"/>
                <w:szCs w:val="22"/>
                <w:lang w:eastAsia="en-GB"/>
              </w:rPr>
              <w:tab/>
            </w:r>
            <w:r w:rsidR="001313F9" w:rsidRPr="00B8197B">
              <w:rPr>
                <w:rStyle w:val="Hyperlink"/>
                <w:noProof/>
              </w:rPr>
              <w:t>Biological Methods. The Regenerative/Revitalisation Endodontic Technique</w:t>
            </w:r>
            <w:r w:rsidR="001313F9">
              <w:rPr>
                <w:noProof/>
                <w:webHidden/>
              </w:rPr>
              <w:tab/>
            </w:r>
            <w:r w:rsidR="001313F9">
              <w:rPr>
                <w:noProof/>
                <w:webHidden/>
              </w:rPr>
              <w:fldChar w:fldCharType="begin"/>
            </w:r>
            <w:r w:rsidR="001313F9">
              <w:rPr>
                <w:noProof/>
                <w:webHidden/>
              </w:rPr>
              <w:instrText xml:space="preserve"> PAGEREF _Toc370819197 \h </w:instrText>
            </w:r>
            <w:r w:rsidR="001313F9">
              <w:rPr>
                <w:noProof/>
                <w:webHidden/>
              </w:rPr>
            </w:r>
            <w:r w:rsidR="001313F9">
              <w:rPr>
                <w:noProof/>
                <w:webHidden/>
              </w:rPr>
              <w:fldChar w:fldCharType="separate"/>
            </w:r>
            <w:r w:rsidR="001313F9">
              <w:rPr>
                <w:noProof/>
                <w:webHidden/>
              </w:rPr>
              <w:t>37</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198" w:history="1">
            <w:r w:rsidR="001313F9" w:rsidRPr="00B8197B">
              <w:rPr>
                <w:rStyle w:val="Hyperlink"/>
                <w:noProof/>
                <w14:scene3d>
                  <w14:camera w14:prst="orthographicFront"/>
                  <w14:lightRig w14:rig="threePt" w14:dir="t">
                    <w14:rot w14:lat="0" w14:lon="0" w14:rev="0"/>
                  </w14:lightRig>
                </w14:scene3d>
              </w:rPr>
              <w:t>1.4.19</w:t>
            </w:r>
            <w:r w:rsidR="001313F9">
              <w:rPr>
                <w:rFonts w:asciiTheme="minorHAnsi" w:eastAsiaTheme="minorEastAsia" w:hAnsiTheme="minorHAnsi" w:cstheme="minorBidi"/>
                <w:noProof/>
                <w:sz w:val="22"/>
                <w:szCs w:val="22"/>
                <w:lang w:eastAsia="en-GB"/>
              </w:rPr>
              <w:tab/>
            </w:r>
            <w:r w:rsidR="001313F9" w:rsidRPr="00B8197B">
              <w:rPr>
                <w:rStyle w:val="Hyperlink"/>
                <w:noProof/>
              </w:rPr>
              <w:t>The technique is based on the following prerequisites:</w:t>
            </w:r>
            <w:r w:rsidR="001313F9">
              <w:rPr>
                <w:noProof/>
                <w:webHidden/>
              </w:rPr>
              <w:tab/>
            </w:r>
            <w:r w:rsidR="001313F9">
              <w:rPr>
                <w:noProof/>
                <w:webHidden/>
              </w:rPr>
              <w:fldChar w:fldCharType="begin"/>
            </w:r>
            <w:r w:rsidR="001313F9">
              <w:rPr>
                <w:noProof/>
                <w:webHidden/>
              </w:rPr>
              <w:instrText xml:space="preserve"> PAGEREF _Toc370819198 \h </w:instrText>
            </w:r>
            <w:r w:rsidR="001313F9">
              <w:rPr>
                <w:noProof/>
                <w:webHidden/>
              </w:rPr>
            </w:r>
            <w:r w:rsidR="001313F9">
              <w:rPr>
                <w:noProof/>
                <w:webHidden/>
              </w:rPr>
              <w:fldChar w:fldCharType="separate"/>
            </w:r>
            <w:r w:rsidR="001313F9">
              <w:rPr>
                <w:noProof/>
                <w:webHidden/>
              </w:rPr>
              <w:t>38</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199" w:history="1">
            <w:r w:rsidR="001313F9" w:rsidRPr="00B8197B">
              <w:rPr>
                <w:rStyle w:val="Hyperlink"/>
                <w:noProof/>
                <w14:scene3d>
                  <w14:camera w14:prst="orthographicFront"/>
                  <w14:lightRig w14:rig="threePt" w14:dir="t">
                    <w14:rot w14:lat="0" w14:lon="0" w14:rev="0"/>
                  </w14:lightRig>
                </w14:scene3d>
              </w:rPr>
              <w:t>1.4.20</w:t>
            </w:r>
            <w:r w:rsidR="001313F9">
              <w:rPr>
                <w:rFonts w:asciiTheme="minorHAnsi" w:eastAsiaTheme="minorEastAsia" w:hAnsiTheme="minorHAnsi" w:cstheme="minorBidi"/>
                <w:noProof/>
                <w:sz w:val="22"/>
                <w:szCs w:val="22"/>
                <w:lang w:eastAsia="en-GB"/>
              </w:rPr>
              <w:tab/>
            </w:r>
            <w:r w:rsidR="001313F9" w:rsidRPr="00B8197B">
              <w:rPr>
                <w:rStyle w:val="Hyperlink"/>
                <w:noProof/>
              </w:rPr>
              <w:t>Harnessing the Potential of Stem Cells in the Apical Area</w:t>
            </w:r>
            <w:r w:rsidR="001313F9">
              <w:rPr>
                <w:noProof/>
                <w:webHidden/>
              </w:rPr>
              <w:tab/>
            </w:r>
            <w:r w:rsidR="001313F9">
              <w:rPr>
                <w:noProof/>
                <w:webHidden/>
              </w:rPr>
              <w:fldChar w:fldCharType="begin"/>
            </w:r>
            <w:r w:rsidR="001313F9">
              <w:rPr>
                <w:noProof/>
                <w:webHidden/>
              </w:rPr>
              <w:instrText xml:space="preserve"> PAGEREF _Toc370819199 \h </w:instrText>
            </w:r>
            <w:r w:rsidR="001313F9">
              <w:rPr>
                <w:noProof/>
                <w:webHidden/>
              </w:rPr>
            </w:r>
            <w:r w:rsidR="001313F9">
              <w:rPr>
                <w:noProof/>
                <w:webHidden/>
              </w:rPr>
              <w:fldChar w:fldCharType="separate"/>
            </w:r>
            <w:r w:rsidR="001313F9">
              <w:rPr>
                <w:noProof/>
                <w:webHidden/>
              </w:rPr>
              <w:t>38</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00" w:history="1">
            <w:r w:rsidR="001313F9" w:rsidRPr="00B8197B">
              <w:rPr>
                <w:rStyle w:val="Hyperlink"/>
                <w:noProof/>
                <w14:scene3d>
                  <w14:camera w14:prst="orthographicFront"/>
                  <w14:lightRig w14:rig="threePt" w14:dir="t">
                    <w14:rot w14:lat="0" w14:lon="0" w14:rev="0"/>
                  </w14:lightRig>
                </w14:scene3d>
              </w:rPr>
              <w:t>1.4.21</w:t>
            </w:r>
            <w:r w:rsidR="001313F9">
              <w:rPr>
                <w:rFonts w:asciiTheme="minorHAnsi" w:eastAsiaTheme="minorEastAsia" w:hAnsiTheme="minorHAnsi" w:cstheme="minorBidi"/>
                <w:noProof/>
                <w:sz w:val="22"/>
                <w:szCs w:val="22"/>
                <w:lang w:eastAsia="en-GB"/>
              </w:rPr>
              <w:tab/>
            </w:r>
            <w:r w:rsidR="001313F9" w:rsidRPr="00B8197B">
              <w:rPr>
                <w:rStyle w:val="Hyperlink"/>
                <w:noProof/>
              </w:rPr>
              <w:t>Achieving disinfection of the root canal</w:t>
            </w:r>
            <w:r w:rsidR="001313F9">
              <w:rPr>
                <w:noProof/>
                <w:webHidden/>
              </w:rPr>
              <w:tab/>
            </w:r>
            <w:r w:rsidR="001313F9">
              <w:rPr>
                <w:noProof/>
                <w:webHidden/>
              </w:rPr>
              <w:fldChar w:fldCharType="begin"/>
            </w:r>
            <w:r w:rsidR="001313F9">
              <w:rPr>
                <w:noProof/>
                <w:webHidden/>
              </w:rPr>
              <w:instrText xml:space="preserve"> PAGEREF _Toc370819200 \h </w:instrText>
            </w:r>
            <w:r w:rsidR="001313F9">
              <w:rPr>
                <w:noProof/>
                <w:webHidden/>
              </w:rPr>
            </w:r>
            <w:r w:rsidR="001313F9">
              <w:rPr>
                <w:noProof/>
                <w:webHidden/>
              </w:rPr>
              <w:fldChar w:fldCharType="separate"/>
            </w:r>
            <w:r w:rsidR="001313F9">
              <w:rPr>
                <w:noProof/>
                <w:webHidden/>
              </w:rPr>
              <w:t>39</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01" w:history="1">
            <w:r w:rsidR="001313F9" w:rsidRPr="00B8197B">
              <w:rPr>
                <w:rStyle w:val="Hyperlink"/>
                <w:noProof/>
                <w14:scene3d>
                  <w14:camera w14:prst="orthographicFront"/>
                  <w14:lightRig w14:rig="threePt" w14:dir="t">
                    <w14:rot w14:lat="0" w14:lon="0" w14:rev="0"/>
                  </w14:lightRig>
                </w14:scene3d>
              </w:rPr>
              <w:t>1.4.22</w:t>
            </w:r>
            <w:r w:rsidR="001313F9">
              <w:rPr>
                <w:rFonts w:asciiTheme="minorHAnsi" w:eastAsiaTheme="minorEastAsia" w:hAnsiTheme="minorHAnsi" w:cstheme="minorBidi"/>
                <w:noProof/>
                <w:sz w:val="22"/>
                <w:szCs w:val="22"/>
                <w:lang w:eastAsia="en-GB"/>
              </w:rPr>
              <w:tab/>
            </w:r>
            <w:r w:rsidR="001313F9" w:rsidRPr="00B8197B">
              <w:rPr>
                <w:rStyle w:val="Hyperlink"/>
                <w:noProof/>
              </w:rPr>
              <w:t>Providing a Scaffold and Signal for stem cells to differentiate</w:t>
            </w:r>
            <w:r w:rsidR="001313F9">
              <w:rPr>
                <w:noProof/>
                <w:webHidden/>
              </w:rPr>
              <w:tab/>
            </w:r>
            <w:r w:rsidR="001313F9">
              <w:rPr>
                <w:noProof/>
                <w:webHidden/>
              </w:rPr>
              <w:fldChar w:fldCharType="begin"/>
            </w:r>
            <w:r w:rsidR="001313F9">
              <w:rPr>
                <w:noProof/>
                <w:webHidden/>
              </w:rPr>
              <w:instrText xml:space="preserve"> PAGEREF _Toc370819201 \h </w:instrText>
            </w:r>
            <w:r w:rsidR="001313F9">
              <w:rPr>
                <w:noProof/>
                <w:webHidden/>
              </w:rPr>
            </w:r>
            <w:r w:rsidR="001313F9">
              <w:rPr>
                <w:noProof/>
                <w:webHidden/>
              </w:rPr>
              <w:fldChar w:fldCharType="separate"/>
            </w:r>
            <w:r w:rsidR="001313F9">
              <w:rPr>
                <w:noProof/>
                <w:webHidden/>
              </w:rPr>
              <w:t>39</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02" w:history="1">
            <w:r w:rsidR="001313F9" w:rsidRPr="00B8197B">
              <w:rPr>
                <w:rStyle w:val="Hyperlink"/>
                <w:noProof/>
                <w14:scene3d>
                  <w14:camera w14:prst="orthographicFront"/>
                  <w14:lightRig w14:rig="threePt" w14:dir="t">
                    <w14:rot w14:lat="0" w14:lon="0" w14:rev="0"/>
                  </w14:lightRig>
                </w14:scene3d>
              </w:rPr>
              <w:t>1.4.23</w:t>
            </w:r>
            <w:r w:rsidR="001313F9">
              <w:rPr>
                <w:rFonts w:asciiTheme="minorHAnsi" w:eastAsiaTheme="minorEastAsia" w:hAnsiTheme="minorHAnsi" w:cstheme="minorBidi"/>
                <w:noProof/>
                <w:sz w:val="22"/>
                <w:szCs w:val="22"/>
                <w:lang w:eastAsia="en-GB"/>
              </w:rPr>
              <w:tab/>
            </w:r>
            <w:r w:rsidR="001313F9" w:rsidRPr="00B8197B">
              <w:rPr>
                <w:rStyle w:val="Hyperlink"/>
                <w:noProof/>
              </w:rPr>
              <w:t>Clinical Technique</w:t>
            </w:r>
            <w:r w:rsidR="001313F9">
              <w:rPr>
                <w:noProof/>
                <w:webHidden/>
              </w:rPr>
              <w:tab/>
            </w:r>
            <w:r w:rsidR="001313F9">
              <w:rPr>
                <w:noProof/>
                <w:webHidden/>
              </w:rPr>
              <w:fldChar w:fldCharType="begin"/>
            </w:r>
            <w:r w:rsidR="001313F9">
              <w:rPr>
                <w:noProof/>
                <w:webHidden/>
              </w:rPr>
              <w:instrText xml:space="preserve"> PAGEREF _Toc370819202 \h </w:instrText>
            </w:r>
            <w:r w:rsidR="001313F9">
              <w:rPr>
                <w:noProof/>
                <w:webHidden/>
              </w:rPr>
            </w:r>
            <w:r w:rsidR="001313F9">
              <w:rPr>
                <w:noProof/>
                <w:webHidden/>
              </w:rPr>
              <w:fldChar w:fldCharType="separate"/>
            </w:r>
            <w:r w:rsidR="001313F9">
              <w:rPr>
                <w:noProof/>
                <w:webHidden/>
              </w:rPr>
              <w:t>40</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03" w:history="1">
            <w:r w:rsidR="001313F9" w:rsidRPr="00B8197B">
              <w:rPr>
                <w:rStyle w:val="Hyperlink"/>
                <w:noProof/>
                <w14:scene3d>
                  <w14:camera w14:prst="orthographicFront"/>
                  <w14:lightRig w14:rig="threePt" w14:dir="t">
                    <w14:rot w14:lat="0" w14:lon="0" w14:rev="0"/>
                  </w14:lightRig>
                </w14:scene3d>
              </w:rPr>
              <w:t>1.4.24</w:t>
            </w:r>
            <w:r w:rsidR="001313F9">
              <w:rPr>
                <w:rFonts w:asciiTheme="minorHAnsi" w:eastAsiaTheme="minorEastAsia" w:hAnsiTheme="minorHAnsi" w:cstheme="minorBidi"/>
                <w:noProof/>
                <w:sz w:val="22"/>
                <w:szCs w:val="22"/>
                <w:lang w:eastAsia="en-GB"/>
              </w:rPr>
              <w:tab/>
            </w:r>
            <w:r w:rsidR="001313F9" w:rsidRPr="00B8197B">
              <w:rPr>
                <w:rStyle w:val="Hyperlink"/>
                <w:noProof/>
              </w:rPr>
              <w:t>Review of Current Evidence</w:t>
            </w:r>
            <w:r w:rsidR="001313F9">
              <w:rPr>
                <w:noProof/>
                <w:webHidden/>
              </w:rPr>
              <w:tab/>
            </w:r>
            <w:r w:rsidR="001313F9">
              <w:rPr>
                <w:noProof/>
                <w:webHidden/>
              </w:rPr>
              <w:fldChar w:fldCharType="begin"/>
            </w:r>
            <w:r w:rsidR="001313F9">
              <w:rPr>
                <w:noProof/>
                <w:webHidden/>
              </w:rPr>
              <w:instrText xml:space="preserve"> PAGEREF _Toc370819203 \h </w:instrText>
            </w:r>
            <w:r w:rsidR="001313F9">
              <w:rPr>
                <w:noProof/>
                <w:webHidden/>
              </w:rPr>
            </w:r>
            <w:r w:rsidR="001313F9">
              <w:rPr>
                <w:noProof/>
                <w:webHidden/>
              </w:rPr>
              <w:fldChar w:fldCharType="separate"/>
            </w:r>
            <w:r w:rsidR="001313F9">
              <w:rPr>
                <w:noProof/>
                <w:webHidden/>
              </w:rPr>
              <w:t>41</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04" w:history="1">
            <w:r w:rsidR="001313F9" w:rsidRPr="00B8197B">
              <w:rPr>
                <w:rStyle w:val="Hyperlink"/>
                <w:noProof/>
                <w14:scene3d>
                  <w14:camera w14:prst="orthographicFront"/>
                  <w14:lightRig w14:rig="threePt" w14:dir="t">
                    <w14:rot w14:lat="0" w14:lon="0" w14:rev="0"/>
                  </w14:lightRig>
                </w14:scene3d>
              </w:rPr>
              <w:t>1.4.25</w:t>
            </w:r>
            <w:r w:rsidR="001313F9">
              <w:rPr>
                <w:rFonts w:asciiTheme="minorHAnsi" w:eastAsiaTheme="minorEastAsia" w:hAnsiTheme="minorHAnsi" w:cstheme="minorBidi"/>
                <w:noProof/>
                <w:sz w:val="22"/>
                <w:szCs w:val="22"/>
                <w:lang w:eastAsia="en-GB"/>
              </w:rPr>
              <w:tab/>
            </w:r>
            <w:r w:rsidR="001313F9" w:rsidRPr="00B8197B">
              <w:rPr>
                <w:rStyle w:val="Hyperlink"/>
                <w:noProof/>
              </w:rPr>
              <w:t>Recommended best practice based on the clinical experience of the guideline development group (SIGN).</w:t>
            </w:r>
            <w:r w:rsidR="001313F9">
              <w:rPr>
                <w:noProof/>
                <w:webHidden/>
              </w:rPr>
              <w:tab/>
            </w:r>
            <w:r w:rsidR="001313F9">
              <w:rPr>
                <w:noProof/>
                <w:webHidden/>
              </w:rPr>
              <w:fldChar w:fldCharType="begin"/>
            </w:r>
            <w:r w:rsidR="001313F9">
              <w:rPr>
                <w:noProof/>
                <w:webHidden/>
              </w:rPr>
              <w:instrText xml:space="preserve"> PAGEREF _Toc370819204 \h </w:instrText>
            </w:r>
            <w:r w:rsidR="001313F9">
              <w:rPr>
                <w:noProof/>
                <w:webHidden/>
              </w:rPr>
            </w:r>
            <w:r w:rsidR="001313F9">
              <w:rPr>
                <w:noProof/>
                <w:webHidden/>
              </w:rPr>
              <w:fldChar w:fldCharType="separate"/>
            </w:r>
            <w:r w:rsidR="001313F9">
              <w:rPr>
                <w:noProof/>
                <w:webHidden/>
              </w:rPr>
              <w:t>42</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05" w:history="1">
            <w:r w:rsidR="001313F9" w:rsidRPr="00B8197B">
              <w:rPr>
                <w:rStyle w:val="Hyperlink"/>
                <w:noProof/>
                <w14:scene3d>
                  <w14:camera w14:prst="orthographicFront"/>
                  <w14:lightRig w14:rig="threePt" w14:dir="t">
                    <w14:rot w14:lat="0" w14:lon="0" w14:rev="0"/>
                  </w14:lightRig>
                </w14:scene3d>
              </w:rPr>
              <w:t>1.5</w:t>
            </w:r>
            <w:r w:rsidR="001313F9">
              <w:rPr>
                <w:rFonts w:asciiTheme="minorHAnsi" w:eastAsiaTheme="minorEastAsia" w:hAnsiTheme="minorHAnsi" w:cstheme="minorBidi"/>
                <w:noProof/>
                <w:sz w:val="22"/>
                <w:szCs w:val="22"/>
                <w:lang w:eastAsia="en-GB"/>
              </w:rPr>
              <w:tab/>
            </w:r>
            <w:r w:rsidR="001313F9" w:rsidRPr="00B8197B">
              <w:rPr>
                <w:rStyle w:val="Hyperlink"/>
                <w:noProof/>
              </w:rPr>
              <w:t>Conclusions and Summary</w:t>
            </w:r>
            <w:r w:rsidR="001313F9">
              <w:rPr>
                <w:noProof/>
                <w:webHidden/>
              </w:rPr>
              <w:tab/>
            </w:r>
            <w:r w:rsidR="001313F9">
              <w:rPr>
                <w:noProof/>
                <w:webHidden/>
              </w:rPr>
              <w:fldChar w:fldCharType="begin"/>
            </w:r>
            <w:r w:rsidR="001313F9">
              <w:rPr>
                <w:noProof/>
                <w:webHidden/>
              </w:rPr>
              <w:instrText xml:space="preserve"> PAGEREF _Toc370819205 \h </w:instrText>
            </w:r>
            <w:r w:rsidR="001313F9">
              <w:rPr>
                <w:noProof/>
                <w:webHidden/>
              </w:rPr>
            </w:r>
            <w:r w:rsidR="001313F9">
              <w:rPr>
                <w:noProof/>
                <w:webHidden/>
              </w:rPr>
              <w:fldChar w:fldCharType="separate"/>
            </w:r>
            <w:r w:rsidR="001313F9">
              <w:rPr>
                <w:noProof/>
                <w:webHidden/>
              </w:rPr>
              <w:t>44</w:t>
            </w:r>
            <w:r w:rsidR="001313F9">
              <w:rPr>
                <w:noProof/>
                <w:webHidden/>
              </w:rPr>
              <w:fldChar w:fldCharType="end"/>
            </w:r>
          </w:hyperlink>
        </w:p>
        <w:p w:rsidR="001313F9" w:rsidRDefault="00A9701A">
          <w:pPr>
            <w:pStyle w:val="TOC1"/>
            <w:tabs>
              <w:tab w:val="left" w:pos="480"/>
              <w:tab w:val="right" w:leader="dot" w:pos="8330"/>
            </w:tabs>
            <w:rPr>
              <w:rFonts w:asciiTheme="minorHAnsi" w:eastAsiaTheme="minorEastAsia" w:hAnsiTheme="minorHAnsi" w:cstheme="minorBidi"/>
              <w:noProof/>
              <w:sz w:val="22"/>
              <w:szCs w:val="22"/>
              <w:lang w:eastAsia="en-GB"/>
            </w:rPr>
          </w:pPr>
          <w:hyperlink w:anchor="_Toc370819206" w:history="1">
            <w:r w:rsidR="001313F9" w:rsidRPr="00B8197B">
              <w:rPr>
                <w:rStyle w:val="Hyperlink"/>
                <w:noProof/>
                <w14:scene3d>
                  <w14:camera w14:prst="orthographicFront"/>
                  <w14:lightRig w14:rig="threePt" w14:dir="t">
                    <w14:rot w14:lat="0" w14:lon="0" w14:rev="0"/>
                  </w14:lightRig>
                </w14:scene3d>
              </w:rPr>
              <w:t>2.</w:t>
            </w:r>
            <w:r w:rsidR="001313F9">
              <w:rPr>
                <w:rFonts w:asciiTheme="minorHAnsi" w:eastAsiaTheme="minorEastAsia" w:hAnsiTheme="minorHAnsi" w:cstheme="minorBidi"/>
                <w:noProof/>
                <w:sz w:val="22"/>
                <w:szCs w:val="22"/>
                <w:lang w:eastAsia="en-GB"/>
              </w:rPr>
              <w:tab/>
            </w:r>
            <w:r w:rsidR="001313F9" w:rsidRPr="00B8197B">
              <w:rPr>
                <w:rStyle w:val="Hyperlink"/>
                <w:noProof/>
              </w:rPr>
              <w:t>Chapter 2</w:t>
            </w:r>
            <w:r w:rsidR="001313F9">
              <w:rPr>
                <w:noProof/>
                <w:webHidden/>
              </w:rPr>
              <w:tab/>
            </w:r>
            <w:r w:rsidR="001313F9">
              <w:rPr>
                <w:noProof/>
                <w:webHidden/>
              </w:rPr>
              <w:fldChar w:fldCharType="begin"/>
            </w:r>
            <w:r w:rsidR="001313F9">
              <w:rPr>
                <w:noProof/>
                <w:webHidden/>
              </w:rPr>
              <w:instrText xml:space="preserve"> PAGEREF _Toc370819206 \h </w:instrText>
            </w:r>
            <w:r w:rsidR="001313F9">
              <w:rPr>
                <w:noProof/>
                <w:webHidden/>
              </w:rPr>
            </w:r>
            <w:r w:rsidR="001313F9">
              <w:rPr>
                <w:noProof/>
                <w:webHidden/>
              </w:rPr>
              <w:fldChar w:fldCharType="separate"/>
            </w:r>
            <w:r w:rsidR="001313F9">
              <w:rPr>
                <w:noProof/>
                <w:webHidden/>
              </w:rPr>
              <w:t>46</w:t>
            </w:r>
            <w:r w:rsidR="001313F9">
              <w:rPr>
                <w:noProof/>
                <w:webHidden/>
              </w:rPr>
              <w:fldChar w:fldCharType="end"/>
            </w:r>
          </w:hyperlink>
        </w:p>
        <w:p w:rsidR="001313F9" w:rsidRDefault="00A9701A">
          <w:pPr>
            <w:pStyle w:val="TOC1"/>
            <w:tabs>
              <w:tab w:val="right" w:leader="dot" w:pos="8330"/>
            </w:tabs>
            <w:rPr>
              <w:rFonts w:asciiTheme="minorHAnsi" w:eastAsiaTheme="minorEastAsia" w:hAnsiTheme="minorHAnsi" w:cstheme="minorBidi"/>
              <w:noProof/>
              <w:sz w:val="22"/>
              <w:szCs w:val="22"/>
              <w:lang w:eastAsia="en-GB"/>
            </w:rPr>
          </w:pPr>
          <w:hyperlink w:anchor="_Toc370819207" w:history="1">
            <w:r w:rsidR="001313F9" w:rsidRPr="00B8197B">
              <w:rPr>
                <w:rStyle w:val="Hyperlink"/>
                <w:noProof/>
              </w:rPr>
              <w:t>An evaluation of the effects of non-setting calcium hydroxide and mineral trioxide aggregate (MTA) on human dentine.</w:t>
            </w:r>
            <w:r w:rsidR="001313F9">
              <w:rPr>
                <w:noProof/>
                <w:webHidden/>
              </w:rPr>
              <w:tab/>
            </w:r>
            <w:r w:rsidR="001313F9">
              <w:rPr>
                <w:noProof/>
                <w:webHidden/>
              </w:rPr>
              <w:fldChar w:fldCharType="begin"/>
            </w:r>
            <w:r w:rsidR="001313F9">
              <w:rPr>
                <w:noProof/>
                <w:webHidden/>
              </w:rPr>
              <w:instrText xml:space="preserve"> PAGEREF _Toc370819207 \h </w:instrText>
            </w:r>
            <w:r w:rsidR="001313F9">
              <w:rPr>
                <w:noProof/>
                <w:webHidden/>
              </w:rPr>
            </w:r>
            <w:r w:rsidR="001313F9">
              <w:rPr>
                <w:noProof/>
                <w:webHidden/>
              </w:rPr>
              <w:fldChar w:fldCharType="separate"/>
            </w:r>
            <w:r w:rsidR="001313F9">
              <w:rPr>
                <w:noProof/>
                <w:webHidden/>
              </w:rPr>
              <w:t>46</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09" w:history="1">
            <w:r w:rsidR="001313F9" w:rsidRPr="00B8197B">
              <w:rPr>
                <w:rStyle w:val="Hyperlink"/>
                <w:noProof/>
                <w14:scene3d>
                  <w14:camera w14:prst="orthographicFront"/>
                  <w14:lightRig w14:rig="threePt" w14:dir="t">
                    <w14:rot w14:lat="0" w14:lon="0" w14:rev="0"/>
                  </w14:lightRig>
                </w14:scene3d>
              </w:rPr>
              <w:t>2.1</w:t>
            </w:r>
            <w:r w:rsidR="001313F9">
              <w:rPr>
                <w:rFonts w:asciiTheme="minorHAnsi" w:eastAsiaTheme="minorEastAsia" w:hAnsiTheme="minorHAnsi" w:cstheme="minorBidi"/>
                <w:noProof/>
                <w:sz w:val="22"/>
                <w:szCs w:val="22"/>
                <w:lang w:eastAsia="en-GB"/>
              </w:rPr>
              <w:tab/>
            </w:r>
            <w:r w:rsidR="001313F9" w:rsidRPr="00B8197B">
              <w:rPr>
                <w:rStyle w:val="Hyperlink"/>
                <w:noProof/>
              </w:rPr>
              <w:t>Literature review</w:t>
            </w:r>
            <w:r w:rsidR="001313F9">
              <w:rPr>
                <w:noProof/>
                <w:webHidden/>
              </w:rPr>
              <w:tab/>
            </w:r>
            <w:r w:rsidR="001313F9">
              <w:rPr>
                <w:noProof/>
                <w:webHidden/>
              </w:rPr>
              <w:fldChar w:fldCharType="begin"/>
            </w:r>
            <w:r w:rsidR="001313F9">
              <w:rPr>
                <w:noProof/>
                <w:webHidden/>
              </w:rPr>
              <w:instrText xml:space="preserve"> PAGEREF _Toc370819209 \h </w:instrText>
            </w:r>
            <w:r w:rsidR="001313F9">
              <w:rPr>
                <w:noProof/>
                <w:webHidden/>
              </w:rPr>
            </w:r>
            <w:r w:rsidR="001313F9">
              <w:rPr>
                <w:noProof/>
                <w:webHidden/>
              </w:rPr>
              <w:fldChar w:fldCharType="separate"/>
            </w:r>
            <w:r w:rsidR="001313F9">
              <w:rPr>
                <w:noProof/>
                <w:webHidden/>
              </w:rPr>
              <w:t>47</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10" w:history="1">
            <w:r w:rsidR="001313F9" w:rsidRPr="00B8197B">
              <w:rPr>
                <w:rStyle w:val="Hyperlink"/>
                <w:noProof/>
                <w14:scene3d>
                  <w14:camera w14:prst="orthographicFront"/>
                  <w14:lightRig w14:rig="threePt" w14:dir="t">
                    <w14:rot w14:lat="0" w14:lon="0" w14:rev="0"/>
                  </w14:lightRig>
                </w14:scene3d>
              </w:rPr>
              <w:t>2.1.1</w:t>
            </w:r>
            <w:r w:rsidR="001313F9">
              <w:rPr>
                <w:rFonts w:asciiTheme="minorHAnsi" w:eastAsiaTheme="minorEastAsia" w:hAnsiTheme="minorHAnsi" w:cstheme="minorBidi"/>
                <w:noProof/>
                <w:sz w:val="22"/>
                <w:szCs w:val="22"/>
                <w:lang w:eastAsia="en-GB"/>
              </w:rPr>
              <w:tab/>
            </w:r>
            <w:r w:rsidR="001313F9" w:rsidRPr="00B8197B">
              <w:rPr>
                <w:rStyle w:val="Hyperlink"/>
                <w:noProof/>
              </w:rPr>
              <w:t>The dental pulp in trauma</w:t>
            </w:r>
            <w:r w:rsidR="001313F9">
              <w:rPr>
                <w:noProof/>
                <w:webHidden/>
              </w:rPr>
              <w:tab/>
            </w:r>
            <w:r w:rsidR="001313F9">
              <w:rPr>
                <w:noProof/>
                <w:webHidden/>
              </w:rPr>
              <w:fldChar w:fldCharType="begin"/>
            </w:r>
            <w:r w:rsidR="001313F9">
              <w:rPr>
                <w:noProof/>
                <w:webHidden/>
              </w:rPr>
              <w:instrText xml:space="preserve"> PAGEREF _Toc370819210 \h </w:instrText>
            </w:r>
            <w:r w:rsidR="001313F9">
              <w:rPr>
                <w:noProof/>
                <w:webHidden/>
              </w:rPr>
            </w:r>
            <w:r w:rsidR="001313F9">
              <w:rPr>
                <w:noProof/>
                <w:webHidden/>
              </w:rPr>
              <w:fldChar w:fldCharType="separate"/>
            </w:r>
            <w:r w:rsidR="001313F9">
              <w:rPr>
                <w:noProof/>
                <w:webHidden/>
              </w:rPr>
              <w:t>47</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11" w:history="1">
            <w:r w:rsidR="001313F9" w:rsidRPr="00B8197B">
              <w:rPr>
                <w:rStyle w:val="Hyperlink"/>
                <w:noProof/>
                <w14:scene3d>
                  <w14:camera w14:prst="orthographicFront"/>
                  <w14:lightRig w14:rig="threePt" w14:dir="t">
                    <w14:rot w14:lat="0" w14:lon="0" w14:rev="0"/>
                  </w14:lightRig>
                </w14:scene3d>
              </w:rPr>
              <w:t>2.1.2</w:t>
            </w:r>
            <w:r w:rsidR="001313F9">
              <w:rPr>
                <w:rFonts w:asciiTheme="minorHAnsi" w:eastAsiaTheme="minorEastAsia" w:hAnsiTheme="minorHAnsi" w:cstheme="minorBidi"/>
                <w:noProof/>
                <w:sz w:val="22"/>
                <w:szCs w:val="22"/>
                <w:lang w:eastAsia="en-GB"/>
              </w:rPr>
              <w:tab/>
            </w:r>
            <w:r w:rsidR="001313F9" w:rsidRPr="00B8197B">
              <w:rPr>
                <w:rStyle w:val="Hyperlink"/>
                <w:noProof/>
              </w:rPr>
              <w:t>Root development</w:t>
            </w:r>
            <w:r w:rsidR="001313F9">
              <w:rPr>
                <w:noProof/>
                <w:webHidden/>
              </w:rPr>
              <w:tab/>
            </w:r>
            <w:r w:rsidR="001313F9">
              <w:rPr>
                <w:noProof/>
                <w:webHidden/>
              </w:rPr>
              <w:fldChar w:fldCharType="begin"/>
            </w:r>
            <w:r w:rsidR="001313F9">
              <w:rPr>
                <w:noProof/>
                <w:webHidden/>
              </w:rPr>
              <w:instrText xml:space="preserve"> PAGEREF _Toc370819211 \h </w:instrText>
            </w:r>
            <w:r w:rsidR="001313F9">
              <w:rPr>
                <w:noProof/>
                <w:webHidden/>
              </w:rPr>
            </w:r>
            <w:r w:rsidR="001313F9">
              <w:rPr>
                <w:noProof/>
                <w:webHidden/>
              </w:rPr>
              <w:fldChar w:fldCharType="separate"/>
            </w:r>
            <w:r w:rsidR="001313F9">
              <w:rPr>
                <w:noProof/>
                <w:webHidden/>
              </w:rPr>
              <w:t>49</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12" w:history="1">
            <w:r w:rsidR="001313F9" w:rsidRPr="00B8197B">
              <w:rPr>
                <w:rStyle w:val="Hyperlink"/>
                <w:noProof/>
                <w14:scene3d>
                  <w14:camera w14:prst="orthographicFront"/>
                  <w14:lightRig w14:rig="threePt" w14:dir="t">
                    <w14:rot w14:lat="0" w14:lon="0" w14:rev="0"/>
                  </w14:lightRig>
                </w14:scene3d>
              </w:rPr>
              <w:t>2.1.3</w:t>
            </w:r>
            <w:r w:rsidR="001313F9">
              <w:rPr>
                <w:rFonts w:asciiTheme="minorHAnsi" w:eastAsiaTheme="minorEastAsia" w:hAnsiTheme="minorHAnsi" w:cstheme="minorBidi"/>
                <w:noProof/>
                <w:sz w:val="22"/>
                <w:szCs w:val="22"/>
                <w:lang w:eastAsia="en-GB"/>
              </w:rPr>
              <w:tab/>
            </w:r>
            <w:r w:rsidR="001313F9" w:rsidRPr="00B8197B">
              <w:rPr>
                <w:rStyle w:val="Hyperlink"/>
                <w:noProof/>
              </w:rPr>
              <w:t>What are the classifications of immature teeth?</w:t>
            </w:r>
            <w:r w:rsidR="001313F9">
              <w:rPr>
                <w:noProof/>
                <w:webHidden/>
              </w:rPr>
              <w:tab/>
            </w:r>
            <w:r w:rsidR="001313F9">
              <w:rPr>
                <w:noProof/>
                <w:webHidden/>
              </w:rPr>
              <w:fldChar w:fldCharType="begin"/>
            </w:r>
            <w:r w:rsidR="001313F9">
              <w:rPr>
                <w:noProof/>
                <w:webHidden/>
              </w:rPr>
              <w:instrText xml:space="preserve"> PAGEREF _Toc370819212 \h </w:instrText>
            </w:r>
            <w:r w:rsidR="001313F9">
              <w:rPr>
                <w:noProof/>
                <w:webHidden/>
              </w:rPr>
            </w:r>
            <w:r w:rsidR="001313F9">
              <w:rPr>
                <w:noProof/>
                <w:webHidden/>
              </w:rPr>
              <w:fldChar w:fldCharType="separate"/>
            </w:r>
            <w:r w:rsidR="001313F9">
              <w:rPr>
                <w:noProof/>
                <w:webHidden/>
              </w:rPr>
              <w:t>50</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13" w:history="1">
            <w:r w:rsidR="001313F9" w:rsidRPr="00B8197B">
              <w:rPr>
                <w:rStyle w:val="Hyperlink"/>
                <w:noProof/>
                <w14:scene3d>
                  <w14:camera w14:prst="orthographicFront"/>
                  <w14:lightRig w14:rig="threePt" w14:dir="t">
                    <w14:rot w14:lat="0" w14:lon="0" w14:rev="0"/>
                  </w14:lightRig>
                </w14:scene3d>
              </w:rPr>
              <w:t>2.1.4</w:t>
            </w:r>
            <w:r w:rsidR="001313F9">
              <w:rPr>
                <w:rFonts w:asciiTheme="minorHAnsi" w:eastAsiaTheme="minorEastAsia" w:hAnsiTheme="minorHAnsi" w:cstheme="minorBidi"/>
                <w:noProof/>
                <w:sz w:val="22"/>
                <w:szCs w:val="22"/>
                <w:lang w:eastAsia="en-GB"/>
              </w:rPr>
              <w:tab/>
            </w:r>
            <w:r w:rsidR="001313F9" w:rsidRPr="00B8197B">
              <w:rPr>
                <w:rStyle w:val="Hyperlink"/>
                <w:noProof/>
              </w:rPr>
              <w:t>Apexogenesis</w:t>
            </w:r>
            <w:r w:rsidR="001313F9">
              <w:rPr>
                <w:noProof/>
                <w:webHidden/>
              </w:rPr>
              <w:tab/>
            </w:r>
            <w:r w:rsidR="001313F9">
              <w:rPr>
                <w:noProof/>
                <w:webHidden/>
              </w:rPr>
              <w:fldChar w:fldCharType="begin"/>
            </w:r>
            <w:r w:rsidR="001313F9">
              <w:rPr>
                <w:noProof/>
                <w:webHidden/>
              </w:rPr>
              <w:instrText xml:space="preserve"> PAGEREF _Toc370819213 \h </w:instrText>
            </w:r>
            <w:r w:rsidR="001313F9">
              <w:rPr>
                <w:noProof/>
                <w:webHidden/>
              </w:rPr>
            </w:r>
            <w:r w:rsidR="001313F9">
              <w:rPr>
                <w:noProof/>
                <w:webHidden/>
              </w:rPr>
              <w:fldChar w:fldCharType="separate"/>
            </w:r>
            <w:r w:rsidR="001313F9">
              <w:rPr>
                <w:noProof/>
                <w:webHidden/>
              </w:rPr>
              <w:t>50</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14" w:history="1">
            <w:r w:rsidR="001313F9" w:rsidRPr="00B8197B">
              <w:rPr>
                <w:rStyle w:val="Hyperlink"/>
                <w:noProof/>
                <w14:scene3d>
                  <w14:camera w14:prst="orthographicFront"/>
                  <w14:lightRig w14:rig="threePt" w14:dir="t">
                    <w14:rot w14:lat="0" w14:lon="0" w14:rev="0"/>
                  </w14:lightRig>
                </w14:scene3d>
              </w:rPr>
              <w:t>2.1.5</w:t>
            </w:r>
            <w:r w:rsidR="001313F9">
              <w:rPr>
                <w:rFonts w:asciiTheme="minorHAnsi" w:eastAsiaTheme="minorEastAsia" w:hAnsiTheme="minorHAnsi" w:cstheme="minorBidi"/>
                <w:noProof/>
                <w:sz w:val="22"/>
                <w:szCs w:val="22"/>
                <w:lang w:eastAsia="en-GB"/>
              </w:rPr>
              <w:tab/>
            </w:r>
            <w:r w:rsidR="001313F9" w:rsidRPr="00B8197B">
              <w:rPr>
                <w:rStyle w:val="Hyperlink"/>
                <w:noProof/>
              </w:rPr>
              <w:t>Goals of apexogenesis (Webber, 1984):</w:t>
            </w:r>
            <w:r w:rsidR="001313F9">
              <w:rPr>
                <w:noProof/>
                <w:webHidden/>
              </w:rPr>
              <w:tab/>
            </w:r>
            <w:r w:rsidR="001313F9">
              <w:rPr>
                <w:noProof/>
                <w:webHidden/>
              </w:rPr>
              <w:fldChar w:fldCharType="begin"/>
            </w:r>
            <w:r w:rsidR="001313F9">
              <w:rPr>
                <w:noProof/>
                <w:webHidden/>
              </w:rPr>
              <w:instrText xml:space="preserve"> PAGEREF _Toc370819214 \h </w:instrText>
            </w:r>
            <w:r w:rsidR="001313F9">
              <w:rPr>
                <w:noProof/>
                <w:webHidden/>
              </w:rPr>
            </w:r>
            <w:r w:rsidR="001313F9">
              <w:rPr>
                <w:noProof/>
                <w:webHidden/>
              </w:rPr>
              <w:fldChar w:fldCharType="separate"/>
            </w:r>
            <w:r w:rsidR="001313F9">
              <w:rPr>
                <w:noProof/>
                <w:webHidden/>
              </w:rPr>
              <w:t>51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15" w:history="1">
            <w:r w:rsidR="001313F9" w:rsidRPr="00B8197B">
              <w:rPr>
                <w:rStyle w:val="Hyperlink"/>
                <w:noProof/>
                <w14:scene3d>
                  <w14:camera w14:prst="orthographicFront"/>
                  <w14:lightRig w14:rig="threePt" w14:dir="t">
                    <w14:rot w14:lat="0" w14:lon="0" w14:rev="0"/>
                  </w14:lightRig>
                </w14:scene3d>
              </w:rPr>
              <w:t>2.1.6</w:t>
            </w:r>
            <w:r w:rsidR="001313F9">
              <w:rPr>
                <w:rFonts w:asciiTheme="minorHAnsi" w:eastAsiaTheme="minorEastAsia" w:hAnsiTheme="minorHAnsi" w:cstheme="minorBidi"/>
                <w:noProof/>
                <w:sz w:val="22"/>
                <w:szCs w:val="22"/>
                <w:lang w:eastAsia="en-GB"/>
              </w:rPr>
              <w:tab/>
            </w:r>
            <w:r w:rsidR="001313F9" w:rsidRPr="00B8197B">
              <w:rPr>
                <w:rStyle w:val="Hyperlink"/>
                <w:noProof/>
              </w:rPr>
              <w:t>Apexification</w:t>
            </w:r>
            <w:r w:rsidR="001313F9">
              <w:rPr>
                <w:noProof/>
                <w:webHidden/>
              </w:rPr>
              <w:tab/>
            </w:r>
            <w:r w:rsidR="001313F9">
              <w:rPr>
                <w:noProof/>
                <w:webHidden/>
              </w:rPr>
              <w:fldChar w:fldCharType="begin"/>
            </w:r>
            <w:r w:rsidR="001313F9">
              <w:rPr>
                <w:noProof/>
                <w:webHidden/>
              </w:rPr>
              <w:instrText xml:space="preserve"> PAGEREF _Toc370819215 \h </w:instrText>
            </w:r>
            <w:r w:rsidR="001313F9">
              <w:rPr>
                <w:noProof/>
                <w:webHidden/>
              </w:rPr>
            </w:r>
            <w:r w:rsidR="001313F9">
              <w:rPr>
                <w:noProof/>
                <w:webHidden/>
              </w:rPr>
              <w:fldChar w:fldCharType="separate"/>
            </w:r>
            <w:r w:rsidR="001313F9">
              <w:rPr>
                <w:noProof/>
                <w:webHidden/>
              </w:rPr>
              <w:t>51</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16" w:history="1">
            <w:r w:rsidR="001313F9" w:rsidRPr="00B8197B">
              <w:rPr>
                <w:rStyle w:val="Hyperlink"/>
                <w:noProof/>
                <w14:scene3d>
                  <w14:camera w14:prst="orthographicFront"/>
                  <w14:lightRig w14:rig="threePt" w14:dir="t">
                    <w14:rot w14:lat="0" w14:lon="0" w14:rev="0"/>
                  </w14:lightRig>
                </w14:scene3d>
              </w:rPr>
              <w:t>2.2</w:t>
            </w:r>
            <w:r w:rsidR="001313F9">
              <w:rPr>
                <w:rFonts w:asciiTheme="minorHAnsi" w:eastAsiaTheme="minorEastAsia" w:hAnsiTheme="minorHAnsi" w:cstheme="minorBidi"/>
                <w:noProof/>
                <w:sz w:val="22"/>
                <w:szCs w:val="22"/>
                <w:lang w:eastAsia="en-GB"/>
              </w:rPr>
              <w:tab/>
            </w:r>
            <w:r w:rsidR="001313F9" w:rsidRPr="00B8197B">
              <w:rPr>
                <w:rStyle w:val="Hyperlink"/>
                <w:noProof/>
              </w:rPr>
              <w:t>Materials used to form apical barrier.</w:t>
            </w:r>
            <w:r w:rsidR="001313F9">
              <w:rPr>
                <w:noProof/>
                <w:webHidden/>
              </w:rPr>
              <w:tab/>
            </w:r>
            <w:r w:rsidR="001313F9">
              <w:rPr>
                <w:noProof/>
                <w:webHidden/>
              </w:rPr>
              <w:fldChar w:fldCharType="begin"/>
            </w:r>
            <w:r w:rsidR="001313F9">
              <w:rPr>
                <w:noProof/>
                <w:webHidden/>
              </w:rPr>
              <w:instrText xml:space="preserve"> PAGEREF _Toc370819216 \h </w:instrText>
            </w:r>
            <w:r w:rsidR="001313F9">
              <w:rPr>
                <w:noProof/>
                <w:webHidden/>
              </w:rPr>
            </w:r>
            <w:r w:rsidR="001313F9">
              <w:rPr>
                <w:noProof/>
                <w:webHidden/>
              </w:rPr>
              <w:fldChar w:fldCharType="separate"/>
            </w:r>
            <w:r w:rsidR="001313F9">
              <w:rPr>
                <w:noProof/>
                <w:webHidden/>
              </w:rPr>
              <w:t>54</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17" w:history="1">
            <w:r w:rsidR="001313F9" w:rsidRPr="00B8197B">
              <w:rPr>
                <w:rStyle w:val="Hyperlink"/>
                <w:noProof/>
                <w14:scene3d>
                  <w14:camera w14:prst="orthographicFront"/>
                  <w14:lightRig w14:rig="threePt" w14:dir="t">
                    <w14:rot w14:lat="0" w14:lon="0" w14:rev="0"/>
                  </w14:lightRig>
                </w14:scene3d>
              </w:rPr>
              <w:t>2.2.1</w:t>
            </w:r>
            <w:r w:rsidR="001313F9">
              <w:rPr>
                <w:rFonts w:asciiTheme="minorHAnsi" w:eastAsiaTheme="minorEastAsia" w:hAnsiTheme="minorHAnsi" w:cstheme="minorBidi"/>
                <w:noProof/>
                <w:sz w:val="22"/>
                <w:szCs w:val="22"/>
                <w:lang w:eastAsia="en-GB"/>
              </w:rPr>
              <w:tab/>
            </w:r>
            <w:r w:rsidR="001313F9" w:rsidRPr="00B8197B">
              <w:rPr>
                <w:rStyle w:val="Hyperlink"/>
                <w:noProof/>
              </w:rPr>
              <w:t>A number of materials have been proposed over the years including:</w:t>
            </w:r>
            <w:r w:rsidR="001313F9">
              <w:rPr>
                <w:noProof/>
                <w:webHidden/>
              </w:rPr>
              <w:tab/>
            </w:r>
            <w:r w:rsidR="001313F9">
              <w:rPr>
                <w:noProof/>
                <w:webHidden/>
              </w:rPr>
              <w:fldChar w:fldCharType="begin"/>
            </w:r>
            <w:r w:rsidR="001313F9">
              <w:rPr>
                <w:noProof/>
                <w:webHidden/>
              </w:rPr>
              <w:instrText xml:space="preserve"> PAGEREF _Toc370819217 \h </w:instrText>
            </w:r>
            <w:r w:rsidR="001313F9">
              <w:rPr>
                <w:noProof/>
                <w:webHidden/>
              </w:rPr>
            </w:r>
            <w:r w:rsidR="001313F9">
              <w:rPr>
                <w:noProof/>
                <w:webHidden/>
              </w:rPr>
              <w:fldChar w:fldCharType="separate"/>
            </w:r>
            <w:r w:rsidR="001313F9">
              <w:rPr>
                <w:noProof/>
                <w:webHidden/>
              </w:rPr>
              <w:t>54</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18" w:history="1">
            <w:r w:rsidR="001313F9" w:rsidRPr="00B8197B">
              <w:rPr>
                <w:rStyle w:val="Hyperlink"/>
                <w:noProof/>
                <w14:scene3d>
                  <w14:camera w14:prst="orthographicFront"/>
                  <w14:lightRig w14:rig="threePt" w14:dir="t">
                    <w14:rot w14:lat="0" w14:lon="0" w14:rev="0"/>
                  </w14:lightRig>
                </w14:scene3d>
              </w:rPr>
              <w:t>2.2.2</w:t>
            </w:r>
            <w:r w:rsidR="001313F9">
              <w:rPr>
                <w:rFonts w:asciiTheme="minorHAnsi" w:eastAsiaTheme="minorEastAsia" w:hAnsiTheme="minorHAnsi" w:cstheme="minorBidi"/>
                <w:noProof/>
                <w:sz w:val="22"/>
                <w:szCs w:val="22"/>
                <w:lang w:eastAsia="en-GB"/>
              </w:rPr>
              <w:tab/>
            </w:r>
            <w:r w:rsidR="001313F9" w:rsidRPr="00B8197B">
              <w:rPr>
                <w:rStyle w:val="Hyperlink"/>
                <w:noProof/>
              </w:rPr>
              <w:t>Calcium Hydroxide (CH) In Endodontic Therapy</w:t>
            </w:r>
            <w:r w:rsidR="001313F9">
              <w:rPr>
                <w:noProof/>
                <w:webHidden/>
              </w:rPr>
              <w:tab/>
            </w:r>
            <w:r w:rsidR="001313F9">
              <w:rPr>
                <w:noProof/>
                <w:webHidden/>
              </w:rPr>
              <w:fldChar w:fldCharType="begin"/>
            </w:r>
            <w:r w:rsidR="001313F9">
              <w:rPr>
                <w:noProof/>
                <w:webHidden/>
              </w:rPr>
              <w:instrText xml:space="preserve"> PAGEREF _Toc370819218 \h </w:instrText>
            </w:r>
            <w:r w:rsidR="001313F9">
              <w:rPr>
                <w:noProof/>
                <w:webHidden/>
              </w:rPr>
            </w:r>
            <w:r w:rsidR="001313F9">
              <w:rPr>
                <w:noProof/>
                <w:webHidden/>
              </w:rPr>
              <w:fldChar w:fldCharType="separate"/>
            </w:r>
            <w:r w:rsidR="001313F9">
              <w:rPr>
                <w:noProof/>
                <w:webHidden/>
              </w:rPr>
              <w:t>55</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19" w:history="1">
            <w:r w:rsidR="001313F9" w:rsidRPr="00B8197B">
              <w:rPr>
                <w:rStyle w:val="Hyperlink"/>
                <w:noProof/>
                <w14:scene3d>
                  <w14:camera w14:prst="orthographicFront"/>
                  <w14:lightRig w14:rig="threePt" w14:dir="t">
                    <w14:rot w14:lat="0" w14:lon="0" w14:rev="0"/>
                  </w14:lightRig>
                </w14:scene3d>
              </w:rPr>
              <w:t>2.2.3</w:t>
            </w:r>
            <w:r w:rsidR="001313F9">
              <w:rPr>
                <w:rFonts w:asciiTheme="minorHAnsi" w:eastAsiaTheme="minorEastAsia" w:hAnsiTheme="minorHAnsi" w:cstheme="minorBidi"/>
                <w:noProof/>
                <w:sz w:val="22"/>
                <w:szCs w:val="22"/>
                <w:lang w:eastAsia="en-GB"/>
              </w:rPr>
              <w:tab/>
            </w:r>
            <w:r w:rsidR="001313F9" w:rsidRPr="00B8197B">
              <w:rPr>
                <w:rStyle w:val="Hyperlink"/>
                <w:noProof/>
              </w:rPr>
              <w:t>Mineral Trioxide Aggregate (MTA)</w:t>
            </w:r>
            <w:r w:rsidR="001313F9">
              <w:rPr>
                <w:noProof/>
                <w:webHidden/>
              </w:rPr>
              <w:tab/>
            </w:r>
            <w:r w:rsidR="001313F9">
              <w:rPr>
                <w:noProof/>
                <w:webHidden/>
              </w:rPr>
              <w:fldChar w:fldCharType="begin"/>
            </w:r>
            <w:r w:rsidR="001313F9">
              <w:rPr>
                <w:noProof/>
                <w:webHidden/>
              </w:rPr>
              <w:instrText xml:space="preserve"> PAGEREF _Toc370819219 \h </w:instrText>
            </w:r>
            <w:r w:rsidR="001313F9">
              <w:rPr>
                <w:noProof/>
                <w:webHidden/>
              </w:rPr>
            </w:r>
            <w:r w:rsidR="001313F9">
              <w:rPr>
                <w:noProof/>
                <w:webHidden/>
              </w:rPr>
              <w:fldChar w:fldCharType="separate"/>
            </w:r>
            <w:r w:rsidR="001313F9">
              <w:rPr>
                <w:noProof/>
                <w:webHidden/>
              </w:rPr>
              <w:t>61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20" w:history="1">
            <w:r w:rsidR="001313F9" w:rsidRPr="00B8197B">
              <w:rPr>
                <w:rStyle w:val="Hyperlink"/>
                <w:noProof/>
                <w14:scene3d>
                  <w14:camera w14:prst="orthographicFront"/>
                  <w14:lightRig w14:rig="threePt" w14:dir="t">
                    <w14:rot w14:lat="0" w14:lon="0" w14:rev="0"/>
                  </w14:lightRig>
                </w14:scene3d>
              </w:rPr>
              <w:t>2.2.4</w:t>
            </w:r>
            <w:r w:rsidR="001313F9">
              <w:rPr>
                <w:rFonts w:asciiTheme="minorHAnsi" w:eastAsiaTheme="minorEastAsia" w:hAnsiTheme="minorHAnsi" w:cstheme="minorBidi"/>
                <w:noProof/>
                <w:sz w:val="22"/>
                <w:szCs w:val="22"/>
                <w:lang w:eastAsia="en-GB"/>
              </w:rPr>
              <w:tab/>
            </w:r>
            <w:r w:rsidR="001313F9" w:rsidRPr="00B8197B">
              <w:rPr>
                <w:rStyle w:val="Hyperlink"/>
                <w:noProof/>
              </w:rPr>
              <w:t>Dentine as a tissue</w:t>
            </w:r>
            <w:r w:rsidR="001313F9">
              <w:rPr>
                <w:noProof/>
                <w:webHidden/>
              </w:rPr>
              <w:tab/>
            </w:r>
            <w:r w:rsidR="001313F9">
              <w:rPr>
                <w:noProof/>
                <w:webHidden/>
              </w:rPr>
              <w:fldChar w:fldCharType="begin"/>
            </w:r>
            <w:r w:rsidR="001313F9">
              <w:rPr>
                <w:noProof/>
                <w:webHidden/>
              </w:rPr>
              <w:instrText xml:space="preserve"> PAGEREF _Toc370819220 \h </w:instrText>
            </w:r>
            <w:r w:rsidR="001313F9">
              <w:rPr>
                <w:noProof/>
                <w:webHidden/>
              </w:rPr>
            </w:r>
            <w:r w:rsidR="001313F9">
              <w:rPr>
                <w:noProof/>
                <w:webHidden/>
              </w:rPr>
              <w:fldChar w:fldCharType="separate"/>
            </w:r>
            <w:r w:rsidR="001313F9">
              <w:rPr>
                <w:noProof/>
                <w:webHidden/>
              </w:rPr>
              <w:t>72</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21" w:history="1">
            <w:r w:rsidR="001313F9" w:rsidRPr="00B8197B">
              <w:rPr>
                <w:rStyle w:val="Hyperlink"/>
                <w:noProof/>
                <w14:scene3d>
                  <w14:camera w14:prst="orthographicFront"/>
                  <w14:lightRig w14:rig="threePt" w14:dir="t">
                    <w14:rot w14:lat="0" w14:lon="0" w14:rev="0"/>
                  </w14:lightRig>
                </w14:scene3d>
              </w:rPr>
              <w:t>2.2.5</w:t>
            </w:r>
            <w:r w:rsidR="001313F9">
              <w:rPr>
                <w:rFonts w:asciiTheme="minorHAnsi" w:eastAsiaTheme="minorEastAsia" w:hAnsiTheme="minorHAnsi" w:cstheme="minorBidi"/>
                <w:noProof/>
                <w:sz w:val="22"/>
                <w:szCs w:val="22"/>
                <w:lang w:eastAsia="en-GB"/>
              </w:rPr>
              <w:tab/>
            </w:r>
            <w:r w:rsidR="001313F9" w:rsidRPr="00B8197B">
              <w:rPr>
                <w:rStyle w:val="Hyperlink"/>
                <w:noProof/>
              </w:rPr>
              <w:t>Nano-indentation</w:t>
            </w:r>
            <w:r w:rsidR="001313F9">
              <w:rPr>
                <w:noProof/>
                <w:webHidden/>
              </w:rPr>
              <w:tab/>
            </w:r>
            <w:r w:rsidR="001313F9">
              <w:rPr>
                <w:noProof/>
                <w:webHidden/>
              </w:rPr>
              <w:fldChar w:fldCharType="begin"/>
            </w:r>
            <w:r w:rsidR="001313F9">
              <w:rPr>
                <w:noProof/>
                <w:webHidden/>
              </w:rPr>
              <w:instrText xml:space="preserve"> PAGEREF _Toc370819221 \h </w:instrText>
            </w:r>
            <w:r w:rsidR="001313F9">
              <w:rPr>
                <w:noProof/>
                <w:webHidden/>
              </w:rPr>
            </w:r>
            <w:r w:rsidR="001313F9">
              <w:rPr>
                <w:noProof/>
                <w:webHidden/>
              </w:rPr>
              <w:fldChar w:fldCharType="separate"/>
            </w:r>
            <w:r w:rsidR="001313F9">
              <w:rPr>
                <w:noProof/>
                <w:webHidden/>
              </w:rPr>
              <w:t>74</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22" w:history="1">
            <w:r w:rsidR="001313F9" w:rsidRPr="00B8197B">
              <w:rPr>
                <w:rStyle w:val="Hyperlink"/>
                <w:noProof/>
                <w14:scene3d>
                  <w14:camera w14:prst="orthographicFront"/>
                  <w14:lightRig w14:rig="threePt" w14:dir="t">
                    <w14:rot w14:lat="0" w14:lon="0" w14:rev="0"/>
                  </w14:lightRig>
                </w14:scene3d>
              </w:rPr>
              <w:t>2.2.6</w:t>
            </w:r>
            <w:r w:rsidR="001313F9">
              <w:rPr>
                <w:rFonts w:asciiTheme="minorHAnsi" w:eastAsiaTheme="minorEastAsia" w:hAnsiTheme="minorHAnsi" w:cstheme="minorBidi"/>
                <w:noProof/>
                <w:sz w:val="22"/>
                <w:szCs w:val="22"/>
                <w:lang w:eastAsia="en-GB"/>
              </w:rPr>
              <w:tab/>
            </w:r>
            <w:r w:rsidR="001313F9" w:rsidRPr="00B8197B">
              <w:rPr>
                <w:rStyle w:val="Hyperlink"/>
                <w:noProof/>
              </w:rPr>
              <w:t>Summary of literature review justifying aims of this study</w:t>
            </w:r>
            <w:r w:rsidR="001313F9">
              <w:rPr>
                <w:noProof/>
                <w:webHidden/>
              </w:rPr>
              <w:tab/>
            </w:r>
            <w:r w:rsidR="001313F9">
              <w:rPr>
                <w:noProof/>
                <w:webHidden/>
              </w:rPr>
              <w:fldChar w:fldCharType="begin"/>
            </w:r>
            <w:r w:rsidR="001313F9">
              <w:rPr>
                <w:noProof/>
                <w:webHidden/>
              </w:rPr>
              <w:instrText xml:space="preserve"> PAGEREF _Toc370819222 \h </w:instrText>
            </w:r>
            <w:r w:rsidR="001313F9">
              <w:rPr>
                <w:noProof/>
                <w:webHidden/>
              </w:rPr>
            </w:r>
            <w:r w:rsidR="001313F9">
              <w:rPr>
                <w:noProof/>
                <w:webHidden/>
              </w:rPr>
              <w:fldChar w:fldCharType="separate"/>
            </w:r>
            <w:r w:rsidR="001313F9">
              <w:rPr>
                <w:noProof/>
                <w:webHidden/>
              </w:rPr>
              <w:t>76</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23" w:history="1">
            <w:r w:rsidR="001313F9" w:rsidRPr="00B8197B">
              <w:rPr>
                <w:rStyle w:val="Hyperlink"/>
                <w:noProof/>
                <w14:scene3d>
                  <w14:camera w14:prst="orthographicFront"/>
                  <w14:lightRig w14:rig="threePt" w14:dir="t">
                    <w14:rot w14:lat="0" w14:lon="0" w14:rev="0"/>
                  </w14:lightRig>
                </w14:scene3d>
              </w:rPr>
              <w:t>2.3</w:t>
            </w:r>
            <w:r w:rsidR="001313F9">
              <w:rPr>
                <w:rFonts w:asciiTheme="minorHAnsi" w:eastAsiaTheme="minorEastAsia" w:hAnsiTheme="minorHAnsi" w:cstheme="minorBidi"/>
                <w:noProof/>
                <w:sz w:val="22"/>
                <w:szCs w:val="22"/>
                <w:lang w:eastAsia="en-GB"/>
              </w:rPr>
              <w:tab/>
            </w:r>
            <w:r w:rsidR="001313F9" w:rsidRPr="00B8197B">
              <w:rPr>
                <w:rStyle w:val="Hyperlink"/>
                <w:noProof/>
              </w:rPr>
              <w:t>AIMS of the study</w:t>
            </w:r>
            <w:r w:rsidR="001313F9">
              <w:rPr>
                <w:noProof/>
                <w:webHidden/>
              </w:rPr>
              <w:tab/>
            </w:r>
            <w:r w:rsidR="001313F9">
              <w:rPr>
                <w:noProof/>
                <w:webHidden/>
              </w:rPr>
              <w:fldChar w:fldCharType="begin"/>
            </w:r>
            <w:r w:rsidR="001313F9">
              <w:rPr>
                <w:noProof/>
                <w:webHidden/>
              </w:rPr>
              <w:instrText xml:space="preserve"> PAGEREF _Toc370819223 \h </w:instrText>
            </w:r>
            <w:r w:rsidR="001313F9">
              <w:rPr>
                <w:noProof/>
                <w:webHidden/>
              </w:rPr>
            </w:r>
            <w:r w:rsidR="001313F9">
              <w:rPr>
                <w:noProof/>
                <w:webHidden/>
              </w:rPr>
              <w:fldChar w:fldCharType="separate"/>
            </w:r>
            <w:r w:rsidR="001313F9">
              <w:rPr>
                <w:noProof/>
                <w:webHidden/>
              </w:rPr>
              <w:t>76</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24" w:history="1">
            <w:r w:rsidR="001313F9" w:rsidRPr="00B8197B">
              <w:rPr>
                <w:rStyle w:val="Hyperlink"/>
                <w:noProof/>
                <w14:scene3d>
                  <w14:camera w14:prst="orthographicFront"/>
                  <w14:lightRig w14:rig="threePt" w14:dir="t">
                    <w14:rot w14:lat="0" w14:lon="0" w14:rev="0"/>
                  </w14:lightRig>
                </w14:scene3d>
              </w:rPr>
              <w:t>2.4</w:t>
            </w:r>
            <w:r w:rsidR="001313F9">
              <w:rPr>
                <w:rFonts w:asciiTheme="minorHAnsi" w:eastAsiaTheme="minorEastAsia" w:hAnsiTheme="minorHAnsi" w:cstheme="minorBidi"/>
                <w:noProof/>
                <w:sz w:val="22"/>
                <w:szCs w:val="22"/>
                <w:lang w:eastAsia="en-GB"/>
              </w:rPr>
              <w:tab/>
            </w:r>
            <w:r w:rsidR="001313F9" w:rsidRPr="00B8197B">
              <w:rPr>
                <w:rStyle w:val="Hyperlink"/>
                <w:noProof/>
              </w:rPr>
              <w:t>Methodology:</w:t>
            </w:r>
            <w:r w:rsidR="001313F9">
              <w:rPr>
                <w:noProof/>
                <w:webHidden/>
              </w:rPr>
              <w:tab/>
            </w:r>
            <w:r w:rsidR="001313F9">
              <w:rPr>
                <w:noProof/>
                <w:webHidden/>
              </w:rPr>
              <w:fldChar w:fldCharType="begin"/>
            </w:r>
            <w:r w:rsidR="001313F9">
              <w:rPr>
                <w:noProof/>
                <w:webHidden/>
              </w:rPr>
              <w:instrText xml:space="preserve"> PAGEREF _Toc370819224 \h </w:instrText>
            </w:r>
            <w:r w:rsidR="001313F9">
              <w:rPr>
                <w:noProof/>
                <w:webHidden/>
              </w:rPr>
            </w:r>
            <w:r w:rsidR="001313F9">
              <w:rPr>
                <w:noProof/>
                <w:webHidden/>
              </w:rPr>
              <w:fldChar w:fldCharType="separate"/>
            </w:r>
            <w:r w:rsidR="001313F9">
              <w:rPr>
                <w:noProof/>
                <w:webHidden/>
              </w:rPr>
              <w:t>77</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25" w:history="1">
            <w:r w:rsidR="001313F9" w:rsidRPr="00B8197B">
              <w:rPr>
                <w:rStyle w:val="Hyperlink"/>
                <w:noProof/>
                <w14:scene3d>
                  <w14:camera w14:prst="orthographicFront"/>
                  <w14:lightRig w14:rig="threePt" w14:dir="t">
                    <w14:rot w14:lat="0" w14:lon="0" w14:rev="0"/>
                  </w14:lightRig>
                </w14:scene3d>
              </w:rPr>
              <w:t>2.4.1</w:t>
            </w:r>
            <w:r w:rsidR="001313F9">
              <w:rPr>
                <w:rFonts w:asciiTheme="minorHAnsi" w:eastAsiaTheme="minorEastAsia" w:hAnsiTheme="minorHAnsi" w:cstheme="minorBidi"/>
                <w:noProof/>
                <w:sz w:val="22"/>
                <w:szCs w:val="22"/>
                <w:lang w:eastAsia="en-GB"/>
              </w:rPr>
              <w:tab/>
            </w:r>
            <w:r w:rsidR="001313F9" w:rsidRPr="00B8197B">
              <w:rPr>
                <w:rStyle w:val="Hyperlink"/>
                <w:noProof/>
              </w:rPr>
              <w:t>Test materials used in the study</w:t>
            </w:r>
            <w:r w:rsidR="001313F9">
              <w:rPr>
                <w:noProof/>
                <w:webHidden/>
              </w:rPr>
              <w:tab/>
            </w:r>
            <w:r w:rsidR="001313F9">
              <w:rPr>
                <w:noProof/>
                <w:webHidden/>
              </w:rPr>
              <w:fldChar w:fldCharType="begin"/>
            </w:r>
            <w:r w:rsidR="001313F9">
              <w:rPr>
                <w:noProof/>
                <w:webHidden/>
              </w:rPr>
              <w:instrText xml:space="preserve"> PAGEREF _Toc370819225 \h </w:instrText>
            </w:r>
            <w:r w:rsidR="001313F9">
              <w:rPr>
                <w:noProof/>
                <w:webHidden/>
              </w:rPr>
            </w:r>
            <w:r w:rsidR="001313F9">
              <w:rPr>
                <w:noProof/>
                <w:webHidden/>
              </w:rPr>
              <w:fldChar w:fldCharType="separate"/>
            </w:r>
            <w:r w:rsidR="001313F9">
              <w:rPr>
                <w:noProof/>
                <w:webHidden/>
              </w:rPr>
              <w:t>77</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26" w:history="1">
            <w:r w:rsidR="001313F9" w:rsidRPr="00B8197B">
              <w:rPr>
                <w:rStyle w:val="Hyperlink"/>
                <w:noProof/>
                <w14:scene3d>
                  <w14:camera w14:prst="orthographicFront"/>
                  <w14:lightRig w14:rig="threePt" w14:dir="t">
                    <w14:rot w14:lat="0" w14:lon="0" w14:rev="0"/>
                  </w14:lightRig>
                </w14:scene3d>
              </w:rPr>
              <w:t>2.4.2</w:t>
            </w:r>
            <w:r w:rsidR="001313F9">
              <w:rPr>
                <w:rFonts w:asciiTheme="minorHAnsi" w:eastAsiaTheme="minorEastAsia" w:hAnsiTheme="minorHAnsi" w:cstheme="minorBidi"/>
                <w:noProof/>
                <w:sz w:val="22"/>
                <w:szCs w:val="22"/>
                <w:lang w:eastAsia="en-GB"/>
              </w:rPr>
              <w:tab/>
            </w:r>
            <w:r w:rsidR="001313F9" w:rsidRPr="00B8197B">
              <w:rPr>
                <w:rStyle w:val="Hyperlink"/>
                <w:noProof/>
              </w:rPr>
              <w:t>Sample size calculation</w:t>
            </w:r>
            <w:r w:rsidR="001313F9">
              <w:rPr>
                <w:noProof/>
                <w:webHidden/>
              </w:rPr>
              <w:tab/>
            </w:r>
            <w:r w:rsidR="001313F9">
              <w:rPr>
                <w:noProof/>
                <w:webHidden/>
              </w:rPr>
              <w:fldChar w:fldCharType="begin"/>
            </w:r>
            <w:r w:rsidR="001313F9">
              <w:rPr>
                <w:noProof/>
                <w:webHidden/>
              </w:rPr>
              <w:instrText xml:space="preserve"> PAGEREF _Toc370819226 \h </w:instrText>
            </w:r>
            <w:r w:rsidR="001313F9">
              <w:rPr>
                <w:noProof/>
                <w:webHidden/>
              </w:rPr>
            </w:r>
            <w:r w:rsidR="001313F9">
              <w:rPr>
                <w:noProof/>
                <w:webHidden/>
              </w:rPr>
              <w:fldChar w:fldCharType="separate"/>
            </w:r>
            <w:r w:rsidR="001313F9">
              <w:rPr>
                <w:noProof/>
                <w:webHidden/>
              </w:rPr>
              <w:t>77</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27" w:history="1">
            <w:r w:rsidR="001313F9" w:rsidRPr="00B8197B">
              <w:rPr>
                <w:rStyle w:val="Hyperlink"/>
                <w:noProof/>
                <w14:scene3d>
                  <w14:camera w14:prst="orthographicFront"/>
                  <w14:lightRig w14:rig="threePt" w14:dir="t">
                    <w14:rot w14:lat="0" w14:lon="0" w14:rev="0"/>
                  </w14:lightRig>
                </w14:scene3d>
              </w:rPr>
              <w:t>2.4.3</w:t>
            </w:r>
            <w:r w:rsidR="001313F9">
              <w:rPr>
                <w:rFonts w:asciiTheme="minorHAnsi" w:eastAsiaTheme="minorEastAsia" w:hAnsiTheme="minorHAnsi" w:cstheme="minorBidi"/>
                <w:noProof/>
                <w:sz w:val="22"/>
                <w:szCs w:val="22"/>
                <w:lang w:eastAsia="en-GB"/>
              </w:rPr>
              <w:tab/>
            </w:r>
            <w:r w:rsidR="001313F9" w:rsidRPr="00B8197B">
              <w:rPr>
                <w:rStyle w:val="Hyperlink"/>
                <w:noProof/>
              </w:rPr>
              <w:t>Inclusion Criteria for Teeth</w:t>
            </w:r>
            <w:r w:rsidR="001313F9">
              <w:rPr>
                <w:noProof/>
                <w:webHidden/>
              </w:rPr>
              <w:tab/>
            </w:r>
            <w:r w:rsidR="001313F9">
              <w:rPr>
                <w:noProof/>
                <w:webHidden/>
              </w:rPr>
              <w:fldChar w:fldCharType="begin"/>
            </w:r>
            <w:r w:rsidR="001313F9">
              <w:rPr>
                <w:noProof/>
                <w:webHidden/>
              </w:rPr>
              <w:instrText xml:space="preserve"> PAGEREF _Toc370819227 \h </w:instrText>
            </w:r>
            <w:r w:rsidR="001313F9">
              <w:rPr>
                <w:noProof/>
                <w:webHidden/>
              </w:rPr>
            </w:r>
            <w:r w:rsidR="001313F9">
              <w:rPr>
                <w:noProof/>
                <w:webHidden/>
              </w:rPr>
              <w:fldChar w:fldCharType="separate"/>
            </w:r>
            <w:r w:rsidR="001313F9">
              <w:rPr>
                <w:noProof/>
                <w:webHidden/>
              </w:rPr>
              <w:t>78</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28" w:history="1">
            <w:r w:rsidR="001313F9" w:rsidRPr="00B8197B">
              <w:rPr>
                <w:rStyle w:val="Hyperlink"/>
                <w:noProof/>
                <w14:scene3d>
                  <w14:camera w14:prst="orthographicFront"/>
                  <w14:lightRig w14:rig="threePt" w14:dir="t">
                    <w14:rot w14:lat="0" w14:lon="0" w14:rev="0"/>
                  </w14:lightRig>
                </w14:scene3d>
              </w:rPr>
              <w:t>2.4.4</w:t>
            </w:r>
            <w:r w:rsidR="001313F9">
              <w:rPr>
                <w:rFonts w:asciiTheme="minorHAnsi" w:eastAsiaTheme="minorEastAsia" w:hAnsiTheme="minorHAnsi" w:cstheme="minorBidi"/>
                <w:noProof/>
                <w:sz w:val="22"/>
                <w:szCs w:val="22"/>
                <w:lang w:eastAsia="en-GB"/>
              </w:rPr>
              <w:tab/>
            </w:r>
            <w:r w:rsidR="001313F9" w:rsidRPr="00B8197B">
              <w:rPr>
                <w:rStyle w:val="Hyperlink"/>
                <w:noProof/>
              </w:rPr>
              <w:t>Preparation of Specimens</w:t>
            </w:r>
            <w:r w:rsidR="001313F9">
              <w:rPr>
                <w:noProof/>
                <w:webHidden/>
              </w:rPr>
              <w:tab/>
            </w:r>
            <w:r w:rsidR="001313F9">
              <w:rPr>
                <w:noProof/>
                <w:webHidden/>
              </w:rPr>
              <w:fldChar w:fldCharType="begin"/>
            </w:r>
            <w:r w:rsidR="001313F9">
              <w:rPr>
                <w:noProof/>
                <w:webHidden/>
              </w:rPr>
              <w:instrText xml:space="preserve"> PAGEREF _Toc370819228 \h </w:instrText>
            </w:r>
            <w:r w:rsidR="001313F9">
              <w:rPr>
                <w:noProof/>
                <w:webHidden/>
              </w:rPr>
            </w:r>
            <w:r w:rsidR="001313F9">
              <w:rPr>
                <w:noProof/>
                <w:webHidden/>
              </w:rPr>
              <w:fldChar w:fldCharType="separate"/>
            </w:r>
            <w:r w:rsidR="001313F9">
              <w:rPr>
                <w:noProof/>
                <w:webHidden/>
              </w:rPr>
              <w:t>79</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29" w:history="1">
            <w:r w:rsidR="001313F9" w:rsidRPr="00B8197B">
              <w:rPr>
                <w:rStyle w:val="Hyperlink"/>
                <w:noProof/>
                <w14:scene3d>
                  <w14:camera w14:prst="orthographicFront"/>
                  <w14:lightRig w14:rig="threePt" w14:dir="t">
                    <w14:rot w14:lat="0" w14:lon="0" w14:rev="0"/>
                  </w14:lightRig>
                </w14:scene3d>
              </w:rPr>
              <w:t>2.4.5</w:t>
            </w:r>
            <w:r w:rsidR="001313F9">
              <w:rPr>
                <w:rFonts w:asciiTheme="minorHAnsi" w:eastAsiaTheme="minorEastAsia" w:hAnsiTheme="minorHAnsi" w:cstheme="minorBidi"/>
                <w:noProof/>
                <w:sz w:val="22"/>
                <w:szCs w:val="22"/>
                <w:lang w:eastAsia="en-GB"/>
              </w:rPr>
              <w:tab/>
            </w:r>
            <w:r w:rsidR="001313F9" w:rsidRPr="00B8197B">
              <w:rPr>
                <w:rStyle w:val="Hyperlink"/>
                <w:noProof/>
              </w:rPr>
              <w:t>Study design</w:t>
            </w:r>
            <w:r w:rsidR="001313F9">
              <w:rPr>
                <w:noProof/>
                <w:webHidden/>
              </w:rPr>
              <w:tab/>
            </w:r>
            <w:r w:rsidR="001313F9">
              <w:rPr>
                <w:noProof/>
                <w:webHidden/>
              </w:rPr>
              <w:fldChar w:fldCharType="begin"/>
            </w:r>
            <w:r w:rsidR="001313F9">
              <w:rPr>
                <w:noProof/>
                <w:webHidden/>
              </w:rPr>
              <w:instrText xml:space="preserve"> PAGEREF _Toc370819229 \h </w:instrText>
            </w:r>
            <w:r w:rsidR="001313F9">
              <w:rPr>
                <w:noProof/>
                <w:webHidden/>
              </w:rPr>
            </w:r>
            <w:r w:rsidR="001313F9">
              <w:rPr>
                <w:noProof/>
                <w:webHidden/>
              </w:rPr>
              <w:fldChar w:fldCharType="separate"/>
            </w:r>
            <w:r w:rsidR="001313F9">
              <w:rPr>
                <w:noProof/>
                <w:webHidden/>
              </w:rPr>
              <w:t>79</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30" w:history="1">
            <w:r w:rsidR="001313F9" w:rsidRPr="00B8197B">
              <w:rPr>
                <w:rStyle w:val="Hyperlink"/>
                <w:noProof/>
                <w14:scene3d>
                  <w14:camera w14:prst="orthographicFront"/>
                  <w14:lightRig w14:rig="threePt" w14:dir="t">
                    <w14:rot w14:lat="0" w14:lon="0" w14:rev="0"/>
                  </w14:lightRig>
                </w14:scene3d>
              </w:rPr>
              <w:t>2.4.6</w:t>
            </w:r>
            <w:r w:rsidR="001313F9">
              <w:rPr>
                <w:rFonts w:asciiTheme="minorHAnsi" w:eastAsiaTheme="minorEastAsia" w:hAnsiTheme="minorHAnsi" w:cstheme="minorBidi"/>
                <w:noProof/>
                <w:sz w:val="22"/>
                <w:szCs w:val="22"/>
                <w:lang w:eastAsia="en-GB"/>
              </w:rPr>
              <w:tab/>
            </w:r>
            <w:r w:rsidR="001313F9" w:rsidRPr="00B8197B">
              <w:rPr>
                <w:rStyle w:val="Hyperlink"/>
                <w:noProof/>
              </w:rPr>
              <w:t>Application of Non setting calcium hydroxide NSCH</w:t>
            </w:r>
            <w:r w:rsidR="001313F9">
              <w:rPr>
                <w:noProof/>
                <w:webHidden/>
              </w:rPr>
              <w:tab/>
            </w:r>
            <w:r w:rsidR="001313F9">
              <w:rPr>
                <w:noProof/>
                <w:webHidden/>
              </w:rPr>
              <w:fldChar w:fldCharType="begin"/>
            </w:r>
            <w:r w:rsidR="001313F9">
              <w:rPr>
                <w:noProof/>
                <w:webHidden/>
              </w:rPr>
              <w:instrText xml:space="preserve"> PAGEREF _Toc370819230 \h </w:instrText>
            </w:r>
            <w:r w:rsidR="001313F9">
              <w:rPr>
                <w:noProof/>
                <w:webHidden/>
              </w:rPr>
            </w:r>
            <w:r w:rsidR="001313F9">
              <w:rPr>
                <w:noProof/>
                <w:webHidden/>
              </w:rPr>
              <w:fldChar w:fldCharType="separate"/>
            </w:r>
            <w:r w:rsidR="001313F9">
              <w:rPr>
                <w:noProof/>
                <w:webHidden/>
              </w:rPr>
              <w:t>80</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31" w:history="1">
            <w:r w:rsidR="001313F9" w:rsidRPr="00B8197B">
              <w:rPr>
                <w:rStyle w:val="Hyperlink"/>
                <w:noProof/>
                <w14:scene3d>
                  <w14:camera w14:prst="orthographicFront"/>
                  <w14:lightRig w14:rig="threePt" w14:dir="t">
                    <w14:rot w14:lat="0" w14:lon="0" w14:rev="0"/>
                  </w14:lightRig>
                </w14:scene3d>
              </w:rPr>
              <w:t>2.4.7</w:t>
            </w:r>
            <w:r w:rsidR="001313F9">
              <w:rPr>
                <w:rFonts w:asciiTheme="minorHAnsi" w:eastAsiaTheme="minorEastAsia" w:hAnsiTheme="minorHAnsi" w:cstheme="minorBidi"/>
                <w:noProof/>
                <w:sz w:val="22"/>
                <w:szCs w:val="22"/>
                <w:lang w:eastAsia="en-GB"/>
              </w:rPr>
              <w:tab/>
            </w:r>
            <w:r w:rsidR="001313F9" w:rsidRPr="00B8197B">
              <w:rPr>
                <w:rStyle w:val="Hyperlink"/>
                <w:noProof/>
              </w:rPr>
              <w:t>Application of Mineral trioxide aggregate MTA</w:t>
            </w:r>
            <w:r w:rsidR="001313F9">
              <w:rPr>
                <w:noProof/>
                <w:webHidden/>
              </w:rPr>
              <w:tab/>
            </w:r>
            <w:r w:rsidR="001313F9">
              <w:rPr>
                <w:noProof/>
                <w:webHidden/>
              </w:rPr>
              <w:fldChar w:fldCharType="begin"/>
            </w:r>
            <w:r w:rsidR="001313F9">
              <w:rPr>
                <w:noProof/>
                <w:webHidden/>
              </w:rPr>
              <w:instrText xml:space="preserve"> PAGEREF _Toc370819231 \h </w:instrText>
            </w:r>
            <w:r w:rsidR="001313F9">
              <w:rPr>
                <w:noProof/>
                <w:webHidden/>
              </w:rPr>
            </w:r>
            <w:r w:rsidR="001313F9">
              <w:rPr>
                <w:noProof/>
                <w:webHidden/>
              </w:rPr>
              <w:fldChar w:fldCharType="separate"/>
            </w:r>
            <w:r w:rsidR="001313F9">
              <w:rPr>
                <w:noProof/>
                <w:webHidden/>
              </w:rPr>
              <w:t>81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32" w:history="1">
            <w:r w:rsidR="001313F9" w:rsidRPr="00B8197B">
              <w:rPr>
                <w:rStyle w:val="Hyperlink"/>
                <w:noProof/>
                <w14:scene3d>
                  <w14:camera w14:prst="orthographicFront"/>
                  <w14:lightRig w14:rig="threePt" w14:dir="t">
                    <w14:rot w14:lat="0" w14:lon="0" w14:rev="0"/>
                  </w14:lightRig>
                </w14:scene3d>
              </w:rPr>
              <w:t>2.4.8</w:t>
            </w:r>
            <w:r w:rsidR="001313F9">
              <w:rPr>
                <w:rFonts w:asciiTheme="minorHAnsi" w:eastAsiaTheme="minorEastAsia" w:hAnsiTheme="minorHAnsi" w:cstheme="minorBidi"/>
                <w:noProof/>
                <w:sz w:val="22"/>
                <w:szCs w:val="22"/>
                <w:lang w:eastAsia="en-GB"/>
              </w:rPr>
              <w:tab/>
            </w:r>
            <w:r w:rsidR="001313F9" w:rsidRPr="00B8197B">
              <w:rPr>
                <w:rStyle w:val="Hyperlink"/>
                <w:noProof/>
              </w:rPr>
              <w:t>Storage of the experimental and the control slabs</w:t>
            </w:r>
            <w:r w:rsidR="001313F9">
              <w:rPr>
                <w:noProof/>
                <w:webHidden/>
              </w:rPr>
              <w:tab/>
            </w:r>
            <w:r w:rsidR="001313F9">
              <w:rPr>
                <w:noProof/>
                <w:webHidden/>
              </w:rPr>
              <w:fldChar w:fldCharType="begin"/>
            </w:r>
            <w:r w:rsidR="001313F9">
              <w:rPr>
                <w:noProof/>
                <w:webHidden/>
              </w:rPr>
              <w:instrText xml:space="preserve"> PAGEREF _Toc370819232 \h </w:instrText>
            </w:r>
            <w:r w:rsidR="001313F9">
              <w:rPr>
                <w:noProof/>
                <w:webHidden/>
              </w:rPr>
            </w:r>
            <w:r w:rsidR="001313F9">
              <w:rPr>
                <w:noProof/>
                <w:webHidden/>
              </w:rPr>
              <w:fldChar w:fldCharType="separate"/>
            </w:r>
            <w:r w:rsidR="001313F9">
              <w:rPr>
                <w:noProof/>
                <w:webHidden/>
              </w:rPr>
              <w:t>81</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33" w:history="1">
            <w:r w:rsidR="001313F9" w:rsidRPr="00B8197B">
              <w:rPr>
                <w:rStyle w:val="Hyperlink"/>
                <w:noProof/>
                <w14:scene3d>
                  <w14:camera w14:prst="orthographicFront"/>
                  <w14:lightRig w14:rig="threePt" w14:dir="t">
                    <w14:rot w14:lat="0" w14:lon="0" w14:rev="0"/>
                  </w14:lightRig>
                </w14:scene3d>
              </w:rPr>
              <w:t>2.5</w:t>
            </w:r>
            <w:r w:rsidR="001313F9">
              <w:rPr>
                <w:rFonts w:asciiTheme="minorHAnsi" w:eastAsiaTheme="minorEastAsia" w:hAnsiTheme="minorHAnsi" w:cstheme="minorBidi"/>
                <w:noProof/>
                <w:sz w:val="22"/>
                <w:szCs w:val="22"/>
                <w:lang w:eastAsia="en-GB"/>
              </w:rPr>
              <w:tab/>
            </w:r>
            <w:r w:rsidR="001313F9" w:rsidRPr="00B8197B">
              <w:rPr>
                <w:rStyle w:val="Hyperlink"/>
                <w:noProof/>
              </w:rPr>
              <w:t>Method of Assessment</w:t>
            </w:r>
            <w:r w:rsidR="001313F9">
              <w:rPr>
                <w:noProof/>
                <w:webHidden/>
              </w:rPr>
              <w:tab/>
            </w:r>
            <w:r w:rsidR="001313F9">
              <w:rPr>
                <w:noProof/>
                <w:webHidden/>
              </w:rPr>
              <w:fldChar w:fldCharType="begin"/>
            </w:r>
            <w:r w:rsidR="001313F9">
              <w:rPr>
                <w:noProof/>
                <w:webHidden/>
              </w:rPr>
              <w:instrText xml:space="preserve"> PAGEREF _Toc370819233 \h </w:instrText>
            </w:r>
            <w:r w:rsidR="001313F9">
              <w:rPr>
                <w:noProof/>
                <w:webHidden/>
              </w:rPr>
            </w:r>
            <w:r w:rsidR="001313F9">
              <w:rPr>
                <w:noProof/>
                <w:webHidden/>
              </w:rPr>
              <w:fldChar w:fldCharType="separate"/>
            </w:r>
            <w:r w:rsidR="001313F9">
              <w:rPr>
                <w:noProof/>
                <w:webHidden/>
              </w:rPr>
              <w:t>82</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34" w:history="1">
            <w:r w:rsidR="001313F9" w:rsidRPr="00B8197B">
              <w:rPr>
                <w:rStyle w:val="Hyperlink"/>
                <w:noProof/>
                <w14:scene3d>
                  <w14:camera w14:prst="orthographicFront"/>
                  <w14:lightRig w14:rig="threePt" w14:dir="t">
                    <w14:rot w14:lat="0" w14:lon="0" w14:rev="0"/>
                  </w14:lightRig>
                </w14:scene3d>
              </w:rPr>
              <w:t>2.5.1</w:t>
            </w:r>
            <w:r w:rsidR="001313F9">
              <w:rPr>
                <w:rFonts w:asciiTheme="minorHAnsi" w:eastAsiaTheme="minorEastAsia" w:hAnsiTheme="minorHAnsi" w:cstheme="minorBidi"/>
                <w:noProof/>
                <w:sz w:val="22"/>
                <w:szCs w:val="22"/>
                <w:lang w:eastAsia="en-GB"/>
              </w:rPr>
              <w:tab/>
            </w:r>
            <w:r w:rsidR="001313F9" w:rsidRPr="00B8197B">
              <w:rPr>
                <w:rStyle w:val="Hyperlink"/>
                <w:noProof/>
              </w:rPr>
              <w:t>Measurement of Hardness of Dentine using Nanoindentation</w:t>
            </w:r>
            <w:r w:rsidR="001313F9">
              <w:rPr>
                <w:noProof/>
                <w:webHidden/>
              </w:rPr>
              <w:tab/>
            </w:r>
            <w:r w:rsidR="001313F9">
              <w:rPr>
                <w:noProof/>
                <w:webHidden/>
              </w:rPr>
              <w:fldChar w:fldCharType="begin"/>
            </w:r>
            <w:r w:rsidR="001313F9">
              <w:rPr>
                <w:noProof/>
                <w:webHidden/>
              </w:rPr>
              <w:instrText xml:space="preserve"> PAGEREF _Toc370819234 \h </w:instrText>
            </w:r>
            <w:r w:rsidR="001313F9">
              <w:rPr>
                <w:noProof/>
                <w:webHidden/>
              </w:rPr>
            </w:r>
            <w:r w:rsidR="001313F9">
              <w:rPr>
                <w:noProof/>
                <w:webHidden/>
              </w:rPr>
              <w:fldChar w:fldCharType="separate"/>
            </w:r>
            <w:r w:rsidR="001313F9">
              <w:rPr>
                <w:noProof/>
                <w:webHidden/>
              </w:rPr>
              <w:t>82</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35" w:history="1">
            <w:r w:rsidR="001313F9" w:rsidRPr="00B8197B">
              <w:rPr>
                <w:rStyle w:val="Hyperlink"/>
                <w:rFonts w:eastAsia="Calibri"/>
                <w:noProof/>
                <w14:scene3d>
                  <w14:camera w14:prst="orthographicFront"/>
                  <w14:lightRig w14:rig="threePt" w14:dir="t">
                    <w14:rot w14:lat="0" w14:lon="0" w14:rev="0"/>
                  </w14:lightRig>
                </w14:scene3d>
              </w:rPr>
              <w:t>2.5.2</w:t>
            </w:r>
            <w:r w:rsidR="001313F9">
              <w:rPr>
                <w:rFonts w:asciiTheme="minorHAnsi" w:eastAsiaTheme="minorEastAsia" w:hAnsiTheme="minorHAnsi" w:cstheme="minorBidi"/>
                <w:noProof/>
                <w:sz w:val="22"/>
                <w:szCs w:val="22"/>
                <w:lang w:eastAsia="en-GB"/>
              </w:rPr>
              <w:tab/>
            </w:r>
            <w:r w:rsidR="001313F9" w:rsidRPr="00B8197B">
              <w:rPr>
                <w:rStyle w:val="Hyperlink"/>
                <w:rFonts w:eastAsia="Calibri"/>
                <w:noProof/>
              </w:rPr>
              <w:t>Preparing and embedding slabs for nanoindentation</w:t>
            </w:r>
            <w:r w:rsidR="001313F9">
              <w:rPr>
                <w:noProof/>
                <w:webHidden/>
              </w:rPr>
              <w:tab/>
            </w:r>
            <w:r w:rsidR="001313F9">
              <w:rPr>
                <w:noProof/>
                <w:webHidden/>
              </w:rPr>
              <w:fldChar w:fldCharType="begin"/>
            </w:r>
            <w:r w:rsidR="001313F9">
              <w:rPr>
                <w:noProof/>
                <w:webHidden/>
              </w:rPr>
              <w:instrText xml:space="preserve"> PAGEREF _Toc370819235 \h </w:instrText>
            </w:r>
            <w:r w:rsidR="001313F9">
              <w:rPr>
                <w:noProof/>
                <w:webHidden/>
              </w:rPr>
            </w:r>
            <w:r w:rsidR="001313F9">
              <w:rPr>
                <w:noProof/>
                <w:webHidden/>
              </w:rPr>
              <w:fldChar w:fldCharType="separate"/>
            </w:r>
            <w:r w:rsidR="001313F9">
              <w:rPr>
                <w:noProof/>
                <w:webHidden/>
              </w:rPr>
              <w:t>83</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36" w:history="1">
            <w:r w:rsidR="001313F9" w:rsidRPr="00B8197B">
              <w:rPr>
                <w:rStyle w:val="Hyperlink"/>
                <w:noProof/>
                <w14:scene3d>
                  <w14:camera w14:prst="orthographicFront"/>
                  <w14:lightRig w14:rig="threePt" w14:dir="t">
                    <w14:rot w14:lat="0" w14:lon="0" w14:rev="0"/>
                  </w14:lightRig>
                </w14:scene3d>
              </w:rPr>
              <w:t>2.5.3</w:t>
            </w:r>
            <w:r w:rsidR="001313F9">
              <w:rPr>
                <w:rFonts w:asciiTheme="minorHAnsi" w:eastAsiaTheme="minorEastAsia" w:hAnsiTheme="minorHAnsi" w:cstheme="minorBidi"/>
                <w:noProof/>
                <w:sz w:val="22"/>
                <w:szCs w:val="22"/>
                <w:lang w:eastAsia="en-GB"/>
              </w:rPr>
              <w:tab/>
            </w:r>
            <w:r w:rsidR="001313F9" w:rsidRPr="00B8197B">
              <w:rPr>
                <w:rStyle w:val="Hyperlink"/>
                <w:noProof/>
              </w:rPr>
              <w:t>Nano-mapping scan</w:t>
            </w:r>
            <w:r w:rsidR="001313F9">
              <w:rPr>
                <w:noProof/>
                <w:webHidden/>
              </w:rPr>
              <w:tab/>
            </w:r>
            <w:r w:rsidR="001313F9">
              <w:rPr>
                <w:noProof/>
                <w:webHidden/>
              </w:rPr>
              <w:fldChar w:fldCharType="begin"/>
            </w:r>
            <w:r w:rsidR="001313F9">
              <w:rPr>
                <w:noProof/>
                <w:webHidden/>
              </w:rPr>
              <w:instrText xml:space="preserve"> PAGEREF _Toc370819236 \h </w:instrText>
            </w:r>
            <w:r w:rsidR="001313F9">
              <w:rPr>
                <w:noProof/>
                <w:webHidden/>
              </w:rPr>
            </w:r>
            <w:r w:rsidR="001313F9">
              <w:rPr>
                <w:noProof/>
                <w:webHidden/>
              </w:rPr>
              <w:fldChar w:fldCharType="separate"/>
            </w:r>
            <w:r w:rsidR="001313F9">
              <w:rPr>
                <w:noProof/>
                <w:webHidden/>
              </w:rPr>
              <w:t>86</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37" w:history="1">
            <w:r w:rsidR="001313F9" w:rsidRPr="00B8197B">
              <w:rPr>
                <w:rStyle w:val="Hyperlink"/>
                <w:noProof/>
                <w14:scene3d>
                  <w14:camera w14:prst="orthographicFront"/>
                  <w14:lightRig w14:rig="threePt" w14:dir="t">
                    <w14:rot w14:lat="0" w14:lon="0" w14:rev="0"/>
                  </w14:lightRig>
                </w14:scene3d>
              </w:rPr>
              <w:t>2.5.4</w:t>
            </w:r>
            <w:r w:rsidR="001313F9">
              <w:rPr>
                <w:rFonts w:asciiTheme="minorHAnsi" w:eastAsiaTheme="minorEastAsia" w:hAnsiTheme="minorHAnsi" w:cstheme="minorBidi"/>
                <w:noProof/>
                <w:sz w:val="22"/>
                <w:szCs w:val="22"/>
                <w:lang w:eastAsia="en-GB"/>
              </w:rPr>
              <w:tab/>
            </w:r>
            <w:r w:rsidR="001313F9" w:rsidRPr="00B8197B">
              <w:rPr>
                <w:rStyle w:val="Hyperlink"/>
                <w:noProof/>
              </w:rPr>
              <w:t>Nano-impact testing</w:t>
            </w:r>
            <w:r w:rsidR="001313F9">
              <w:rPr>
                <w:noProof/>
                <w:webHidden/>
              </w:rPr>
              <w:tab/>
            </w:r>
            <w:r w:rsidR="001313F9">
              <w:rPr>
                <w:noProof/>
                <w:webHidden/>
              </w:rPr>
              <w:fldChar w:fldCharType="begin"/>
            </w:r>
            <w:r w:rsidR="001313F9">
              <w:rPr>
                <w:noProof/>
                <w:webHidden/>
              </w:rPr>
              <w:instrText xml:space="preserve"> PAGEREF _Toc370819237 \h </w:instrText>
            </w:r>
            <w:r w:rsidR="001313F9">
              <w:rPr>
                <w:noProof/>
                <w:webHidden/>
              </w:rPr>
            </w:r>
            <w:r w:rsidR="001313F9">
              <w:rPr>
                <w:noProof/>
                <w:webHidden/>
              </w:rPr>
              <w:fldChar w:fldCharType="separate"/>
            </w:r>
            <w:r w:rsidR="001313F9">
              <w:rPr>
                <w:noProof/>
                <w:webHidden/>
              </w:rPr>
              <w:t>87</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38" w:history="1">
            <w:r w:rsidR="001313F9" w:rsidRPr="00B8197B">
              <w:rPr>
                <w:rStyle w:val="Hyperlink"/>
                <w:noProof/>
                <w14:scene3d>
                  <w14:camera w14:prst="orthographicFront"/>
                  <w14:lightRig w14:rig="threePt" w14:dir="t">
                    <w14:rot w14:lat="0" w14:lon="0" w14:rev="0"/>
                  </w14:lightRig>
                </w14:scene3d>
              </w:rPr>
              <w:t>2.5.5</w:t>
            </w:r>
            <w:r w:rsidR="001313F9">
              <w:rPr>
                <w:rFonts w:asciiTheme="minorHAnsi" w:eastAsiaTheme="minorEastAsia" w:hAnsiTheme="minorHAnsi" w:cstheme="minorBidi"/>
                <w:noProof/>
                <w:sz w:val="22"/>
                <w:szCs w:val="22"/>
                <w:lang w:eastAsia="en-GB"/>
              </w:rPr>
              <w:tab/>
            </w:r>
            <w:r w:rsidR="001313F9" w:rsidRPr="00B8197B">
              <w:rPr>
                <w:rStyle w:val="Hyperlink"/>
                <w:noProof/>
              </w:rPr>
              <w:t>Calculation of Young’s Modulus of Elasticity</w:t>
            </w:r>
            <w:r w:rsidR="001313F9">
              <w:rPr>
                <w:noProof/>
                <w:webHidden/>
              </w:rPr>
              <w:tab/>
            </w:r>
            <w:r w:rsidR="001313F9">
              <w:rPr>
                <w:noProof/>
                <w:webHidden/>
              </w:rPr>
              <w:fldChar w:fldCharType="begin"/>
            </w:r>
            <w:r w:rsidR="001313F9">
              <w:rPr>
                <w:noProof/>
                <w:webHidden/>
              </w:rPr>
              <w:instrText xml:space="preserve"> PAGEREF _Toc370819238 \h </w:instrText>
            </w:r>
            <w:r w:rsidR="001313F9">
              <w:rPr>
                <w:noProof/>
                <w:webHidden/>
              </w:rPr>
            </w:r>
            <w:r w:rsidR="001313F9">
              <w:rPr>
                <w:noProof/>
                <w:webHidden/>
              </w:rPr>
              <w:fldChar w:fldCharType="separate"/>
            </w:r>
            <w:r w:rsidR="001313F9">
              <w:rPr>
                <w:noProof/>
                <w:webHidden/>
              </w:rPr>
              <w:t>89</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39" w:history="1">
            <w:r w:rsidR="001313F9" w:rsidRPr="00B8197B">
              <w:rPr>
                <w:rStyle w:val="Hyperlink"/>
                <w:noProof/>
                <w14:scene3d>
                  <w14:camera w14:prst="orthographicFront"/>
                  <w14:lightRig w14:rig="threePt" w14:dir="t">
                    <w14:rot w14:lat="0" w14:lon="0" w14:rev="0"/>
                  </w14:lightRig>
                </w14:scene3d>
              </w:rPr>
              <w:t>2.6</w:t>
            </w:r>
            <w:r w:rsidR="001313F9">
              <w:rPr>
                <w:rFonts w:asciiTheme="minorHAnsi" w:eastAsiaTheme="minorEastAsia" w:hAnsiTheme="minorHAnsi" w:cstheme="minorBidi"/>
                <w:noProof/>
                <w:sz w:val="22"/>
                <w:szCs w:val="22"/>
                <w:lang w:eastAsia="en-GB"/>
              </w:rPr>
              <w:tab/>
            </w:r>
            <w:r w:rsidR="001313F9" w:rsidRPr="00B8197B">
              <w:rPr>
                <w:rStyle w:val="Hyperlink"/>
                <w:noProof/>
              </w:rPr>
              <w:t>Statistical analysis</w:t>
            </w:r>
            <w:r w:rsidR="001313F9">
              <w:rPr>
                <w:noProof/>
                <w:webHidden/>
              </w:rPr>
              <w:tab/>
            </w:r>
            <w:r w:rsidR="001313F9">
              <w:rPr>
                <w:noProof/>
                <w:webHidden/>
              </w:rPr>
              <w:fldChar w:fldCharType="begin"/>
            </w:r>
            <w:r w:rsidR="001313F9">
              <w:rPr>
                <w:noProof/>
                <w:webHidden/>
              </w:rPr>
              <w:instrText xml:space="preserve"> PAGEREF _Toc370819239 \h </w:instrText>
            </w:r>
            <w:r w:rsidR="001313F9">
              <w:rPr>
                <w:noProof/>
                <w:webHidden/>
              </w:rPr>
            </w:r>
            <w:r w:rsidR="001313F9">
              <w:rPr>
                <w:noProof/>
                <w:webHidden/>
              </w:rPr>
              <w:fldChar w:fldCharType="separate"/>
            </w:r>
            <w:r w:rsidR="001313F9">
              <w:rPr>
                <w:noProof/>
                <w:webHidden/>
              </w:rPr>
              <w:t>90</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40" w:history="1">
            <w:r w:rsidR="001313F9" w:rsidRPr="00B8197B">
              <w:rPr>
                <w:rStyle w:val="Hyperlink"/>
                <w:noProof/>
                <w14:scene3d>
                  <w14:camera w14:prst="orthographicFront"/>
                  <w14:lightRig w14:rig="threePt" w14:dir="t">
                    <w14:rot w14:lat="0" w14:lon="0" w14:rev="0"/>
                  </w14:lightRig>
                </w14:scene3d>
              </w:rPr>
              <w:t>2.7</w:t>
            </w:r>
            <w:r w:rsidR="001313F9">
              <w:rPr>
                <w:rFonts w:asciiTheme="minorHAnsi" w:eastAsiaTheme="minorEastAsia" w:hAnsiTheme="minorHAnsi" w:cstheme="minorBidi"/>
                <w:noProof/>
                <w:sz w:val="22"/>
                <w:szCs w:val="22"/>
                <w:lang w:eastAsia="en-GB"/>
              </w:rPr>
              <w:tab/>
            </w:r>
            <w:r w:rsidR="001313F9" w:rsidRPr="00B8197B">
              <w:rPr>
                <w:rStyle w:val="Hyperlink"/>
                <w:noProof/>
              </w:rPr>
              <w:t>Results</w:t>
            </w:r>
            <w:r w:rsidR="001313F9">
              <w:rPr>
                <w:noProof/>
                <w:webHidden/>
              </w:rPr>
              <w:tab/>
            </w:r>
            <w:r w:rsidR="001313F9">
              <w:rPr>
                <w:noProof/>
                <w:webHidden/>
              </w:rPr>
              <w:fldChar w:fldCharType="begin"/>
            </w:r>
            <w:r w:rsidR="001313F9">
              <w:rPr>
                <w:noProof/>
                <w:webHidden/>
              </w:rPr>
              <w:instrText xml:space="preserve"> PAGEREF _Toc370819240 \h </w:instrText>
            </w:r>
            <w:r w:rsidR="001313F9">
              <w:rPr>
                <w:noProof/>
                <w:webHidden/>
              </w:rPr>
            </w:r>
            <w:r w:rsidR="001313F9">
              <w:rPr>
                <w:noProof/>
                <w:webHidden/>
              </w:rPr>
              <w:fldChar w:fldCharType="separate"/>
            </w:r>
            <w:r w:rsidR="001313F9">
              <w:rPr>
                <w:noProof/>
                <w:webHidden/>
              </w:rPr>
              <w:t>91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41" w:history="1">
            <w:r w:rsidR="001313F9" w:rsidRPr="00B8197B">
              <w:rPr>
                <w:rStyle w:val="Hyperlink"/>
                <w:noProof/>
                <w14:scene3d>
                  <w14:camera w14:prst="orthographicFront"/>
                  <w14:lightRig w14:rig="threePt" w14:dir="t">
                    <w14:rot w14:lat="0" w14:lon="0" w14:rev="0"/>
                  </w14:lightRig>
                </w14:scene3d>
              </w:rPr>
              <w:t>2.7.1</w:t>
            </w:r>
            <w:r w:rsidR="001313F9">
              <w:rPr>
                <w:rFonts w:asciiTheme="minorHAnsi" w:eastAsiaTheme="minorEastAsia" w:hAnsiTheme="minorHAnsi" w:cstheme="minorBidi"/>
                <w:noProof/>
                <w:sz w:val="22"/>
                <w:szCs w:val="22"/>
                <w:lang w:eastAsia="en-GB"/>
              </w:rPr>
              <w:tab/>
            </w:r>
            <w:r w:rsidR="001313F9" w:rsidRPr="00B8197B">
              <w:rPr>
                <w:rStyle w:val="Hyperlink"/>
                <w:noProof/>
              </w:rPr>
              <w:t>Distribution of the data- Test of normality</w:t>
            </w:r>
            <w:r w:rsidR="001313F9">
              <w:rPr>
                <w:noProof/>
                <w:webHidden/>
              </w:rPr>
              <w:tab/>
            </w:r>
            <w:r w:rsidR="001313F9">
              <w:rPr>
                <w:noProof/>
                <w:webHidden/>
              </w:rPr>
              <w:fldChar w:fldCharType="begin"/>
            </w:r>
            <w:r w:rsidR="001313F9">
              <w:rPr>
                <w:noProof/>
                <w:webHidden/>
              </w:rPr>
              <w:instrText xml:space="preserve"> PAGEREF _Toc370819241 \h </w:instrText>
            </w:r>
            <w:r w:rsidR="001313F9">
              <w:rPr>
                <w:noProof/>
                <w:webHidden/>
              </w:rPr>
            </w:r>
            <w:r w:rsidR="001313F9">
              <w:rPr>
                <w:noProof/>
                <w:webHidden/>
              </w:rPr>
              <w:fldChar w:fldCharType="separate"/>
            </w:r>
            <w:r w:rsidR="001313F9">
              <w:rPr>
                <w:noProof/>
                <w:webHidden/>
              </w:rPr>
              <w:t>91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42" w:history="1">
            <w:r w:rsidR="001313F9" w:rsidRPr="00B8197B">
              <w:rPr>
                <w:rStyle w:val="Hyperlink"/>
                <w:noProof/>
                <w14:scene3d>
                  <w14:camera w14:prst="orthographicFront"/>
                  <w14:lightRig w14:rig="threePt" w14:dir="t">
                    <w14:rot w14:lat="0" w14:lon="0" w14:rev="0"/>
                  </w14:lightRig>
                </w14:scene3d>
              </w:rPr>
              <w:t>2.7.2</w:t>
            </w:r>
            <w:r w:rsidR="001313F9">
              <w:rPr>
                <w:rFonts w:asciiTheme="minorHAnsi" w:eastAsiaTheme="minorEastAsia" w:hAnsiTheme="minorHAnsi" w:cstheme="minorBidi"/>
                <w:noProof/>
                <w:sz w:val="22"/>
                <w:szCs w:val="22"/>
                <w:lang w:eastAsia="en-GB"/>
              </w:rPr>
              <w:tab/>
            </w:r>
            <w:r w:rsidR="001313F9" w:rsidRPr="00B8197B">
              <w:rPr>
                <w:rStyle w:val="Hyperlink"/>
                <w:noProof/>
              </w:rPr>
              <w:t>Hardness of dentine and Young’s Modulus of Elasticity after three months of application of NSCH and MTA</w:t>
            </w:r>
            <w:r w:rsidR="001313F9">
              <w:rPr>
                <w:noProof/>
                <w:webHidden/>
              </w:rPr>
              <w:tab/>
            </w:r>
            <w:r w:rsidR="001313F9">
              <w:rPr>
                <w:noProof/>
                <w:webHidden/>
              </w:rPr>
              <w:fldChar w:fldCharType="begin"/>
            </w:r>
            <w:r w:rsidR="001313F9">
              <w:rPr>
                <w:noProof/>
                <w:webHidden/>
              </w:rPr>
              <w:instrText xml:space="preserve"> PAGEREF _Toc370819242 \h </w:instrText>
            </w:r>
            <w:r w:rsidR="001313F9">
              <w:rPr>
                <w:noProof/>
                <w:webHidden/>
              </w:rPr>
            </w:r>
            <w:r w:rsidR="001313F9">
              <w:rPr>
                <w:noProof/>
                <w:webHidden/>
              </w:rPr>
              <w:fldChar w:fldCharType="separate"/>
            </w:r>
            <w:r w:rsidR="001313F9">
              <w:rPr>
                <w:noProof/>
                <w:webHidden/>
              </w:rPr>
              <w:t>93</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43" w:history="1">
            <w:r w:rsidR="001313F9" w:rsidRPr="00B8197B">
              <w:rPr>
                <w:rStyle w:val="Hyperlink"/>
                <w:noProof/>
                <w:lang w:val="en-US"/>
                <w14:scene3d>
                  <w14:camera w14:prst="orthographicFront"/>
                  <w14:lightRig w14:rig="threePt" w14:dir="t">
                    <w14:rot w14:lat="0" w14:lon="0" w14:rev="0"/>
                  </w14:lightRig>
                </w14:scene3d>
              </w:rPr>
              <w:t>2.7.3</w:t>
            </w:r>
            <w:r w:rsidR="001313F9">
              <w:rPr>
                <w:rFonts w:asciiTheme="minorHAnsi" w:eastAsiaTheme="minorEastAsia" w:hAnsiTheme="minorHAnsi" w:cstheme="minorBidi"/>
                <w:noProof/>
                <w:sz w:val="22"/>
                <w:szCs w:val="22"/>
                <w:lang w:eastAsia="en-GB"/>
              </w:rPr>
              <w:tab/>
            </w:r>
            <w:r w:rsidR="001313F9" w:rsidRPr="00B8197B">
              <w:rPr>
                <w:rStyle w:val="Hyperlink"/>
                <w:noProof/>
                <w:lang w:val="en-US"/>
              </w:rPr>
              <w:t>Hardness of dentine and Young’s Modulus of Elasticity after eight months of application of NSCH and MTA</w:t>
            </w:r>
            <w:r w:rsidR="001313F9">
              <w:rPr>
                <w:noProof/>
                <w:webHidden/>
              </w:rPr>
              <w:tab/>
            </w:r>
            <w:r w:rsidR="001313F9">
              <w:rPr>
                <w:noProof/>
                <w:webHidden/>
              </w:rPr>
              <w:fldChar w:fldCharType="begin"/>
            </w:r>
            <w:r w:rsidR="001313F9">
              <w:rPr>
                <w:noProof/>
                <w:webHidden/>
              </w:rPr>
              <w:instrText xml:space="preserve"> PAGEREF _Toc370819243 \h </w:instrText>
            </w:r>
            <w:r w:rsidR="001313F9">
              <w:rPr>
                <w:noProof/>
                <w:webHidden/>
              </w:rPr>
            </w:r>
            <w:r w:rsidR="001313F9">
              <w:rPr>
                <w:noProof/>
                <w:webHidden/>
              </w:rPr>
              <w:fldChar w:fldCharType="separate"/>
            </w:r>
            <w:r w:rsidR="001313F9">
              <w:rPr>
                <w:noProof/>
                <w:webHidden/>
              </w:rPr>
              <w:t>98</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44" w:history="1">
            <w:r w:rsidR="001313F9" w:rsidRPr="00B8197B">
              <w:rPr>
                <w:rStyle w:val="Hyperlink"/>
                <w:rFonts w:eastAsia="Calibri"/>
                <w:noProof/>
                <w:lang w:val="en-US"/>
                <w14:scene3d>
                  <w14:camera w14:prst="orthographicFront"/>
                  <w14:lightRig w14:rig="threePt" w14:dir="t">
                    <w14:rot w14:lat="0" w14:lon="0" w14:rev="0"/>
                  </w14:lightRig>
                </w14:scene3d>
              </w:rPr>
              <w:t>2.7.4</w:t>
            </w:r>
            <w:r w:rsidR="001313F9">
              <w:rPr>
                <w:rFonts w:asciiTheme="minorHAnsi" w:eastAsiaTheme="minorEastAsia" w:hAnsiTheme="minorHAnsi" w:cstheme="minorBidi"/>
                <w:noProof/>
                <w:sz w:val="22"/>
                <w:szCs w:val="22"/>
                <w:lang w:eastAsia="en-GB"/>
              </w:rPr>
              <w:tab/>
            </w:r>
            <w:r w:rsidR="001313F9" w:rsidRPr="00B8197B">
              <w:rPr>
                <w:rStyle w:val="Hyperlink"/>
                <w:rFonts w:eastAsia="Calibri"/>
                <w:noProof/>
                <w:lang w:val="en-US"/>
              </w:rPr>
              <w:t>Nano mapping scan</w:t>
            </w:r>
            <w:r w:rsidR="001313F9">
              <w:rPr>
                <w:noProof/>
                <w:webHidden/>
              </w:rPr>
              <w:tab/>
            </w:r>
            <w:r w:rsidR="001313F9">
              <w:rPr>
                <w:noProof/>
                <w:webHidden/>
              </w:rPr>
              <w:fldChar w:fldCharType="begin"/>
            </w:r>
            <w:r w:rsidR="001313F9">
              <w:rPr>
                <w:noProof/>
                <w:webHidden/>
              </w:rPr>
              <w:instrText xml:space="preserve"> PAGEREF _Toc370819244 \h </w:instrText>
            </w:r>
            <w:r w:rsidR="001313F9">
              <w:rPr>
                <w:noProof/>
                <w:webHidden/>
              </w:rPr>
            </w:r>
            <w:r w:rsidR="001313F9">
              <w:rPr>
                <w:noProof/>
                <w:webHidden/>
              </w:rPr>
              <w:fldChar w:fldCharType="separate"/>
            </w:r>
            <w:r w:rsidR="001313F9">
              <w:rPr>
                <w:noProof/>
                <w:webHidden/>
              </w:rPr>
              <w:t>103</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45" w:history="1">
            <w:r w:rsidR="001313F9" w:rsidRPr="00B8197B">
              <w:rPr>
                <w:rStyle w:val="Hyperlink"/>
                <w:rFonts w:eastAsia="Calibri"/>
                <w:noProof/>
                <w:lang w:val="en-US" w:eastAsia="zh-CN"/>
                <w14:scene3d>
                  <w14:camera w14:prst="orthographicFront"/>
                  <w14:lightRig w14:rig="threePt" w14:dir="t">
                    <w14:rot w14:lat="0" w14:lon="0" w14:rev="0"/>
                  </w14:lightRig>
                </w14:scene3d>
              </w:rPr>
              <w:t>2.7.5</w:t>
            </w:r>
            <w:r w:rsidR="001313F9">
              <w:rPr>
                <w:rFonts w:asciiTheme="minorHAnsi" w:eastAsiaTheme="minorEastAsia" w:hAnsiTheme="minorHAnsi" w:cstheme="minorBidi"/>
                <w:noProof/>
                <w:sz w:val="22"/>
                <w:szCs w:val="22"/>
                <w:lang w:eastAsia="en-GB"/>
              </w:rPr>
              <w:tab/>
            </w:r>
            <w:r w:rsidR="001313F9" w:rsidRPr="00B8197B">
              <w:rPr>
                <w:rStyle w:val="Hyperlink"/>
                <w:rFonts w:eastAsia="Calibri"/>
                <w:noProof/>
                <w:lang w:val="en-US" w:eastAsia="zh-CN"/>
              </w:rPr>
              <w:t>Nano-impact testing</w:t>
            </w:r>
            <w:r w:rsidR="001313F9">
              <w:rPr>
                <w:noProof/>
                <w:webHidden/>
              </w:rPr>
              <w:tab/>
            </w:r>
            <w:r w:rsidR="001313F9">
              <w:rPr>
                <w:noProof/>
                <w:webHidden/>
              </w:rPr>
              <w:fldChar w:fldCharType="begin"/>
            </w:r>
            <w:r w:rsidR="001313F9">
              <w:rPr>
                <w:noProof/>
                <w:webHidden/>
              </w:rPr>
              <w:instrText xml:space="preserve"> PAGEREF _Toc370819245 \h </w:instrText>
            </w:r>
            <w:r w:rsidR="001313F9">
              <w:rPr>
                <w:noProof/>
                <w:webHidden/>
              </w:rPr>
            </w:r>
            <w:r w:rsidR="001313F9">
              <w:rPr>
                <w:noProof/>
                <w:webHidden/>
              </w:rPr>
              <w:fldChar w:fldCharType="separate"/>
            </w:r>
            <w:r w:rsidR="001313F9">
              <w:rPr>
                <w:noProof/>
                <w:webHidden/>
              </w:rPr>
              <w:t>108</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46" w:history="1">
            <w:r w:rsidR="001313F9" w:rsidRPr="00B8197B">
              <w:rPr>
                <w:rStyle w:val="Hyperlink"/>
                <w:noProof/>
                <w:lang w:val="en-US"/>
                <w14:scene3d>
                  <w14:camera w14:prst="orthographicFront"/>
                  <w14:lightRig w14:rig="threePt" w14:dir="t">
                    <w14:rot w14:lat="0" w14:lon="0" w14:rev="0"/>
                  </w14:lightRig>
                </w14:scene3d>
              </w:rPr>
              <w:t>2.8</w:t>
            </w:r>
            <w:r w:rsidR="001313F9">
              <w:rPr>
                <w:rFonts w:asciiTheme="minorHAnsi" w:eastAsiaTheme="minorEastAsia" w:hAnsiTheme="minorHAnsi" w:cstheme="minorBidi"/>
                <w:noProof/>
                <w:sz w:val="22"/>
                <w:szCs w:val="22"/>
                <w:lang w:eastAsia="en-GB"/>
              </w:rPr>
              <w:tab/>
            </w:r>
            <w:r w:rsidR="001313F9" w:rsidRPr="00B8197B">
              <w:rPr>
                <w:rStyle w:val="Hyperlink"/>
                <w:noProof/>
                <w:lang w:val="en-US"/>
              </w:rPr>
              <w:t>Discussion</w:t>
            </w:r>
            <w:r w:rsidR="001313F9">
              <w:rPr>
                <w:noProof/>
                <w:webHidden/>
              </w:rPr>
              <w:tab/>
            </w:r>
            <w:r w:rsidR="001313F9">
              <w:rPr>
                <w:noProof/>
                <w:webHidden/>
              </w:rPr>
              <w:fldChar w:fldCharType="begin"/>
            </w:r>
            <w:r w:rsidR="001313F9">
              <w:rPr>
                <w:noProof/>
                <w:webHidden/>
              </w:rPr>
              <w:instrText xml:space="preserve"> PAGEREF _Toc370819246 \h </w:instrText>
            </w:r>
            <w:r w:rsidR="001313F9">
              <w:rPr>
                <w:noProof/>
                <w:webHidden/>
              </w:rPr>
            </w:r>
            <w:r w:rsidR="001313F9">
              <w:rPr>
                <w:noProof/>
                <w:webHidden/>
              </w:rPr>
              <w:fldChar w:fldCharType="separate"/>
            </w:r>
            <w:r w:rsidR="001313F9">
              <w:rPr>
                <w:noProof/>
                <w:webHidden/>
              </w:rPr>
              <w:t>111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47" w:history="1">
            <w:r w:rsidR="001313F9" w:rsidRPr="00B8197B">
              <w:rPr>
                <w:rStyle w:val="Hyperlink"/>
                <w:noProof/>
                <w:lang w:val="en-US"/>
                <w14:scene3d>
                  <w14:camera w14:prst="orthographicFront"/>
                  <w14:lightRig w14:rig="threePt" w14:dir="t">
                    <w14:rot w14:lat="0" w14:lon="0" w14:rev="0"/>
                  </w14:lightRig>
                </w14:scene3d>
              </w:rPr>
              <w:t>2.8.1</w:t>
            </w:r>
            <w:r w:rsidR="001313F9">
              <w:rPr>
                <w:rFonts w:asciiTheme="minorHAnsi" w:eastAsiaTheme="minorEastAsia" w:hAnsiTheme="minorHAnsi" w:cstheme="minorBidi"/>
                <w:noProof/>
                <w:sz w:val="22"/>
                <w:szCs w:val="22"/>
                <w:lang w:eastAsia="en-GB"/>
              </w:rPr>
              <w:tab/>
            </w:r>
            <w:r w:rsidR="001313F9" w:rsidRPr="00B8197B">
              <w:rPr>
                <w:rStyle w:val="Hyperlink"/>
                <w:noProof/>
                <w:lang w:val="en-US"/>
              </w:rPr>
              <w:t>Sample selection and storage</w:t>
            </w:r>
            <w:r w:rsidR="001313F9">
              <w:rPr>
                <w:noProof/>
                <w:webHidden/>
              </w:rPr>
              <w:tab/>
            </w:r>
            <w:r w:rsidR="001313F9">
              <w:rPr>
                <w:noProof/>
                <w:webHidden/>
              </w:rPr>
              <w:fldChar w:fldCharType="begin"/>
            </w:r>
            <w:r w:rsidR="001313F9">
              <w:rPr>
                <w:noProof/>
                <w:webHidden/>
              </w:rPr>
              <w:instrText xml:space="preserve"> PAGEREF _Toc370819247 \h </w:instrText>
            </w:r>
            <w:r w:rsidR="001313F9">
              <w:rPr>
                <w:noProof/>
                <w:webHidden/>
              </w:rPr>
            </w:r>
            <w:r w:rsidR="001313F9">
              <w:rPr>
                <w:noProof/>
                <w:webHidden/>
              </w:rPr>
              <w:fldChar w:fldCharType="separate"/>
            </w:r>
            <w:r w:rsidR="001313F9">
              <w:rPr>
                <w:noProof/>
                <w:webHidden/>
              </w:rPr>
              <w:t>111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48" w:history="1">
            <w:r w:rsidR="001313F9" w:rsidRPr="00B8197B">
              <w:rPr>
                <w:rStyle w:val="Hyperlink"/>
                <w:rFonts w:eastAsia="Times New Roman"/>
                <w:noProof/>
                <w:lang w:eastAsia="en-GB"/>
                <w14:scene3d>
                  <w14:camera w14:prst="orthographicFront"/>
                  <w14:lightRig w14:rig="threePt" w14:dir="t">
                    <w14:rot w14:lat="0" w14:lon="0" w14:rev="0"/>
                  </w14:lightRig>
                </w14:scene3d>
              </w:rPr>
              <w:t>2.8.2</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eastAsia="en-GB"/>
              </w:rPr>
              <w:t>Discussing the effect of each test group on dentine and compared to the literature:</w:t>
            </w:r>
            <w:r w:rsidR="001313F9">
              <w:rPr>
                <w:noProof/>
                <w:webHidden/>
              </w:rPr>
              <w:tab/>
            </w:r>
            <w:r w:rsidR="001313F9">
              <w:rPr>
                <w:noProof/>
                <w:webHidden/>
              </w:rPr>
              <w:fldChar w:fldCharType="begin"/>
            </w:r>
            <w:r w:rsidR="001313F9">
              <w:rPr>
                <w:noProof/>
                <w:webHidden/>
              </w:rPr>
              <w:instrText xml:space="preserve"> PAGEREF _Toc370819248 \h </w:instrText>
            </w:r>
            <w:r w:rsidR="001313F9">
              <w:rPr>
                <w:noProof/>
                <w:webHidden/>
              </w:rPr>
            </w:r>
            <w:r w:rsidR="001313F9">
              <w:rPr>
                <w:noProof/>
                <w:webHidden/>
              </w:rPr>
              <w:fldChar w:fldCharType="separate"/>
            </w:r>
            <w:r w:rsidR="001313F9">
              <w:rPr>
                <w:noProof/>
                <w:webHidden/>
              </w:rPr>
              <w:t>112</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49" w:history="1">
            <w:r w:rsidR="001313F9" w:rsidRPr="00B8197B">
              <w:rPr>
                <w:rStyle w:val="Hyperlink"/>
                <w:rFonts w:eastAsia="Times New Roman"/>
                <w:noProof/>
                <w:lang w:eastAsia="en-GB"/>
                <w14:scene3d>
                  <w14:camera w14:prst="orthographicFront"/>
                  <w14:lightRig w14:rig="threePt" w14:dir="t">
                    <w14:rot w14:lat="0" w14:lon="0" w14:rev="0"/>
                  </w14:lightRig>
                </w14:scene3d>
              </w:rPr>
              <w:t>2.8.3</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eastAsia="en-GB"/>
              </w:rPr>
              <w:t>Sample preparation to be tested under nanoindentation:</w:t>
            </w:r>
            <w:r w:rsidR="001313F9">
              <w:rPr>
                <w:noProof/>
                <w:webHidden/>
              </w:rPr>
              <w:tab/>
            </w:r>
            <w:r w:rsidR="001313F9">
              <w:rPr>
                <w:noProof/>
                <w:webHidden/>
              </w:rPr>
              <w:fldChar w:fldCharType="begin"/>
            </w:r>
            <w:r w:rsidR="001313F9">
              <w:rPr>
                <w:noProof/>
                <w:webHidden/>
              </w:rPr>
              <w:instrText xml:space="preserve"> PAGEREF _Toc370819249 \h </w:instrText>
            </w:r>
            <w:r w:rsidR="001313F9">
              <w:rPr>
                <w:noProof/>
                <w:webHidden/>
              </w:rPr>
            </w:r>
            <w:r w:rsidR="001313F9">
              <w:rPr>
                <w:noProof/>
                <w:webHidden/>
              </w:rPr>
              <w:fldChar w:fldCharType="separate"/>
            </w:r>
            <w:r w:rsidR="001313F9">
              <w:rPr>
                <w:noProof/>
                <w:webHidden/>
              </w:rPr>
              <w:t>116</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50" w:history="1">
            <w:r w:rsidR="001313F9" w:rsidRPr="00B8197B">
              <w:rPr>
                <w:rStyle w:val="Hyperlink"/>
                <w:rFonts w:eastAsia="Times New Roman"/>
                <w:noProof/>
                <w:lang w:eastAsia="en-GB"/>
                <w14:scene3d>
                  <w14:camera w14:prst="orthographicFront"/>
                  <w14:lightRig w14:rig="threePt" w14:dir="t">
                    <w14:rot w14:lat="0" w14:lon="0" w14:rev="0"/>
                  </w14:lightRig>
                </w14:scene3d>
              </w:rPr>
              <w:t>2.8.4</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eastAsia="en-GB"/>
              </w:rPr>
              <w:t>Dentine Hardness and Modulus of Elasticity</w:t>
            </w:r>
            <w:r w:rsidR="001313F9">
              <w:rPr>
                <w:noProof/>
                <w:webHidden/>
              </w:rPr>
              <w:tab/>
            </w:r>
            <w:r w:rsidR="001313F9">
              <w:rPr>
                <w:noProof/>
                <w:webHidden/>
              </w:rPr>
              <w:fldChar w:fldCharType="begin"/>
            </w:r>
            <w:r w:rsidR="001313F9">
              <w:rPr>
                <w:noProof/>
                <w:webHidden/>
              </w:rPr>
              <w:instrText xml:space="preserve"> PAGEREF _Toc370819250 \h </w:instrText>
            </w:r>
            <w:r w:rsidR="001313F9">
              <w:rPr>
                <w:noProof/>
                <w:webHidden/>
              </w:rPr>
            </w:r>
            <w:r w:rsidR="001313F9">
              <w:rPr>
                <w:noProof/>
                <w:webHidden/>
              </w:rPr>
              <w:fldChar w:fldCharType="separate"/>
            </w:r>
            <w:r w:rsidR="001313F9">
              <w:rPr>
                <w:noProof/>
                <w:webHidden/>
              </w:rPr>
              <w:t>118</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51" w:history="1">
            <w:r w:rsidR="001313F9" w:rsidRPr="00B8197B">
              <w:rPr>
                <w:rStyle w:val="Hyperlink"/>
                <w:noProof/>
                <w14:scene3d>
                  <w14:camera w14:prst="orthographicFront"/>
                  <w14:lightRig w14:rig="threePt" w14:dir="t">
                    <w14:rot w14:lat="0" w14:lon="0" w14:rev="0"/>
                  </w14:lightRig>
                </w14:scene3d>
              </w:rPr>
              <w:t>2.9</w:t>
            </w:r>
            <w:r w:rsidR="001313F9">
              <w:rPr>
                <w:rFonts w:asciiTheme="minorHAnsi" w:eastAsiaTheme="minorEastAsia" w:hAnsiTheme="minorHAnsi" w:cstheme="minorBidi"/>
                <w:noProof/>
                <w:sz w:val="22"/>
                <w:szCs w:val="22"/>
                <w:lang w:eastAsia="en-GB"/>
              </w:rPr>
              <w:tab/>
            </w:r>
            <w:r w:rsidR="001313F9" w:rsidRPr="00B8197B">
              <w:rPr>
                <w:rStyle w:val="Hyperlink"/>
                <w:noProof/>
              </w:rPr>
              <w:t>Clinical implications</w:t>
            </w:r>
            <w:r w:rsidR="001313F9">
              <w:rPr>
                <w:noProof/>
                <w:webHidden/>
              </w:rPr>
              <w:tab/>
            </w:r>
            <w:r w:rsidR="001313F9">
              <w:rPr>
                <w:noProof/>
                <w:webHidden/>
              </w:rPr>
              <w:fldChar w:fldCharType="begin"/>
            </w:r>
            <w:r w:rsidR="001313F9">
              <w:rPr>
                <w:noProof/>
                <w:webHidden/>
              </w:rPr>
              <w:instrText xml:space="preserve"> PAGEREF _Toc370819251 \h </w:instrText>
            </w:r>
            <w:r w:rsidR="001313F9">
              <w:rPr>
                <w:noProof/>
                <w:webHidden/>
              </w:rPr>
            </w:r>
            <w:r w:rsidR="001313F9">
              <w:rPr>
                <w:noProof/>
                <w:webHidden/>
              </w:rPr>
              <w:fldChar w:fldCharType="separate"/>
            </w:r>
            <w:r w:rsidR="001313F9">
              <w:rPr>
                <w:noProof/>
                <w:webHidden/>
              </w:rPr>
              <w:t>121</w:t>
            </w:r>
            <w:r w:rsidR="001313F9">
              <w:rPr>
                <w:noProof/>
                <w:webHidden/>
              </w:rPr>
              <w:fldChar w:fldCharType="end"/>
            </w:r>
          </w:hyperlink>
        </w:p>
        <w:p w:rsidR="001313F9" w:rsidRDefault="00A9701A">
          <w:pPr>
            <w:pStyle w:val="TOC1"/>
            <w:tabs>
              <w:tab w:val="left" w:pos="480"/>
              <w:tab w:val="right" w:leader="dot" w:pos="8330"/>
            </w:tabs>
            <w:rPr>
              <w:rFonts w:asciiTheme="minorHAnsi" w:eastAsiaTheme="minorEastAsia" w:hAnsiTheme="minorHAnsi" w:cstheme="minorBidi"/>
              <w:noProof/>
              <w:sz w:val="22"/>
              <w:szCs w:val="22"/>
              <w:lang w:eastAsia="en-GB"/>
            </w:rPr>
          </w:pPr>
          <w:hyperlink w:anchor="_Toc370819252" w:history="1">
            <w:r w:rsidR="001313F9" w:rsidRPr="00B8197B">
              <w:rPr>
                <w:rStyle w:val="Hyperlink"/>
                <w:noProof/>
                <w14:scene3d>
                  <w14:camera w14:prst="orthographicFront"/>
                  <w14:lightRig w14:rig="threePt" w14:dir="t">
                    <w14:rot w14:lat="0" w14:lon="0" w14:rev="0"/>
                  </w14:lightRig>
                </w14:scene3d>
              </w:rPr>
              <w:t>3.</w:t>
            </w:r>
            <w:r w:rsidR="001313F9">
              <w:rPr>
                <w:rFonts w:asciiTheme="minorHAnsi" w:eastAsiaTheme="minorEastAsia" w:hAnsiTheme="minorHAnsi" w:cstheme="minorBidi"/>
                <w:noProof/>
                <w:sz w:val="22"/>
                <w:szCs w:val="22"/>
                <w:lang w:eastAsia="en-GB"/>
              </w:rPr>
              <w:tab/>
            </w:r>
            <w:r w:rsidR="001313F9" w:rsidRPr="00B8197B">
              <w:rPr>
                <w:rStyle w:val="Hyperlink"/>
                <w:noProof/>
              </w:rPr>
              <w:t>Chapter 3</w:t>
            </w:r>
            <w:r w:rsidR="001313F9">
              <w:rPr>
                <w:noProof/>
                <w:webHidden/>
              </w:rPr>
              <w:tab/>
            </w:r>
            <w:r w:rsidR="001313F9">
              <w:rPr>
                <w:noProof/>
                <w:webHidden/>
              </w:rPr>
              <w:fldChar w:fldCharType="begin"/>
            </w:r>
            <w:r w:rsidR="001313F9">
              <w:rPr>
                <w:noProof/>
                <w:webHidden/>
              </w:rPr>
              <w:instrText xml:space="preserve"> PAGEREF _Toc370819252 \h </w:instrText>
            </w:r>
            <w:r w:rsidR="001313F9">
              <w:rPr>
                <w:noProof/>
                <w:webHidden/>
              </w:rPr>
            </w:r>
            <w:r w:rsidR="001313F9">
              <w:rPr>
                <w:noProof/>
                <w:webHidden/>
              </w:rPr>
              <w:fldChar w:fldCharType="separate"/>
            </w:r>
            <w:r w:rsidR="001313F9">
              <w:rPr>
                <w:noProof/>
                <w:webHidden/>
              </w:rPr>
              <w:t>122</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54" w:history="1">
            <w:r w:rsidR="001313F9" w:rsidRPr="00B8197B">
              <w:rPr>
                <w:rStyle w:val="Hyperlink"/>
                <w:noProof/>
                <w14:scene3d>
                  <w14:camera w14:prst="orthographicFront"/>
                  <w14:lightRig w14:rig="threePt" w14:dir="t">
                    <w14:rot w14:lat="0" w14:lon="0" w14:rev="0"/>
                  </w14:lightRig>
                </w14:scene3d>
              </w:rPr>
              <w:t>3.1</w:t>
            </w:r>
            <w:r w:rsidR="001313F9">
              <w:rPr>
                <w:rFonts w:asciiTheme="minorHAnsi" w:eastAsiaTheme="minorEastAsia" w:hAnsiTheme="minorHAnsi" w:cstheme="minorBidi"/>
                <w:noProof/>
                <w:sz w:val="22"/>
                <w:szCs w:val="22"/>
                <w:lang w:eastAsia="en-GB"/>
              </w:rPr>
              <w:tab/>
            </w:r>
            <w:r w:rsidR="001313F9" w:rsidRPr="00B8197B">
              <w:rPr>
                <w:rStyle w:val="Hyperlink"/>
                <w:noProof/>
              </w:rPr>
              <w:t>Introduction</w:t>
            </w:r>
            <w:r w:rsidR="001313F9">
              <w:rPr>
                <w:noProof/>
                <w:webHidden/>
              </w:rPr>
              <w:tab/>
            </w:r>
            <w:r w:rsidR="001313F9">
              <w:rPr>
                <w:noProof/>
                <w:webHidden/>
              </w:rPr>
              <w:fldChar w:fldCharType="begin"/>
            </w:r>
            <w:r w:rsidR="001313F9">
              <w:rPr>
                <w:noProof/>
                <w:webHidden/>
              </w:rPr>
              <w:instrText xml:space="preserve"> PAGEREF _Toc370819254 \h </w:instrText>
            </w:r>
            <w:r w:rsidR="001313F9">
              <w:rPr>
                <w:noProof/>
                <w:webHidden/>
              </w:rPr>
            </w:r>
            <w:r w:rsidR="001313F9">
              <w:rPr>
                <w:noProof/>
                <w:webHidden/>
              </w:rPr>
              <w:fldChar w:fldCharType="separate"/>
            </w:r>
            <w:r w:rsidR="001313F9">
              <w:rPr>
                <w:noProof/>
                <w:webHidden/>
              </w:rPr>
              <w:t>123</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55" w:history="1">
            <w:r w:rsidR="001313F9" w:rsidRPr="00B8197B">
              <w:rPr>
                <w:rStyle w:val="Hyperlink"/>
                <w:noProof/>
                <w14:scene3d>
                  <w14:camera w14:prst="orthographicFront"/>
                  <w14:lightRig w14:rig="threePt" w14:dir="t">
                    <w14:rot w14:lat="0" w14:lon="0" w14:rev="0"/>
                  </w14:lightRig>
                </w14:scene3d>
              </w:rPr>
              <w:t>3.2</w:t>
            </w:r>
            <w:r w:rsidR="001313F9">
              <w:rPr>
                <w:rFonts w:asciiTheme="minorHAnsi" w:eastAsiaTheme="minorEastAsia" w:hAnsiTheme="minorHAnsi" w:cstheme="minorBidi"/>
                <w:noProof/>
                <w:sz w:val="22"/>
                <w:szCs w:val="22"/>
                <w:lang w:eastAsia="en-GB"/>
              </w:rPr>
              <w:tab/>
            </w:r>
            <w:r w:rsidR="001313F9" w:rsidRPr="00B8197B">
              <w:rPr>
                <w:rStyle w:val="Hyperlink"/>
                <w:noProof/>
              </w:rPr>
              <w:t>Bacteria</w:t>
            </w:r>
            <w:r w:rsidR="001313F9">
              <w:rPr>
                <w:noProof/>
                <w:webHidden/>
              </w:rPr>
              <w:tab/>
            </w:r>
            <w:r w:rsidR="001313F9">
              <w:rPr>
                <w:noProof/>
                <w:webHidden/>
              </w:rPr>
              <w:fldChar w:fldCharType="begin"/>
            </w:r>
            <w:r w:rsidR="001313F9">
              <w:rPr>
                <w:noProof/>
                <w:webHidden/>
              </w:rPr>
              <w:instrText xml:space="preserve"> PAGEREF _Toc370819255 \h </w:instrText>
            </w:r>
            <w:r w:rsidR="001313F9">
              <w:rPr>
                <w:noProof/>
                <w:webHidden/>
              </w:rPr>
            </w:r>
            <w:r w:rsidR="001313F9">
              <w:rPr>
                <w:noProof/>
                <w:webHidden/>
              </w:rPr>
              <w:fldChar w:fldCharType="separate"/>
            </w:r>
            <w:r w:rsidR="001313F9">
              <w:rPr>
                <w:noProof/>
                <w:webHidden/>
              </w:rPr>
              <w:t>125</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56" w:history="1">
            <w:r w:rsidR="001313F9" w:rsidRPr="00B8197B">
              <w:rPr>
                <w:rStyle w:val="Hyperlink"/>
                <w:noProof/>
                <w14:scene3d>
                  <w14:camera w14:prst="orthographicFront"/>
                  <w14:lightRig w14:rig="threePt" w14:dir="t">
                    <w14:rot w14:lat="0" w14:lon="0" w14:rev="0"/>
                  </w14:lightRig>
                </w14:scene3d>
              </w:rPr>
              <w:t>3.3</w:t>
            </w:r>
            <w:r w:rsidR="001313F9">
              <w:rPr>
                <w:rFonts w:asciiTheme="minorHAnsi" w:eastAsiaTheme="minorEastAsia" w:hAnsiTheme="minorHAnsi" w:cstheme="minorBidi"/>
                <w:noProof/>
                <w:sz w:val="22"/>
                <w:szCs w:val="22"/>
                <w:lang w:eastAsia="en-GB"/>
              </w:rPr>
              <w:tab/>
            </w:r>
            <w:r w:rsidR="001313F9" w:rsidRPr="00B8197B">
              <w:rPr>
                <w:rStyle w:val="Hyperlink"/>
                <w:noProof/>
              </w:rPr>
              <w:t>Dentinal tubules</w:t>
            </w:r>
            <w:r w:rsidR="001313F9">
              <w:rPr>
                <w:noProof/>
                <w:webHidden/>
              </w:rPr>
              <w:tab/>
            </w:r>
            <w:r w:rsidR="001313F9">
              <w:rPr>
                <w:noProof/>
                <w:webHidden/>
              </w:rPr>
              <w:fldChar w:fldCharType="begin"/>
            </w:r>
            <w:r w:rsidR="001313F9">
              <w:rPr>
                <w:noProof/>
                <w:webHidden/>
              </w:rPr>
              <w:instrText xml:space="preserve"> PAGEREF _Toc370819256 \h </w:instrText>
            </w:r>
            <w:r w:rsidR="001313F9">
              <w:rPr>
                <w:noProof/>
                <w:webHidden/>
              </w:rPr>
            </w:r>
            <w:r w:rsidR="001313F9">
              <w:rPr>
                <w:noProof/>
                <w:webHidden/>
              </w:rPr>
              <w:fldChar w:fldCharType="separate"/>
            </w:r>
            <w:r w:rsidR="001313F9">
              <w:rPr>
                <w:noProof/>
                <w:webHidden/>
              </w:rPr>
              <w:t>129</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57" w:history="1">
            <w:r w:rsidR="001313F9" w:rsidRPr="00B8197B">
              <w:rPr>
                <w:rStyle w:val="Hyperlink"/>
                <w:noProof/>
                <w14:scene3d>
                  <w14:camera w14:prst="orthographicFront"/>
                  <w14:lightRig w14:rig="threePt" w14:dir="t">
                    <w14:rot w14:lat="0" w14:lon="0" w14:rev="0"/>
                  </w14:lightRig>
                </w14:scene3d>
              </w:rPr>
              <w:t>3.4</w:t>
            </w:r>
            <w:r w:rsidR="001313F9">
              <w:rPr>
                <w:rFonts w:asciiTheme="minorHAnsi" w:eastAsiaTheme="minorEastAsia" w:hAnsiTheme="minorHAnsi" w:cstheme="minorBidi"/>
                <w:noProof/>
                <w:sz w:val="22"/>
                <w:szCs w:val="22"/>
                <w:lang w:eastAsia="en-GB"/>
              </w:rPr>
              <w:tab/>
            </w:r>
            <w:r w:rsidR="001313F9" w:rsidRPr="00B8197B">
              <w:rPr>
                <w:rStyle w:val="Hyperlink"/>
                <w:noProof/>
              </w:rPr>
              <w:t>Antibacterial properties of intra-canal medicaments</w:t>
            </w:r>
            <w:r w:rsidR="001313F9">
              <w:rPr>
                <w:noProof/>
                <w:webHidden/>
              </w:rPr>
              <w:tab/>
            </w:r>
            <w:r w:rsidR="001313F9">
              <w:rPr>
                <w:noProof/>
                <w:webHidden/>
              </w:rPr>
              <w:fldChar w:fldCharType="begin"/>
            </w:r>
            <w:r w:rsidR="001313F9">
              <w:rPr>
                <w:noProof/>
                <w:webHidden/>
              </w:rPr>
              <w:instrText xml:space="preserve"> PAGEREF _Toc370819257 \h </w:instrText>
            </w:r>
            <w:r w:rsidR="001313F9">
              <w:rPr>
                <w:noProof/>
                <w:webHidden/>
              </w:rPr>
            </w:r>
            <w:r w:rsidR="001313F9">
              <w:rPr>
                <w:noProof/>
                <w:webHidden/>
              </w:rPr>
              <w:fldChar w:fldCharType="separate"/>
            </w:r>
            <w:r w:rsidR="001313F9">
              <w:rPr>
                <w:noProof/>
                <w:webHidden/>
              </w:rPr>
              <w:t>130</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58" w:history="1">
            <w:r w:rsidR="001313F9" w:rsidRPr="00B8197B">
              <w:rPr>
                <w:rStyle w:val="Hyperlink"/>
                <w:noProof/>
                <w14:scene3d>
                  <w14:camera w14:prst="orthographicFront"/>
                  <w14:lightRig w14:rig="threePt" w14:dir="t">
                    <w14:rot w14:lat="0" w14:lon="0" w14:rev="0"/>
                  </w14:lightRig>
                </w14:scene3d>
              </w:rPr>
              <w:t>3.4.1</w:t>
            </w:r>
            <w:r w:rsidR="001313F9">
              <w:rPr>
                <w:rFonts w:asciiTheme="minorHAnsi" w:eastAsiaTheme="minorEastAsia" w:hAnsiTheme="minorHAnsi" w:cstheme="minorBidi"/>
                <w:noProof/>
                <w:sz w:val="22"/>
                <w:szCs w:val="22"/>
                <w:lang w:eastAsia="en-GB"/>
              </w:rPr>
              <w:tab/>
            </w:r>
            <w:r w:rsidR="001313F9" w:rsidRPr="00B8197B">
              <w:rPr>
                <w:rStyle w:val="Hyperlink"/>
                <w:noProof/>
              </w:rPr>
              <w:t>Non-setting calcium hydroxide (NSCH). (UltraCal XS, Ultradent, USA)</w:t>
            </w:r>
            <w:r w:rsidR="001313F9">
              <w:rPr>
                <w:noProof/>
                <w:webHidden/>
              </w:rPr>
              <w:tab/>
            </w:r>
            <w:r w:rsidR="001313F9">
              <w:rPr>
                <w:noProof/>
                <w:webHidden/>
              </w:rPr>
              <w:fldChar w:fldCharType="begin"/>
            </w:r>
            <w:r w:rsidR="001313F9">
              <w:rPr>
                <w:noProof/>
                <w:webHidden/>
              </w:rPr>
              <w:instrText xml:space="preserve"> PAGEREF _Toc370819258 \h </w:instrText>
            </w:r>
            <w:r w:rsidR="001313F9">
              <w:rPr>
                <w:noProof/>
                <w:webHidden/>
              </w:rPr>
            </w:r>
            <w:r w:rsidR="001313F9">
              <w:rPr>
                <w:noProof/>
                <w:webHidden/>
              </w:rPr>
              <w:fldChar w:fldCharType="separate"/>
            </w:r>
            <w:r w:rsidR="001313F9">
              <w:rPr>
                <w:noProof/>
                <w:webHidden/>
              </w:rPr>
              <w:t>130</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59" w:history="1">
            <w:r w:rsidR="001313F9" w:rsidRPr="00B8197B">
              <w:rPr>
                <w:rStyle w:val="Hyperlink"/>
                <w:noProof/>
                <w14:scene3d>
                  <w14:camera w14:prst="orthographicFront"/>
                  <w14:lightRig w14:rig="threePt" w14:dir="t">
                    <w14:rot w14:lat="0" w14:lon="0" w14:rev="0"/>
                  </w14:lightRig>
                </w14:scene3d>
              </w:rPr>
              <w:t>3.4.2</w:t>
            </w:r>
            <w:r w:rsidR="001313F9">
              <w:rPr>
                <w:rFonts w:asciiTheme="minorHAnsi" w:eastAsiaTheme="minorEastAsia" w:hAnsiTheme="minorHAnsi" w:cstheme="minorBidi"/>
                <w:noProof/>
                <w:sz w:val="22"/>
                <w:szCs w:val="22"/>
                <w:lang w:eastAsia="en-GB"/>
              </w:rPr>
              <w:tab/>
            </w:r>
            <w:r w:rsidR="001313F9" w:rsidRPr="00B8197B">
              <w:rPr>
                <w:rStyle w:val="Hyperlink"/>
                <w:noProof/>
              </w:rPr>
              <w:t>Mineral trioxide aggregate (MTA), (ProRoot® white, Tulsa Dental Specialties, USA)</w:t>
            </w:r>
            <w:r w:rsidR="001313F9">
              <w:rPr>
                <w:noProof/>
                <w:webHidden/>
              </w:rPr>
              <w:tab/>
            </w:r>
            <w:r w:rsidR="001313F9">
              <w:rPr>
                <w:noProof/>
                <w:webHidden/>
              </w:rPr>
              <w:fldChar w:fldCharType="begin"/>
            </w:r>
            <w:r w:rsidR="001313F9">
              <w:rPr>
                <w:noProof/>
                <w:webHidden/>
              </w:rPr>
              <w:instrText xml:space="preserve"> PAGEREF _Toc370819259 \h </w:instrText>
            </w:r>
            <w:r w:rsidR="001313F9">
              <w:rPr>
                <w:noProof/>
                <w:webHidden/>
              </w:rPr>
            </w:r>
            <w:r w:rsidR="001313F9">
              <w:rPr>
                <w:noProof/>
                <w:webHidden/>
              </w:rPr>
              <w:fldChar w:fldCharType="separate"/>
            </w:r>
            <w:r w:rsidR="001313F9">
              <w:rPr>
                <w:noProof/>
                <w:webHidden/>
              </w:rPr>
              <w:t>131</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60" w:history="1">
            <w:r w:rsidR="001313F9" w:rsidRPr="00B8197B">
              <w:rPr>
                <w:rStyle w:val="Hyperlink"/>
                <w:noProof/>
                <w14:scene3d>
                  <w14:camera w14:prst="orthographicFront"/>
                  <w14:lightRig w14:rig="threePt" w14:dir="t">
                    <w14:rot w14:lat="0" w14:lon="0" w14:rev="0"/>
                  </w14:lightRig>
                </w14:scene3d>
              </w:rPr>
              <w:t>3.5</w:t>
            </w:r>
            <w:r w:rsidR="001313F9">
              <w:rPr>
                <w:rFonts w:asciiTheme="minorHAnsi" w:eastAsiaTheme="minorEastAsia" w:hAnsiTheme="minorHAnsi" w:cstheme="minorBidi"/>
                <w:noProof/>
                <w:sz w:val="22"/>
                <w:szCs w:val="22"/>
                <w:lang w:eastAsia="en-GB"/>
              </w:rPr>
              <w:tab/>
            </w:r>
            <w:r w:rsidR="001313F9" w:rsidRPr="00B8197B">
              <w:rPr>
                <w:rStyle w:val="Hyperlink"/>
                <w:noProof/>
              </w:rPr>
              <w:t>Brief history of using antibiotics</w:t>
            </w:r>
            <w:r w:rsidR="001313F9">
              <w:rPr>
                <w:noProof/>
                <w:webHidden/>
              </w:rPr>
              <w:tab/>
            </w:r>
            <w:r w:rsidR="001313F9">
              <w:rPr>
                <w:noProof/>
                <w:webHidden/>
              </w:rPr>
              <w:fldChar w:fldCharType="begin"/>
            </w:r>
            <w:r w:rsidR="001313F9">
              <w:rPr>
                <w:noProof/>
                <w:webHidden/>
              </w:rPr>
              <w:instrText xml:space="preserve"> PAGEREF _Toc370819260 \h </w:instrText>
            </w:r>
            <w:r w:rsidR="001313F9">
              <w:rPr>
                <w:noProof/>
                <w:webHidden/>
              </w:rPr>
            </w:r>
            <w:r w:rsidR="001313F9">
              <w:rPr>
                <w:noProof/>
                <w:webHidden/>
              </w:rPr>
              <w:fldChar w:fldCharType="separate"/>
            </w:r>
            <w:r w:rsidR="001313F9">
              <w:rPr>
                <w:noProof/>
                <w:webHidden/>
              </w:rPr>
              <w:t>133</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61" w:history="1">
            <w:r w:rsidR="001313F9" w:rsidRPr="00B8197B">
              <w:rPr>
                <w:rStyle w:val="Hyperlink"/>
                <w:rFonts w:eastAsia="Calibri"/>
                <w:noProof/>
                <w:lang w:eastAsia="en-GB"/>
                <w14:scene3d>
                  <w14:camera w14:prst="orthographicFront"/>
                  <w14:lightRig w14:rig="threePt" w14:dir="t">
                    <w14:rot w14:lat="0" w14:lon="0" w14:rev="0"/>
                  </w14:lightRig>
                </w14:scene3d>
              </w:rPr>
              <w:t>3.5.1</w:t>
            </w:r>
            <w:r w:rsidR="001313F9">
              <w:rPr>
                <w:rFonts w:asciiTheme="minorHAnsi" w:eastAsiaTheme="minorEastAsia" w:hAnsiTheme="minorHAnsi" w:cstheme="minorBidi"/>
                <w:noProof/>
                <w:sz w:val="22"/>
                <w:szCs w:val="22"/>
                <w:lang w:eastAsia="en-GB"/>
              </w:rPr>
              <w:tab/>
            </w:r>
            <w:r w:rsidR="001313F9" w:rsidRPr="00B8197B">
              <w:rPr>
                <w:rStyle w:val="Hyperlink"/>
                <w:rFonts w:eastAsia="Calibri"/>
                <w:noProof/>
                <w:lang w:eastAsia="en-GB"/>
              </w:rPr>
              <w:t>The antibiotic paste was formulated by Winter (1966) as:</w:t>
            </w:r>
            <w:r w:rsidR="001313F9">
              <w:rPr>
                <w:noProof/>
                <w:webHidden/>
              </w:rPr>
              <w:tab/>
            </w:r>
            <w:r w:rsidR="001313F9">
              <w:rPr>
                <w:noProof/>
                <w:webHidden/>
              </w:rPr>
              <w:fldChar w:fldCharType="begin"/>
            </w:r>
            <w:r w:rsidR="001313F9">
              <w:rPr>
                <w:noProof/>
                <w:webHidden/>
              </w:rPr>
              <w:instrText xml:space="preserve"> PAGEREF _Toc370819261 \h </w:instrText>
            </w:r>
            <w:r w:rsidR="001313F9">
              <w:rPr>
                <w:noProof/>
                <w:webHidden/>
              </w:rPr>
            </w:r>
            <w:r w:rsidR="001313F9">
              <w:rPr>
                <w:noProof/>
                <w:webHidden/>
              </w:rPr>
              <w:fldChar w:fldCharType="separate"/>
            </w:r>
            <w:r w:rsidR="001313F9">
              <w:rPr>
                <w:noProof/>
                <w:webHidden/>
              </w:rPr>
              <w:t>133</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62" w:history="1">
            <w:r w:rsidR="001313F9" w:rsidRPr="00B8197B">
              <w:rPr>
                <w:rStyle w:val="Hyperlink"/>
                <w:rFonts w:eastAsia="Corbel"/>
                <w:noProof/>
                <w14:scene3d>
                  <w14:camera w14:prst="orthographicFront"/>
                  <w14:lightRig w14:rig="threePt" w14:dir="t">
                    <w14:rot w14:lat="0" w14:lon="0" w14:rev="0"/>
                  </w14:lightRig>
                </w14:scene3d>
              </w:rPr>
              <w:t>3.5.2</w:t>
            </w:r>
            <w:r w:rsidR="001313F9">
              <w:rPr>
                <w:rFonts w:asciiTheme="minorHAnsi" w:eastAsiaTheme="minorEastAsia" w:hAnsiTheme="minorHAnsi" w:cstheme="minorBidi"/>
                <w:noProof/>
                <w:sz w:val="22"/>
                <w:szCs w:val="22"/>
                <w:lang w:eastAsia="en-GB"/>
              </w:rPr>
              <w:tab/>
            </w:r>
            <w:r w:rsidR="001313F9" w:rsidRPr="00B8197B">
              <w:rPr>
                <w:rStyle w:val="Hyperlink"/>
                <w:rFonts w:eastAsia="Corbel"/>
                <w:noProof/>
              </w:rPr>
              <w:t>Triple antibiotic paste in root canal therapy</w:t>
            </w:r>
            <w:r w:rsidR="001313F9">
              <w:rPr>
                <w:noProof/>
                <w:webHidden/>
              </w:rPr>
              <w:tab/>
            </w:r>
            <w:r w:rsidR="001313F9">
              <w:rPr>
                <w:noProof/>
                <w:webHidden/>
              </w:rPr>
              <w:fldChar w:fldCharType="begin"/>
            </w:r>
            <w:r w:rsidR="001313F9">
              <w:rPr>
                <w:noProof/>
                <w:webHidden/>
              </w:rPr>
              <w:instrText xml:space="preserve"> PAGEREF _Toc370819262 \h </w:instrText>
            </w:r>
            <w:r w:rsidR="001313F9">
              <w:rPr>
                <w:noProof/>
                <w:webHidden/>
              </w:rPr>
            </w:r>
            <w:r w:rsidR="001313F9">
              <w:rPr>
                <w:noProof/>
                <w:webHidden/>
              </w:rPr>
              <w:fldChar w:fldCharType="separate"/>
            </w:r>
            <w:r w:rsidR="001313F9">
              <w:rPr>
                <w:noProof/>
                <w:webHidden/>
              </w:rPr>
              <w:t>134</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63" w:history="1">
            <w:r w:rsidR="001313F9" w:rsidRPr="00B8197B">
              <w:rPr>
                <w:rStyle w:val="Hyperlink"/>
                <w:rFonts w:eastAsia="Times New Roman"/>
                <w:noProof/>
                <w14:scene3d>
                  <w14:camera w14:prst="orthographicFront"/>
                  <w14:lightRig w14:rig="threePt" w14:dir="t">
                    <w14:rot w14:lat="0" w14:lon="0" w14:rev="0"/>
                  </w14:lightRig>
                </w14:scene3d>
              </w:rPr>
              <w:t>3.6</w:t>
            </w:r>
            <w:r w:rsidR="001313F9">
              <w:rPr>
                <w:rFonts w:asciiTheme="minorHAnsi" w:eastAsiaTheme="minorEastAsia" w:hAnsiTheme="minorHAnsi" w:cstheme="minorBidi"/>
                <w:noProof/>
                <w:sz w:val="22"/>
                <w:szCs w:val="22"/>
                <w:lang w:eastAsia="en-GB"/>
              </w:rPr>
              <w:tab/>
            </w:r>
            <w:r w:rsidR="001313F9" w:rsidRPr="00B8197B">
              <w:rPr>
                <w:rStyle w:val="Hyperlink"/>
                <w:noProof/>
              </w:rPr>
              <w:t>Methodology used for studies on bacterial susceptibility to antibacterial agents</w:t>
            </w:r>
            <w:r w:rsidR="001313F9">
              <w:rPr>
                <w:noProof/>
                <w:webHidden/>
              </w:rPr>
              <w:tab/>
            </w:r>
            <w:r w:rsidR="001313F9">
              <w:rPr>
                <w:noProof/>
                <w:webHidden/>
              </w:rPr>
              <w:fldChar w:fldCharType="begin"/>
            </w:r>
            <w:r w:rsidR="001313F9">
              <w:rPr>
                <w:noProof/>
                <w:webHidden/>
              </w:rPr>
              <w:instrText xml:space="preserve"> PAGEREF _Toc370819263 \h </w:instrText>
            </w:r>
            <w:r w:rsidR="001313F9">
              <w:rPr>
                <w:noProof/>
                <w:webHidden/>
              </w:rPr>
            </w:r>
            <w:r w:rsidR="001313F9">
              <w:rPr>
                <w:noProof/>
                <w:webHidden/>
              </w:rPr>
              <w:fldChar w:fldCharType="separate"/>
            </w:r>
            <w:r w:rsidR="001313F9">
              <w:rPr>
                <w:noProof/>
                <w:webHidden/>
              </w:rPr>
              <w:t>137</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64" w:history="1">
            <w:r w:rsidR="001313F9" w:rsidRPr="00B8197B">
              <w:rPr>
                <w:rStyle w:val="Hyperlink"/>
                <w:rFonts w:eastAsia="Times New Roman"/>
                <w:noProof/>
                <w:lang w:eastAsia="en-GB"/>
                <w14:scene3d>
                  <w14:camera w14:prst="orthographicFront"/>
                  <w14:lightRig w14:rig="threePt" w14:dir="t">
                    <w14:rot w14:lat="0" w14:lon="0" w14:rev="0"/>
                  </w14:lightRig>
                </w14:scene3d>
              </w:rPr>
              <w:t>3.6.1</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eastAsia="en-GB"/>
              </w:rPr>
              <w:t>Agar diffusion</w:t>
            </w:r>
            <w:r w:rsidR="001313F9">
              <w:rPr>
                <w:noProof/>
                <w:webHidden/>
              </w:rPr>
              <w:tab/>
            </w:r>
            <w:r w:rsidR="001313F9">
              <w:rPr>
                <w:noProof/>
                <w:webHidden/>
              </w:rPr>
              <w:fldChar w:fldCharType="begin"/>
            </w:r>
            <w:r w:rsidR="001313F9">
              <w:rPr>
                <w:noProof/>
                <w:webHidden/>
              </w:rPr>
              <w:instrText xml:space="preserve"> PAGEREF _Toc370819264 \h </w:instrText>
            </w:r>
            <w:r w:rsidR="001313F9">
              <w:rPr>
                <w:noProof/>
                <w:webHidden/>
              </w:rPr>
            </w:r>
            <w:r w:rsidR="001313F9">
              <w:rPr>
                <w:noProof/>
                <w:webHidden/>
              </w:rPr>
              <w:fldChar w:fldCharType="separate"/>
            </w:r>
            <w:r w:rsidR="001313F9">
              <w:rPr>
                <w:noProof/>
                <w:webHidden/>
              </w:rPr>
              <w:t>137</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65" w:history="1">
            <w:r w:rsidR="001313F9" w:rsidRPr="00B8197B">
              <w:rPr>
                <w:rStyle w:val="Hyperlink"/>
                <w:noProof/>
                <w:lang w:eastAsia="en-GB"/>
                <w14:scene3d>
                  <w14:camera w14:prst="orthographicFront"/>
                  <w14:lightRig w14:rig="threePt" w14:dir="t">
                    <w14:rot w14:lat="0" w14:lon="0" w14:rev="0"/>
                  </w14:lightRig>
                </w14:scene3d>
              </w:rPr>
              <w:t>3.6.2</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Turbidity</w:t>
            </w:r>
            <w:r w:rsidR="001313F9" w:rsidRPr="00B8197B">
              <w:rPr>
                <w:rStyle w:val="Hyperlink"/>
                <w:noProof/>
              </w:rPr>
              <w:t xml:space="preserve"> </w:t>
            </w:r>
            <w:r w:rsidR="001313F9" w:rsidRPr="00B8197B">
              <w:rPr>
                <w:rStyle w:val="Hyperlink"/>
                <w:noProof/>
                <w:lang w:val="en-US"/>
              </w:rPr>
              <w:t xml:space="preserve">by </w:t>
            </w:r>
            <w:r w:rsidR="001313F9" w:rsidRPr="00B8197B">
              <w:rPr>
                <w:rStyle w:val="Hyperlink"/>
                <w:noProof/>
                <w:lang w:eastAsia="en-GB"/>
              </w:rPr>
              <w:t>Spectrophotometer (Optical Density)</w:t>
            </w:r>
            <w:r w:rsidR="001313F9">
              <w:rPr>
                <w:noProof/>
                <w:webHidden/>
              </w:rPr>
              <w:tab/>
            </w:r>
            <w:r w:rsidR="001313F9">
              <w:rPr>
                <w:noProof/>
                <w:webHidden/>
              </w:rPr>
              <w:fldChar w:fldCharType="begin"/>
            </w:r>
            <w:r w:rsidR="001313F9">
              <w:rPr>
                <w:noProof/>
                <w:webHidden/>
              </w:rPr>
              <w:instrText xml:space="preserve"> PAGEREF _Toc370819265 \h </w:instrText>
            </w:r>
            <w:r w:rsidR="001313F9">
              <w:rPr>
                <w:noProof/>
                <w:webHidden/>
              </w:rPr>
            </w:r>
            <w:r w:rsidR="001313F9">
              <w:rPr>
                <w:noProof/>
                <w:webHidden/>
              </w:rPr>
              <w:fldChar w:fldCharType="separate"/>
            </w:r>
            <w:r w:rsidR="001313F9">
              <w:rPr>
                <w:noProof/>
                <w:webHidden/>
              </w:rPr>
              <w:t>138</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66" w:history="1">
            <w:r w:rsidR="001313F9" w:rsidRPr="00B8197B">
              <w:rPr>
                <w:rStyle w:val="Hyperlink"/>
                <w:noProof/>
                <w14:scene3d>
                  <w14:camera w14:prst="orthographicFront"/>
                  <w14:lightRig w14:rig="threePt" w14:dir="t">
                    <w14:rot w14:lat="0" w14:lon="0" w14:rev="0"/>
                  </w14:lightRig>
                </w14:scene3d>
              </w:rPr>
              <w:t>3.7</w:t>
            </w:r>
            <w:r w:rsidR="001313F9">
              <w:rPr>
                <w:rFonts w:asciiTheme="minorHAnsi" w:eastAsiaTheme="minorEastAsia" w:hAnsiTheme="minorHAnsi" w:cstheme="minorBidi"/>
                <w:noProof/>
                <w:sz w:val="22"/>
                <w:szCs w:val="22"/>
                <w:lang w:eastAsia="en-GB"/>
              </w:rPr>
              <w:tab/>
            </w:r>
            <w:r w:rsidR="001313F9" w:rsidRPr="00B8197B">
              <w:rPr>
                <w:rStyle w:val="Hyperlink"/>
                <w:noProof/>
              </w:rPr>
              <w:t>Summary of literature review</w:t>
            </w:r>
            <w:r w:rsidR="001313F9">
              <w:rPr>
                <w:noProof/>
                <w:webHidden/>
              </w:rPr>
              <w:tab/>
            </w:r>
            <w:r w:rsidR="001313F9">
              <w:rPr>
                <w:noProof/>
                <w:webHidden/>
              </w:rPr>
              <w:fldChar w:fldCharType="begin"/>
            </w:r>
            <w:r w:rsidR="001313F9">
              <w:rPr>
                <w:noProof/>
                <w:webHidden/>
              </w:rPr>
              <w:instrText xml:space="preserve"> PAGEREF _Toc370819266 \h </w:instrText>
            </w:r>
            <w:r w:rsidR="001313F9">
              <w:rPr>
                <w:noProof/>
                <w:webHidden/>
              </w:rPr>
            </w:r>
            <w:r w:rsidR="001313F9">
              <w:rPr>
                <w:noProof/>
                <w:webHidden/>
              </w:rPr>
              <w:fldChar w:fldCharType="separate"/>
            </w:r>
            <w:r w:rsidR="001313F9">
              <w:rPr>
                <w:noProof/>
                <w:webHidden/>
              </w:rPr>
              <w:t>139</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67" w:history="1">
            <w:r w:rsidR="001313F9" w:rsidRPr="00B8197B">
              <w:rPr>
                <w:rStyle w:val="Hyperlink"/>
                <w:noProof/>
                <w14:scene3d>
                  <w14:camera w14:prst="orthographicFront"/>
                  <w14:lightRig w14:rig="threePt" w14:dir="t">
                    <w14:rot w14:lat="0" w14:lon="0" w14:rev="0"/>
                  </w14:lightRig>
                </w14:scene3d>
              </w:rPr>
              <w:t>3.8</w:t>
            </w:r>
            <w:r w:rsidR="001313F9">
              <w:rPr>
                <w:rFonts w:asciiTheme="minorHAnsi" w:eastAsiaTheme="minorEastAsia" w:hAnsiTheme="minorHAnsi" w:cstheme="minorBidi"/>
                <w:noProof/>
                <w:sz w:val="22"/>
                <w:szCs w:val="22"/>
                <w:lang w:eastAsia="en-GB"/>
              </w:rPr>
              <w:tab/>
            </w:r>
            <w:r w:rsidR="001313F9" w:rsidRPr="00B8197B">
              <w:rPr>
                <w:rStyle w:val="Hyperlink"/>
                <w:noProof/>
              </w:rPr>
              <w:t>Aims:</w:t>
            </w:r>
            <w:r w:rsidR="001313F9">
              <w:rPr>
                <w:noProof/>
                <w:webHidden/>
              </w:rPr>
              <w:tab/>
            </w:r>
            <w:r w:rsidR="001313F9">
              <w:rPr>
                <w:noProof/>
                <w:webHidden/>
              </w:rPr>
              <w:fldChar w:fldCharType="begin"/>
            </w:r>
            <w:r w:rsidR="001313F9">
              <w:rPr>
                <w:noProof/>
                <w:webHidden/>
              </w:rPr>
              <w:instrText xml:space="preserve"> PAGEREF _Toc370819267 \h </w:instrText>
            </w:r>
            <w:r w:rsidR="001313F9">
              <w:rPr>
                <w:noProof/>
                <w:webHidden/>
              </w:rPr>
            </w:r>
            <w:r w:rsidR="001313F9">
              <w:rPr>
                <w:noProof/>
                <w:webHidden/>
              </w:rPr>
              <w:fldChar w:fldCharType="separate"/>
            </w:r>
            <w:r w:rsidR="001313F9">
              <w:rPr>
                <w:noProof/>
                <w:webHidden/>
              </w:rPr>
              <w:t>139</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68" w:history="1">
            <w:r w:rsidR="001313F9" w:rsidRPr="00B8197B">
              <w:rPr>
                <w:rStyle w:val="Hyperlink"/>
                <w:noProof/>
                <w:lang w:eastAsia="en-GB"/>
                <w14:scene3d>
                  <w14:camera w14:prst="orthographicFront"/>
                  <w14:lightRig w14:rig="threePt" w14:dir="t">
                    <w14:rot w14:lat="0" w14:lon="0" w14:rev="0"/>
                  </w14:lightRig>
                </w14:scene3d>
              </w:rPr>
              <w:t>3.8.1</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Primary Aim:</w:t>
            </w:r>
            <w:r w:rsidR="001313F9">
              <w:rPr>
                <w:noProof/>
                <w:webHidden/>
              </w:rPr>
              <w:tab/>
            </w:r>
            <w:r w:rsidR="001313F9">
              <w:rPr>
                <w:noProof/>
                <w:webHidden/>
              </w:rPr>
              <w:fldChar w:fldCharType="begin"/>
            </w:r>
            <w:r w:rsidR="001313F9">
              <w:rPr>
                <w:noProof/>
                <w:webHidden/>
              </w:rPr>
              <w:instrText xml:space="preserve"> PAGEREF _Toc370819268 \h </w:instrText>
            </w:r>
            <w:r w:rsidR="001313F9">
              <w:rPr>
                <w:noProof/>
                <w:webHidden/>
              </w:rPr>
            </w:r>
            <w:r w:rsidR="001313F9">
              <w:rPr>
                <w:noProof/>
                <w:webHidden/>
              </w:rPr>
              <w:fldChar w:fldCharType="separate"/>
            </w:r>
            <w:r w:rsidR="001313F9">
              <w:rPr>
                <w:noProof/>
                <w:webHidden/>
              </w:rPr>
              <w:t>139</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69" w:history="1">
            <w:r w:rsidR="001313F9" w:rsidRPr="00B8197B">
              <w:rPr>
                <w:rStyle w:val="Hyperlink"/>
                <w:noProof/>
                <w:lang w:eastAsia="en-GB"/>
                <w14:scene3d>
                  <w14:camera w14:prst="orthographicFront"/>
                  <w14:lightRig w14:rig="threePt" w14:dir="t">
                    <w14:rot w14:lat="0" w14:lon="0" w14:rev="0"/>
                  </w14:lightRig>
                </w14:scene3d>
              </w:rPr>
              <w:t>3.8.2</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Secondary Aim</w:t>
            </w:r>
            <w:r w:rsidR="001313F9">
              <w:rPr>
                <w:noProof/>
                <w:webHidden/>
              </w:rPr>
              <w:tab/>
            </w:r>
            <w:r w:rsidR="001313F9">
              <w:rPr>
                <w:noProof/>
                <w:webHidden/>
              </w:rPr>
              <w:fldChar w:fldCharType="begin"/>
            </w:r>
            <w:r w:rsidR="001313F9">
              <w:rPr>
                <w:noProof/>
                <w:webHidden/>
              </w:rPr>
              <w:instrText xml:space="preserve"> PAGEREF _Toc370819269 \h </w:instrText>
            </w:r>
            <w:r w:rsidR="001313F9">
              <w:rPr>
                <w:noProof/>
                <w:webHidden/>
              </w:rPr>
            </w:r>
            <w:r w:rsidR="001313F9">
              <w:rPr>
                <w:noProof/>
                <w:webHidden/>
              </w:rPr>
              <w:fldChar w:fldCharType="separate"/>
            </w:r>
            <w:r w:rsidR="001313F9">
              <w:rPr>
                <w:noProof/>
                <w:webHidden/>
              </w:rPr>
              <w:t>139</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70" w:history="1">
            <w:r w:rsidR="001313F9" w:rsidRPr="00B8197B">
              <w:rPr>
                <w:rStyle w:val="Hyperlink"/>
                <w:noProof/>
                <w14:scene3d>
                  <w14:camera w14:prst="orthographicFront"/>
                  <w14:lightRig w14:rig="threePt" w14:dir="t">
                    <w14:rot w14:lat="0" w14:lon="0" w14:rev="0"/>
                  </w14:lightRig>
                </w14:scene3d>
              </w:rPr>
              <w:t>3.9</w:t>
            </w:r>
            <w:r w:rsidR="001313F9">
              <w:rPr>
                <w:rFonts w:asciiTheme="minorHAnsi" w:eastAsiaTheme="minorEastAsia" w:hAnsiTheme="minorHAnsi" w:cstheme="minorBidi"/>
                <w:noProof/>
                <w:sz w:val="22"/>
                <w:szCs w:val="22"/>
                <w:lang w:eastAsia="en-GB"/>
              </w:rPr>
              <w:tab/>
            </w:r>
            <w:r w:rsidR="001313F9" w:rsidRPr="00B8197B">
              <w:rPr>
                <w:rStyle w:val="Hyperlink"/>
                <w:noProof/>
              </w:rPr>
              <w:t>Materials and methods</w:t>
            </w:r>
            <w:r w:rsidR="001313F9">
              <w:rPr>
                <w:noProof/>
                <w:webHidden/>
              </w:rPr>
              <w:tab/>
            </w:r>
            <w:r w:rsidR="001313F9">
              <w:rPr>
                <w:noProof/>
                <w:webHidden/>
              </w:rPr>
              <w:fldChar w:fldCharType="begin"/>
            </w:r>
            <w:r w:rsidR="001313F9">
              <w:rPr>
                <w:noProof/>
                <w:webHidden/>
              </w:rPr>
              <w:instrText xml:space="preserve"> PAGEREF _Toc370819270 \h </w:instrText>
            </w:r>
            <w:r w:rsidR="001313F9">
              <w:rPr>
                <w:noProof/>
                <w:webHidden/>
              </w:rPr>
            </w:r>
            <w:r w:rsidR="001313F9">
              <w:rPr>
                <w:noProof/>
                <w:webHidden/>
              </w:rPr>
              <w:fldChar w:fldCharType="separate"/>
            </w:r>
            <w:r w:rsidR="001313F9">
              <w:rPr>
                <w:noProof/>
                <w:webHidden/>
              </w:rPr>
              <w:t>140</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71" w:history="1">
            <w:r w:rsidR="001313F9" w:rsidRPr="00B8197B">
              <w:rPr>
                <w:rStyle w:val="Hyperlink"/>
                <w:noProof/>
                <w14:scene3d>
                  <w14:camera w14:prst="orthographicFront"/>
                  <w14:lightRig w14:rig="threePt" w14:dir="t">
                    <w14:rot w14:lat="0" w14:lon="0" w14:rev="0"/>
                  </w14:lightRig>
                </w14:scene3d>
              </w:rPr>
              <w:t>3.10</w:t>
            </w:r>
            <w:r w:rsidR="001313F9">
              <w:rPr>
                <w:rFonts w:asciiTheme="minorHAnsi" w:eastAsiaTheme="minorEastAsia" w:hAnsiTheme="minorHAnsi" w:cstheme="minorBidi"/>
                <w:noProof/>
                <w:sz w:val="22"/>
                <w:szCs w:val="22"/>
                <w:lang w:eastAsia="en-GB"/>
              </w:rPr>
              <w:tab/>
            </w:r>
            <w:r w:rsidR="001313F9" w:rsidRPr="00B8197B">
              <w:rPr>
                <w:rStyle w:val="Hyperlink"/>
                <w:noProof/>
              </w:rPr>
              <w:t>Test materials</w:t>
            </w:r>
            <w:r w:rsidR="001313F9">
              <w:rPr>
                <w:noProof/>
                <w:webHidden/>
              </w:rPr>
              <w:tab/>
            </w:r>
            <w:r w:rsidR="001313F9">
              <w:rPr>
                <w:noProof/>
                <w:webHidden/>
              </w:rPr>
              <w:fldChar w:fldCharType="begin"/>
            </w:r>
            <w:r w:rsidR="001313F9">
              <w:rPr>
                <w:noProof/>
                <w:webHidden/>
              </w:rPr>
              <w:instrText xml:space="preserve"> PAGEREF _Toc370819271 \h </w:instrText>
            </w:r>
            <w:r w:rsidR="001313F9">
              <w:rPr>
                <w:noProof/>
                <w:webHidden/>
              </w:rPr>
            </w:r>
            <w:r w:rsidR="001313F9">
              <w:rPr>
                <w:noProof/>
                <w:webHidden/>
              </w:rPr>
              <w:fldChar w:fldCharType="separate"/>
            </w:r>
            <w:r w:rsidR="001313F9">
              <w:rPr>
                <w:noProof/>
                <w:webHidden/>
              </w:rPr>
              <w:t>140</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72" w:history="1">
            <w:r w:rsidR="001313F9" w:rsidRPr="00B8197B">
              <w:rPr>
                <w:rStyle w:val="Hyperlink"/>
                <w:noProof/>
                <w14:scene3d>
                  <w14:camera w14:prst="orthographicFront"/>
                  <w14:lightRig w14:rig="threePt" w14:dir="t">
                    <w14:rot w14:lat="0" w14:lon="0" w14:rev="0"/>
                  </w14:lightRig>
                </w14:scene3d>
              </w:rPr>
              <w:t>3.11</w:t>
            </w:r>
            <w:r w:rsidR="001313F9">
              <w:rPr>
                <w:rFonts w:asciiTheme="minorHAnsi" w:eastAsiaTheme="minorEastAsia" w:hAnsiTheme="minorHAnsi" w:cstheme="minorBidi"/>
                <w:noProof/>
                <w:sz w:val="22"/>
                <w:szCs w:val="22"/>
                <w:lang w:eastAsia="en-GB"/>
              </w:rPr>
              <w:tab/>
            </w:r>
            <w:r w:rsidR="001313F9" w:rsidRPr="00B8197B">
              <w:rPr>
                <w:rStyle w:val="Hyperlink"/>
                <w:noProof/>
              </w:rPr>
              <w:t>Bacteria and living media</w:t>
            </w:r>
            <w:r w:rsidR="001313F9">
              <w:rPr>
                <w:noProof/>
                <w:webHidden/>
              </w:rPr>
              <w:tab/>
            </w:r>
            <w:r w:rsidR="001313F9">
              <w:rPr>
                <w:noProof/>
                <w:webHidden/>
              </w:rPr>
              <w:fldChar w:fldCharType="begin"/>
            </w:r>
            <w:r w:rsidR="001313F9">
              <w:rPr>
                <w:noProof/>
                <w:webHidden/>
              </w:rPr>
              <w:instrText xml:space="preserve"> PAGEREF _Toc370819272 \h </w:instrText>
            </w:r>
            <w:r w:rsidR="001313F9">
              <w:rPr>
                <w:noProof/>
                <w:webHidden/>
              </w:rPr>
            </w:r>
            <w:r w:rsidR="001313F9">
              <w:rPr>
                <w:noProof/>
                <w:webHidden/>
              </w:rPr>
              <w:fldChar w:fldCharType="separate"/>
            </w:r>
            <w:r w:rsidR="001313F9">
              <w:rPr>
                <w:noProof/>
                <w:webHidden/>
              </w:rPr>
              <w:t>141</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73" w:history="1">
            <w:r w:rsidR="001313F9" w:rsidRPr="00B8197B">
              <w:rPr>
                <w:rStyle w:val="Hyperlink"/>
                <w:rFonts w:eastAsia="Times New Roman"/>
                <w:noProof/>
                <w:lang w:eastAsia="en-GB"/>
                <w14:scene3d>
                  <w14:camera w14:prst="orthographicFront"/>
                  <w14:lightRig w14:rig="threePt" w14:dir="t">
                    <w14:rot w14:lat="0" w14:lon="0" w14:rev="0"/>
                  </w14:lightRig>
                </w14:scene3d>
              </w:rPr>
              <w:t>3.11.1</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eastAsia="en-GB"/>
              </w:rPr>
              <w:t>Anaerobic bacteria.</w:t>
            </w:r>
            <w:r w:rsidR="001313F9">
              <w:rPr>
                <w:noProof/>
                <w:webHidden/>
              </w:rPr>
              <w:tab/>
            </w:r>
            <w:r w:rsidR="001313F9">
              <w:rPr>
                <w:noProof/>
                <w:webHidden/>
              </w:rPr>
              <w:fldChar w:fldCharType="begin"/>
            </w:r>
            <w:r w:rsidR="001313F9">
              <w:rPr>
                <w:noProof/>
                <w:webHidden/>
              </w:rPr>
              <w:instrText xml:space="preserve"> PAGEREF _Toc370819273 \h </w:instrText>
            </w:r>
            <w:r w:rsidR="001313F9">
              <w:rPr>
                <w:noProof/>
                <w:webHidden/>
              </w:rPr>
            </w:r>
            <w:r w:rsidR="001313F9">
              <w:rPr>
                <w:noProof/>
                <w:webHidden/>
              </w:rPr>
              <w:fldChar w:fldCharType="separate"/>
            </w:r>
            <w:r w:rsidR="001313F9">
              <w:rPr>
                <w:noProof/>
                <w:webHidden/>
              </w:rPr>
              <w:t>141</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74" w:history="1">
            <w:r w:rsidR="001313F9" w:rsidRPr="00B8197B">
              <w:rPr>
                <w:rStyle w:val="Hyperlink"/>
                <w:rFonts w:eastAsia="Times New Roman"/>
                <w:noProof/>
                <w:lang w:eastAsia="en-GB"/>
                <w14:scene3d>
                  <w14:camera w14:prst="orthographicFront"/>
                  <w14:lightRig w14:rig="threePt" w14:dir="t">
                    <w14:rot w14:lat="0" w14:lon="0" w14:rev="0"/>
                  </w14:lightRig>
                </w14:scene3d>
              </w:rPr>
              <w:t>3.11.2</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eastAsia="en-GB"/>
              </w:rPr>
              <w:t>Aerobic bacteria.</w:t>
            </w:r>
            <w:r w:rsidR="001313F9">
              <w:rPr>
                <w:noProof/>
                <w:webHidden/>
              </w:rPr>
              <w:tab/>
            </w:r>
            <w:r w:rsidR="001313F9">
              <w:rPr>
                <w:noProof/>
                <w:webHidden/>
              </w:rPr>
              <w:fldChar w:fldCharType="begin"/>
            </w:r>
            <w:r w:rsidR="001313F9">
              <w:rPr>
                <w:noProof/>
                <w:webHidden/>
              </w:rPr>
              <w:instrText xml:space="preserve"> PAGEREF _Toc370819274 \h </w:instrText>
            </w:r>
            <w:r w:rsidR="001313F9">
              <w:rPr>
                <w:noProof/>
                <w:webHidden/>
              </w:rPr>
            </w:r>
            <w:r w:rsidR="001313F9">
              <w:rPr>
                <w:noProof/>
                <w:webHidden/>
              </w:rPr>
              <w:fldChar w:fldCharType="separate"/>
            </w:r>
            <w:r w:rsidR="001313F9">
              <w:rPr>
                <w:noProof/>
                <w:webHidden/>
              </w:rPr>
              <w:t>142</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75" w:history="1">
            <w:r w:rsidR="001313F9" w:rsidRPr="00B8197B">
              <w:rPr>
                <w:rStyle w:val="Hyperlink"/>
                <w:noProof/>
                <w14:scene3d>
                  <w14:camera w14:prst="orthographicFront"/>
                  <w14:lightRig w14:rig="threePt" w14:dir="t">
                    <w14:rot w14:lat="0" w14:lon="0" w14:rev="0"/>
                  </w14:lightRig>
                </w14:scene3d>
              </w:rPr>
              <w:t>3.12</w:t>
            </w:r>
            <w:r w:rsidR="001313F9">
              <w:rPr>
                <w:rFonts w:asciiTheme="minorHAnsi" w:eastAsiaTheme="minorEastAsia" w:hAnsiTheme="minorHAnsi" w:cstheme="minorBidi"/>
                <w:noProof/>
                <w:sz w:val="22"/>
                <w:szCs w:val="22"/>
                <w:lang w:eastAsia="en-GB"/>
              </w:rPr>
              <w:tab/>
            </w:r>
            <w:r w:rsidR="001313F9" w:rsidRPr="00B8197B">
              <w:rPr>
                <w:rStyle w:val="Hyperlink"/>
                <w:noProof/>
              </w:rPr>
              <w:t>Culture media</w:t>
            </w:r>
            <w:r w:rsidR="001313F9">
              <w:rPr>
                <w:noProof/>
                <w:webHidden/>
              </w:rPr>
              <w:tab/>
            </w:r>
            <w:r w:rsidR="001313F9">
              <w:rPr>
                <w:noProof/>
                <w:webHidden/>
              </w:rPr>
              <w:fldChar w:fldCharType="begin"/>
            </w:r>
            <w:r w:rsidR="001313F9">
              <w:rPr>
                <w:noProof/>
                <w:webHidden/>
              </w:rPr>
              <w:instrText xml:space="preserve"> PAGEREF _Toc370819275 \h </w:instrText>
            </w:r>
            <w:r w:rsidR="001313F9">
              <w:rPr>
                <w:noProof/>
                <w:webHidden/>
              </w:rPr>
            </w:r>
            <w:r w:rsidR="001313F9">
              <w:rPr>
                <w:noProof/>
                <w:webHidden/>
              </w:rPr>
              <w:fldChar w:fldCharType="separate"/>
            </w:r>
            <w:r w:rsidR="001313F9">
              <w:rPr>
                <w:noProof/>
                <w:webHidden/>
              </w:rPr>
              <w:t>142</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76" w:history="1">
            <w:r w:rsidR="001313F9" w:rsidRPr="00B8197B">
              <w:rPr>
                <w:rStyle w:val="Hyperlink"/>
                <w:rFonts w:eastAsia="Times New Roman"/>
                <w:noProof/>
                <w:lang w:val="en-US" w:eastAsia="en-GB"/>
                <w14:scene3d>
                  <w14:camera w14:prst="orthographicFront"/>
                  <w14:lightRig w14:rig="threePt" w14:dir="t">
                    <w14:rot w14:lat="0" w14:lon="0" w14:rev="0"/>
                  </w14:lightRig>
                </w14:scene3d>
              </w:rPr>
              <w:t>3.12.1</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val="en-US" w:eastAsia="en-GB"/>
              </w:rPr>
              <w:t>Columbia Blood Agar (CBA)</w:t>
            </w:r>
            <w:r w:rsidR="001313F9">
              <w:rPr>
                <w:noProof/>
                <w:webHidden/>
              </w:rPr>
              <w:tab/>
            </w:r>
            <w:r w:rsidR="001313F9">
              <w:rPr>
                <w:noProof/>
                <w:webHidden/>
              </w:rPr>
              <w:fldChar w:fldCharType="begin"/>
            </w:r>
            <w:r w:rsidR="001313F9">
              <w:rPr>
                <w:noProof/>
                <w:webHidden/>
              </w:rPr>
              <w:instrText xml:space="preserve"> PAGEREF _Toc370819276 \h </w:instrText>
            </w:r>
            <w:r w:rsidR="001313F9">
              <w:rPr>
                <w:noProof/>
                <w:webHidden/>
              </w:rPr>
            </w:r>
            <w:r w:rsidR="001313F9">
              <w:rPr>
                <w:noProof/>
                <w:webHidden/>
              </w:rPr>
              <w:fldChar w:fldCharType="separate"/>
            </w:r>
            <w:r w:rsidR="001313F9">
              <w:rPr>
                <w:noProof/>
                <w:webHidden/>
              </w:rPr>
              <w:t>142</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77" w:history="1">
            <w:r w:rsidR="001313F9" w:rsidRPr="00B8197B">
              <w:rPr>
                <w:rStyle w:val="Hyperlink"/>
                <w:rFonts w:eastAsia="Times New Roman"/>
                <w:noProof/>
                <w:lang w:val="en-US" w:eastAsia="en-GB"/>
                <w14:scene3d>
                  <w14:camera w14:prst="orthographicFront"/>
                  <w14:lightRig w14:rig="threePt" w14:dir="t">
                    <w14:rot w14:lat="0" w14:lon="0" w14:rev="0"/>
                  </w14:lightRig>
                </w14:scene3d>
              </w:rPr>
              <w:t>3.12.2</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val="en-US" w:eastAsia="en-GB"/>
              </w:rPr>
              <w:t>General information about Columbia Blood Agar (CBA)</w:t>
            </w:r>
            <w:r w:rsidR="001313F9">
              <w:rPr>
                <w:noProof/>
                <w:webHidden/>
              </w:rPr>
              <w:tab/>
            </w:r>
            <w:r w:rsidR="001313F9">
              <w:rPr>
                <w:noProof/>
                <w:webHidden/>
              </w:rPr>
              <w:fldChar w:fldCharType="begin"/>
            </w:r>
            <w:r w:rsidR="001313F9">
              <w:rPr>
                <w:noProof/>
                <w:webHidden/>
              </w:rPr>
              <w:instrText xml:space="preserve"> PAGEREF _Toc370819277 \h </w:instrText>
            </w:r>
            <w:r w:rsidR="001313F9">
              <w:rPr>
                <w:noProof/>
                <w:webHidden/>
              </w:rPr>
            </w:r>
            <w:r w:rsidR="001313F9">
              <w:rPr>
                <w:noProof/>
                <w:webHidden/>
              </w:rPr>
              <w:fldChar w:fldCharType="separate"/>
            </w:r>
            <w:r w:rsidR="001313F9">
              <w:rPr>
                <w:noProof/>
                <w:webHidden/>
              </w:rPr>
              <w:t>142</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78" w:history="1">
            <w:r w:rsidR="001313F9" w:rsidRPr="00B8197B">
              <w:rPr>
                <w:rStyle w:val="Hyperlink"/>
                <w:rFonts w:eastAsia="Times New Roman"/>
                <w:noProof/>
                <w:lang w:val="en-US" w:eastAsia="en-GB"/>
                <w14:scene3d>
                  <w14:camera w14:prst="orthographicFront"/>
                  <w14:lightRig w14:rig="threePt" w14:dir="t">
                    <w14:rot w14:lat="0" w14:lon="0" w14:rev="0"/>
                  </w14:lightRig>
                </w14:scene3d>
              </w:rPr>
              <w:t>3.12.3</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val="en-US" w:eastAsia="en-GB"/>
              </w:rPr>
              <w:t>Composition of Columbia blood agar (CBA):</w:t>
            </w:r>
            <w:r w:rsidR="001313F9">
              <w:rPr>
                <w:noProof/>
                <w:webHidden/>
              </w:rPr>
              <w:tab/>
            </w:r>
            <w:r w:rsidR="001313F9">
              <w:rPr>
                <w:noProof/>
                <w:webHidden/>
              </w:rPr>
              <w:fldChar w:fldCharType="begin"/>
            </w:r>
            <w:r w:rsidR="001313F9">
              <w:rPr>
                <w:noProof/>
                <w:webHidden/>
              </w:rPr>
              <w:instrText xml:space="preserve"> PAGEREF _Toc370819278 \h </w:instrText>
            </w:r>
            <w:r w:rsidR="001313F9">
              <w:rPr>
                <w:noProof/>
                <w:webHidden/>
              </w:rPr>
            </w:r>
            <w:r w:rsidR="001313F9">
              <w:rPr>
                <w:noProof/>
                <w:webHidden/>
              </w:rPr>
              <w:fldChar w:fldCharType="separate"/>
            </w:r>
            <w:r w:rsidR="001313F9">
              <w:rPr>
                <w:noProof/>
                <w:webHidden/>
              </w:rPr>
              <w:t>143</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79" w:history="1">
            <w:r w:rsidR="001313F9" w:rsidRPr="00B8197B">
              <w:rPr>
                <w:rStyle w:val="Hyperlink"/>
                <w:rFonts w:eastAsia="Times New Roman"/>
                <w:noProof/>
                <w:lang w:val="en-US" w:eastAsia="en-GB"/>
                <w14:scene3d>
                  <w14:camera w14:prst="orthographicFront"/>
                  <w14:lightRig w14:rig="threePt" w14:dir="t">
                    <w14:rot w14:lat="0" w14:lon="0" w14:rev="0"/>
                  </w14:lightRig>
                </w14:scene3d>
              </w:rPr>
              <w:t>3.12.4</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eastAsia="en-GB"/>
              </w:rPr>
              <w:t>Brain Heart Infusion (BHI)</w:t>
            </w:r>
            <w:r w:rsidR="001313F9">
              <w:rPr>
                <w:noProof/>
                <w:webHidden/>
              </w:rPr>
              <w:tab/>
            </w:r>
            <w:r w:rsidR="001313F9">
              <w:rPr>
                <w:noProof/>
                <w:webHidden/>
              </w:rPr>
              <w:fldChar w:fldCharType="begin"/>
            </w:r>
            <w:r w:rsidR="001313F9">
              <w:rPr>
                <w:noProof/>
                <w:webHidden/>
              </w:rPr>
              <w:instrText xml:space="preserve"> PAGEREF _Toc370819279 \h </w:instrText>
            </w:r>
            <w:r w:rsidR="001313F9">
              <w:rPr>
                <w:noProof/>
                <w:webHidden/>
              </w:rPr>
            </w:r>
            <w:r w:rsidR="001313F9">
              <w:rPr>
                <w:noProof/>
                <w:webHidden/>
              </w:rPr>
              <w:fldChar w:fldCharType="separate"/>
            </w:r>
            <w:r w:rsidR="001313F9">
              <w:rPr>
                <w:noProof/>
                <w:webHidden/>
              </w:rPr>
              <w:t>143</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80" w:history="1">
            <w:r w:rsidR="001313F9" w:rsidRPr="00B8197B">
              <w:rPr>
                <w:rStyle w:val="Hyperlink"/>
                <w:noProof/>
                <w14:scene3d>
                  <w14:camera w14:prst="orthographicFront"/>
                  <w14:lightRig w14:rig="threePt" w14:dir="t">
                    <w14:rot w14:lat="0" w14:lon="0" w14:rev="0"/>
                  </w14:lightRig>
                </w14:scene3d>
              </w:rPr>
              <w:t>3.13</w:t>
            </w:r>
            <w:r w:rsidR="001313F9">
              <w:rPr>
                <w:rFonts w:asciiTheme="minorHAnsi" w:eastAsiaTheme="minorEastAsia" w:hAnsiTheme="minorHAnsi" w:cstheme="minorBidi"/>
                <w:noProof/>
                <w:sz w:val="22"/>
                <w:szCs w:val="22"/>
                <w:lang w:eastAsia="en-GB"/>
              </w:rPr>
              <w:tab/>
            </w:r>
            <w:r w:rsidR="001313F9" w:rsidRPr="00B8197B">
              <w:rPr>
                <w:rStyle w:val="Hyperlink"/>
                <w:noProof/>
              </w:rPr>
              <w:t>Preparation of mineral trioxide aggregate MTA</w:t>
            </w:r>
            <w:r w:rsidR="001313F9">
              <w:rPr>
                <w:noProof/>
                <w:webHidden/>
              </w:rPr>
              <w:tab/>
            </w:r>
            <w:r w:rsidR="001313F9">
              <w:rPr>
                <w:noProof/>
                <w:webHidden/>
              </w:rPr>
              <w:fldChar w:fldCharType="begin"/>
            </w:r>
            <w:r w:rsidR="001313F9">
              <w:rPr>
                <w:noProof/>
                <w:webHidden/>
              </w:rPr>
              <w:instrText xml:space="preserve"> PAGEREF _Toc370819280 \h </w:instrText>
            </w:r>
            <w:r w:rsidR="001313F9">
              <w:rPr>
                <w:noProof/>
                <w:webHidden/>
              </w:rPr>
            </w:r>
            <w:r w:rsidR="001313F9">
              <w:rPr>
                <w:noProof/>
                <w:webHidden/>
              </w:rPr>
              <w:fldChar w:fldCharType="separate"/>
            </w:r>
            <w:r w:rsidR="001313F9">
              <w:rPr>
                <w:noProof/>
                <w:webHidden/>
              </w:rPr>
              <w:t>144</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81" w:history="1">
            <w:r w:rsidR="001313F9" w:rsidRPr="00B8197B">
              <w:rPr>
                <w:rStyle w:val="Hyperlink"/>
                <w:noProof/>
                <w14:scene3d>
                  <w14:camera w14:prst="orthographicFront"/>
                  <w14:lightRig w14:rig="threePt" w14:dir="t">
                    <w14:rot w14:lat="0" w14:lon="0" w14:rev="0"/>
                  </w14:lightRig>
                </w14:scene3d>
              </w:rPr>
              <w:t>3.14</w:t>
            </w:r>
            <w:r w:rsidR="001313F9">
              <w:rPr>
                <w:rFonts w:asciiTheme="minorHAnsi" w:eastAsiaTheme="minorEastAsia" w:hAnsiTheme="minorHAnsi" w:cstheme="minorBidi"/>
                <w:noProof/>
                <w:sz w:val="22"/>
                <w:szCs w:val="22"/>
                <w:lang w:eastAsia="en-GB"/>
              </w:rPr>
              <w:tab/>
            </w:r>
            <w:r w:rsidR="001313F9" w:rsidRPr="00B8197B">
              <w:rPr>
                <w:rStyle w:val="Hyperlink"/>
                <w:noProof/>
              </w:rPr>
              <w:t>Preparation of NSCH has been described in chapter 2</w:t>
            </w:r>
            <w:r w:rsidR="001313F9">
              <w:rPr>
                <w:noProof/>
                <w:webHidden/>
              </w:rPr>
              <w:tab/>
            </w:r>
            <w:r w:rsidR="001313F9">
              <w:rPr>
                <w:noProof/>
                <w:webHidden/>
              </w:rPr>
              <w:fldChar w:fldCharType="begin"/>
            </w:r>
            <w:r w:rsidR="001313F9">
              <w:rPr>
                <w:noProof/>
                <w:webHidden/>
              </w:rPr>
              <w:instrText xml:space="preserve"> PAGEREF _Toc370819281 \h </w:instrText>
            </w:r>
            <w:r w:rsidR="001313F9">
              <w:rPr>
                <w:noProof/>
                <w:webHidden/>
              </w:rPr>
            </w:r>
            <w:r w:rsidR="001313F9">
              <w:rPr>
                <w:noProof/>
                <w:webHidden/>
              </w:rPr>
              <w:fldChar w:fldCharType="separate"/>
            </w:r>
            <w:r w:rsidR="001313F9">
              <w:rPr>
                <w:noProof/>
                <w:webHidden/>
              </w:rPr>
              <w:t>144</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82" w:history="1">
            <w:r w:rsidR="001313F9" w:rsidRPr="00B8197B">
              <w:rPr>
                <w:rStyle w:val="Hyperlink"/>
                <w:noProof/>
                <w14:scene3d>
                  <w14:camera w14:prst="orthographicFront"/>
                  <w14:lightRig w14:rig="threePt" w14:dir="t">
                    <w14:rot w14:lat="0" w14:lon="0" w14:rev="0"/>
                  </w14:lightRig>
                </w14:scene3d>
              </w:rPr>
              <w:t>3.15</w:t>
            </w:r>
            <w:r w:rsidR="001313F9">
              <w:rPr>
                <w:rFonts w:asciiTheme="minorHAnsi" w:eastAsiaTheme="minorEastAsia" w:hAnsiTheme="minorHAnsi" w:cstheme="minorBidi"/>
                <w:noProof/>
                <w:sz w:val="22"/>
                <w:szCs w:val="22"/>
                <w:lang w:eastAsia="en-GB"/>
              </w:rPr>
              <w:tab/>
            </w:r>
            <w:r w:rsidR="001313F9" w:rsidRPr="00B8197B">
              <w:rPr>
                <w:rStyle w:val="Hyperlink"/>
                <w:noProof/>
              </w:rPr>
              <w:t>Preparation of antibiotics:</w:t>
            </w:r>
            <w:r w:rsidR="001313F9">
              <w:rPr>
                <w:noProof/>
                <w:webHidden/>
              </w:rPr>
              <w:tab/>
            </w:r>
            <w:r w:rsidR="001313F9">
              <w:rPr>
                <w:noProof/>
                <w:webHidden/>
              </w:rPr>
              <w:fldChar w:fldCharType="begin"/>
            </w:r>
            <w:r w:rsidR="001313F9">
              <w:rPr>
                <w:noProof/>
                <w:webHidden/>
              </w:rPr>
              <w:instrText xml:space="preserve"> PAGEREF _Toc370819282 \h </w:instrText>
            </w:r>
            <w:r w:rsidR="001313F9">
              <w:rPr>
                <w:noProof/>
                <w:webHidden/>
              </w:rPr>
            </w:r>
            <w:r w:rsidR="001313F9">
              <w:rPr>
                <w:noProof/>
                <w:webHidden/>
              </w:rPr>
              <w:fldChar w:fldCharType="separate"/>
            </w:r>
            <w:r w:rsidR="001313F9">
              <w:rPr>
                <w:noProof/>
                <w:webHidden/>
              </w:rPr>
              <w:t>144</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83" w:history="1">
            <w:r w:rsidR="001313F9" w:rsidRPr="00B8197B">
              <w:rPr>
                <w:rStyle w:val="Hyperlink"/>
                <w:noProof/>
                <w14:scene3d>
                  <w14:camera w14:prst="orthographicFront"/>
                  <w14:lightRig w14:rig="threePt" w14:dir="t">
                    <w14:rot w14:lat="0" w14:lon="0" w14:rev="0"/>
                  </w14:lightRig>
                </w14:scene3d>
              </w:rPr>
              <w:t>3.16</w:t>
            </w:r>
            <w:r w:rsidR="001313F9">
              <w:rPr>
                <w:rFonts w:asciiTheme="minorHAnsi" w:eastAsiaTheme="minorEastAsia" w:hAnsiTheme="minorHAnsi" w:cstheme="minorBidi"/>
                <w:noProof/>
                <w:sz w:val="22"/>
                <w:szCs w:val="22"/>
                <w:lang w:eastAsia="en-GB"/>
              </w:rPr>
              <w:tab/>
            </w:r>
            <w:r w:rsidR="001313F9" w:rsidRPr="00B8197B">
              <w:rPr>
                <w:rStyle w:val="Hyperlink"/>
                <w:noProof/>
              </w:rPr>
              <w:t>Preparation of inoculums (Bacteria growth)</w:t>
            </w:r>
            <w:r w:rsidR="001313F9">
              <w:rPr>
                <w:noProof/>
                <w:webHidden/>
              </w:rPr>
              <w:tab/>
            </w:r>
            <w:r w:rsidR="001313F9">
              <w:rPr>
                <w:noProof/>
                <w:webHidden/>
              </w:rPr>
              <w:fldChar w:fldCharType="begin"/>
            </w:r>
            <w:r w:rsidR="001313F9">
              <w:rPr>
                <w:noProof/>
                <w:webHidden/>
              </w:rPr>
              <w:instrText xml:space="preserve"> PAGEREF _Toc370819283 \h </w:instrText>
            </w:r>
            <w:r w:rsidR="001313F9">
              <w:rPr>
                <w:noProof/>
                <w:webHidden/>
              </w:rPr>
            </w:r>
            <w:r w:rsidR="001313F9">
              <w:rPr>
                <w:noProof/>
                <w:webHidden/>
              </w:rPr>
              <w:fldChar w:fldCharType="separate"/>
            </w:r>
            <w:r w:rsidR="001313F9">
              <w:rPr>
                <w:noProof/>
                <w:webHidden/>
              </w:rPr>
              <w:t>145</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84" w:history="1">
            <w:r w:rsidR="001313F9" w:rsidRPr="00B8197B">
              <w:rPr>
                <w:rStyle w:val="Hyperlink"/>
                <w:rFonts w:eastAsia="Times New Roman"/>
                <w:noProof/>
                <w:lang w:eastAsia="en-GB"/>
                <w14:scene3d>
                  <w14:camera w14:prst="orthographicFront"/>
                  <w14:lightRig w14:rig="threePt" w14:dir="t">
                    <w14:rot w14:lat="0" w14:lon="0" w14:rev="0"/>
                  </w14:lightRig>
                </w14:scene3d>
              </w:rPr>
              <w:t>3.16.1</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eastAsia="en-GB"/>
              </w:rPr>
              <w:t>Growth of Anaerobic bacteria</w:t>
            </w:r>
            <w:r w:rsidR="001313F9">
              <w:rPr>
                <w:noProof/>
                <w:webHidden/>
              </w:rPr>
              <w:tab/>
            </w:r>
            <w:r w:rsidR="001313F9">
              <w:rPr>
                <w:noProof/>
                <w:webHidden/>
              </w:rPr>
              <w:fldChar w:fldCharType="begin"/>
            </w:r>
            <w:r w:rsidR="001313F9">
              <w:rPr>
                <w:noProof/>
                <w:webHidden/>
              </w:rPr>
              <w:instrText xml:space="preserve"> PAGEREF _Toc370819284 \h </w:instrText>
            </w:r>
            <w:r w:rsidR="001313F9">
              <w:rPr>
                <w:noProof/>
                <w:webHidden/>
              </w:rPr>
            </w:r>
            <w:r w:rsidR="001313F9">
              <w:rPr>
                <w:noProof/>
                <w:webHidden/>
              </w:rPr>
              <w:fldChar w:fldCharType="separate"/>
            </w:r>
            <w:r w:rsidR="001313F9">
              <w:rPr>
                <w:noProof/>
                <w:webHidden/>
              </w:rPr>
              <w:t>145</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85" w:history="1">
            <w:r w:rsidR="001313F9" w:rsidRPr="00B8197B">
              <w:rPr>
                <w:rStyle w:val="Hyperlink"/>
                <w:rFonts w:eastAsia="Times New Roman"/>
                <w:noProof/>
                <w:lang w:eastAsia="en-GB"/>
                <w14:scene3d>
                  <w14:camera w14:prst="orthographicFront"/>
                  <w14:lightRig w14:rig="threePt" w14:dir="t">
                    <w14:rot w14:lat="0" w14:lon="0" w14:rev="0"/>
                  </w14:lightRig>
                </w14:scene3d>
              </w:rPr>
              <w:t>3.16.2</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eastAsia="en-GB"/>
              </w:rPr>
              <w:t>Growth preparation</w:t>
            </w:r>
            <w:r w:rsidR="001313F9">
              <w:rPr>
                <w:noProof/>
                <w:webHidden/>
              </w:rPr>
              <w:tab/>
            </w:r>
            <w:r w:rsidR="001313F9">
              <w:rPr>
                <w:noProof/>
                <w:webHidden/>
              </w:rPr>
              <w:fldChar w:fldCharType="begin"/>
            </w:r>
            <w:r w:rsidR="001313F9">
              <w:rPr>
                <w:noProof/>
                <w:webHidden/>
              </w:rPr>
              <w:instrText xml:space="preserve"> PAGEREF _Toc370819285 \h </w:instrText>
            </w:r>
            <w:r w:rsidR="001313F9">
              <w:rPr>
                <w:noProof/>
                <w:webHidden/>
              </w:rPr>
            </w:r>
            <w:r w:rsidR="001313F9">
              <w:rPr>
                <w:noProof/>
                <w:webHidden/>
              </w:rPr>
              <w:fldChar w:fldCharType="separate"/>
            </w:r>
            <w:r w:rsidR="001313F9">
              <w:rPr>
                <w:noProof/>
                <w:webHidden/>
              </w:rPr>
              <w:t>145</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86" w:history="1">
            <w:r w:rsidR="001313F9" w:rsidRPr="00B8197B">
              <w:rPr>
                <w:rStyle w:val="Hyperlink"/>
                <w:noProof/>
                <w14:scene3d>
                  <w14:camera w14:prst="orthographicFront"/>
                  <w14:lightRig w14:rig="threePt" w14:dir="t">
                    <w14:rot w14:lat="0" w14:lon="0" w14:rev="0"/>
                  </w14:lightRig>
                </w14:scene3d>
              </w:rPr>
              <w:t>3.17</w:t>
            </w:r>
            <w:r w:rsidR="001313F9">
              <w:rPr>
                <w:rFonts w:asciiTheme="minorHAnsi" w:eastAsiaTheme="minorEastAsia" w:hAnsiTheme="minorHAnsi" w:cstheme="minorBidi"/>
                <w:noProof/>
                <w:sz w:val="22"/>
                <w:szCs w:val="22"/>
                <w:lang w:eastAsia="en-GB"/>
              </w:rPr>
              <w:tab/>
            </w:r>
            <w:r w:rsidR="001313F9" w:rsidRPr="00B8197B">
              <w:rPr>
                <w:rStyle w:val="Hyperlink"/>
                <w:noProof/>
              </w:rPr>
              <w:t>Description of the streaking technique for pure isolation of a bacterial strain</w:t>
            </w:r>
            <w:r w:rsidR="001313F9">
              <w:rPr>
                <w:noProof/>
                <w:webHidden/>
              </w:rPr>
              <w:tab/>
            </w:r>
            <w:r w:rsidR="001313F9">
              <w:rPr>
                <w:noProof/>
                <w:webHidden/>
              </w:rPr>
              <w:fldChar w:fldCharType="begin"/>
            </w:r>
            <w:r w:rsidR="001313F9">
              <w:rPr>
                <w:noProof/>
                <w:webHidden/>
              </w:rPr>
              <w:instrText xml:space="preserve"> PAGEREF _Toc370819286 \h </w:instrText>
            </w:r>
            <w:r w:rsidR="001313F9">
              <w:rPr>
                <w:noProof/>
                <w:webHidden/>
              </w:rPr>
            </w:r>
            <w:r w:rsidR="001313F9">
              <w:rPr>
                <w:noProof/>
                <w:webHidden/>
              </w:rPr>
              <w:fldChar w:fldCharType="separate"/>
            </w:r>
            <w:r w:rsidR="001313F9">
              <w:rPr>
                <w:noProof/>
                <w:webHidden/>
              </w:rPr>
              <w:t>146</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87" w:history="1">
            <w:r w:rsidR="001313F9" w:rsidRPr="00B8197B">
              <w:rPr>
                <w:rStyle w:val="Hyperlink"/>
                <w:noProof/>
                <w14:scene3d>
                  <w14:camera w14:prst="orthographicFront"/>
                  <w14:lightRig w14:rig="threePt" w14:dir="t">
                    <w14:rot w14:lat="0" w14:lon="0" w14:rev="0"/>
                  </w14:lightRig>
                </w14:scene3d>
              </w:rPr>
              <w:t>3.18</w:t>
            </w:r>
            <w:r w:rsidR="001313F9">
              <w:rPr>
                <w:rFonts w:asciiTheme="minorHAnsi" w:eastAsiaTheme="minorEastAsia" w:hAnsiTheme="minorHAnsi" w:cstheme="minorBidi"/>
                <w:noProof/>
                <w:sz w:val="22"/>
                <w:szCs w:val="22"/>
                <w:lang w:eastAsia="en-GB"/>
              </w:rPr>
              <w:tab/>
            </w:r>
            <w:r w:rsidR="001313F9" w:rsidRPr="00B8197B">
              <w:rPr>
                <w:rStyle w:val="Hyperlink"/>
                <w:noProof/>
              </w:rPr>
              <w:t xml:space="preserve">Gram stain for checking the purity of the bacterial culture (summarised in Figure </w:t>
            </w:r>
            <w:r w:rsidR="001313F9" w:rsidRPr="00B8197B">
              <w:rPr>
                <w:rStyle w:val="Hyperlink"/>
                <w:rFonts w:hint="eastAsia"/>
                <w:noProof/>
                <w:cs/>
              </w:rPr>
              <w:t>‎</w:t>
            </w:r>
            <w:r w:rsidR="001313F9" w:rsidRPr="00B8197B">
              <w:rPr>
                <w:rStyle w:val="Hyperlink"/>
                <w:noProof/>
              </w:rPr>
              <w:t>3.4)</w:t>
            </w:r>
            <w:r w:rsidR="001313F9">
              <w:rPr>
                <w:noProof/>
                <w:webHidden/>
              </w:rPr>
              <w:tab/>
            </w:r>
            <w:r w:rsidR="001313F9">
              <w:rPr>
                <w:noProof/>
                <w:webHidden/>
              </w:rPr>
              <w:fldChar w:fldCharType="begin"/>
            </w:r>
            <w:r w:rsidR="001313F9">
              <w:rPr>
                <w:noProof/>
                <w:webHidden/>
              </w:rPr>
              <w:instrText xml:space="preserve"> PAGEREF _Toc370819287 \h </w:instrText>
            </w:r>
            <w:r w:rsidR="001313F9">
              <w:rPr>
                <w:noProof/>
                <w:webHidden/>
              </w:rPr>
            </w:r>
            <w:r w:rsidR="001313F9">
              <w:rPr>
                <w:noProof/>
                <w:webHidden/>
              </w:rPr>
              <w:fldChar w:fldCharType="separate"/>
            </w:r>
            <w:r w:rsidR="001313F9">
              <w:rPr>
                <w:noProof/>
                <w:webHidden/>
              </w:rPr>
              <w:t>148</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88" w:history="1">
            <w:r w:rsidR="001313F9" w:rsidRPr="00B8197B">
              <w:rPr>
                <w:rStyle w:val="Hyperlink"/>
                <w:noProof/>
                <w14:scene3d>
                  <w14:camera w14:prst="orthographicFront"/>
                  <w14:lightRig w14:rig="threePt" w14:dir="t">
                    <w14:rot w14:lat="0" w14:lon="0" w14:rev="0"/>
                  </w14:lightRig>
                </w14:scene3d>
              </w:rPr>
              <w:t>3.19</w:t>
            </w:r>
            <w:r w:rsidR="001313F9">
              <w:rPr>
                <w:rFonts w:asciiTheme="minorHAnsi" w:eastAsiaTheme="minorEastAsia" w:hAnsiTheme="minorHAnsi" w:cstheme="minorBidi"/>
                <w:noProof/>
                <w:sz w:val="22"/>
                <w:szCs w:val="22"/>
                <w:lang w:eastAsia="en-GB"/>
              </w:rPr>
              <w:tab/>
            </w:r>
            <w:r w:rsidR="001313F9" w:rsidRPr="00B8197B">
              <w:rPr>
                <w:rStyle w:val="Hyperlink"/>
                <w:noProof/>
              </w:rPr>
              <w:t>Standardised growth curves for bacteria:</w:t>
            </w:r>
            <w:r w:rsidR="001313F9">
              <w:rPr>
                <w:noProof/>
                <w:webHidden/>
              </w:rPr>
              <w:tab/>
            </w:r>
            <w:r w:rsidR="001313F9">
              <w:rPr>
                <w:noProof/>
                <w:webHidden/>
              </w:rPr>
              <w:fldChar w:fldCharType="begin"/>
            </w:r>
            <w:r w:rsidR="001313F9">
              <w:rPr>
                <w:noProof/>
                <w:webHidden/>
              </w:rPr>
              <w:instrText xml:space="preserve"> PAGEREF _Toc370819288 \h </w:instrText>
            </w:r>
            <w:r w:rsidR="001313F9">
              <w:rPr>
                <w:noProof/>
                <w:webHidden/>
              </w:rPr>
            </w:r>
            <w:r w:rsidR="001313F9">
              <w:rPr>
                <w:noProof/>
                <w:webHidden/>
              </w:rPr>
              <w:fldChar w:fldCharType="separate"/>
            </w:r>
            <w:r w:rsidR="001313F9">
              <w:rPr>
                <w:noProof/>
                <w:webHidden/>
              </w:rPr>
              <w:t>150</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89" w:history="1">
            <w:r w:rsidR="001313F9" w:rsidRPr="00B8197B">
              <w:rPr>
                <w:rStyle w:val="Hyperlink"/>
                <w:rFonts w:eastAsia="Times New Roman"/>
                <w:noProof/>
                <w:lang w:eastAsia="en-GB"/>
                <w14:scene3d>
                  <w14:camera w14:prst="orthographicFront"/>
                  <w14:lightRig w14:rig="threePt" w14:dir="t">
                    <w14:rot w14:lat="0" w14:lon="0" w14:rev="0"/>
                  </w14:lightRig>
                </w14:scene3d>
              </w:rPr>
              <w:t>3.19.2</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eastAsia="en-GB"/>
              </w:rPr>
              <w:t>Ten fold (Hoover and Newbrun, 1977)</w:t>
            </w:r>
            <w:r w:rsidR="001313F9">
              <w:rPr>
                <w:noProof/>
                <w:webHidden/>
              </w:rPr>
              <w:tab/>
            </w:r>
            <w:r w:rsidR="001313F9">
              <w:rPr>
                <w:noProof/>
                <w:webHidden/>
              </w:rPr>
              <w:fldChar w:fldCharType="begin"/>
            </w:r>
            <w:r w:rsidR="001313F9">
              <w:rPr>
                <w:noProof/>
                <w:webHidden/>
              </w:rPr>
              <w:instrText xml:space="preserve"> PAGEREF _Toc370819289 \h </w:instrText>
            </w:r>
            <w:r w:rsidR="001313F9">
              <w:rPr>
                <w:noProof/>
                <w:webHidden/>
              </w:rPr>
            </w:r>
            <w:r w:rsidR="001313F9">
              <w:rPr>
                <w:noProof/>
                <w:webHidden/>
              </w:rPr>
              <w:fldChar w:fldCharType="separate"/>
            </w:r>
            <w:r w:rsidR="001313F9">
              <w:rPr>
                <w:noProof/>
                <w:webHidden/>
              </w:rPr>
              <w:t>150</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90" w:history="1">
            <w:r w:rsidR="001313F9" w:rsidRPr="00B8197B">
              <w:rPr>
                <w:rStyle w:val="Hyperlink"/>
                <w:rFonts w:eastAsia="Times New Roman"/>
                <w:noProof/>
                <w:lang w:eastAsia="en-GB"/>
                <w14:scene3d>
                  <w14:camera w14:prst="orthographicFront"/>
                  <w14:lightRig w14:rig="threePt" w14:dir="t">
                    <w14:rot w14:lat="0" w14:lon="0" w14:rev="0"/>
                  </w14:lightRig>
                </w14:scene3d>
              </w:rPr>
              <w:t>3.19.3</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eastAsia="en-GB"/>
              </w:rPr>
              <w:t>Two fold</w:t>
            </w:r>
            <w:r w:rsidR="001313F9">
              <w:rPr>
                <w:noProof/>
                <w:webHidden/>
              </w:rPr>
              <w:tab/>
            </w:r>
            <w:r w:rsidR="001313F9">
              <w:rPr>
                <w:noProof/>
                <w:webHidden/>
              </w:rPr>
              <w:fldChar w:fldCharType="begin"/>
            </w:r>
            <w:r w:rsidR="001313F9">
              <w:rPr>
                <w:noProof/>
                <w:webHidden/>
              </w:rPr>
              <w:instrText xml:space="preserve"> PAGEREF _Toc370819290 \h </w:instrText>
            </w:r>
            <w:r w:rsidR="001313F9">
              <w:rPr>
                <w:noProof/>
                <w:webHidden/>
              </w:rPr>
            </w:r>
            <w:r w:rsidR="001313F9">
              <w:rPr>
                <w:noProof/>
                <w:webHidden/>
              </w:rPr>
              <w:fldChar w:fldCharType="separate"/>
            </w:r>
            <w:r w:rsidR="001313F9">
              <w:rPr>
                <w:noProof/>
                <w:webHidden/>
              </w:rPr>
              <w:t>151</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91" w:history="1">
            <w:r w:rsidR="001313F9" w:rsidRPr="00B8197B">
              <w:rPr>
                <w:rStyle w:val="Hyperlink"/>
                <w:noProof/>
                <w:lang w:eastAsia="en-GB"/>
                <w14:scene3d>
                  <w14:camera w14:prst="orthographicFront"/>
                  <w14:lightRig w14:rig="threePt" w14:dir="t">
                    <w14:rot w14:lat="0" w14:lon="0" w14:rev="0"/>
                  </w14:lightRig>
                </w14:scene3d>
              </w:rPr>
              <w:t>3.19.4</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Summary of agar diffusion assay procedures</w:t>
            </w:r>
            <w:r w:rsidR="001313F9">
              <w:rPr>
                <w:noProof/>
                <w:webHidden/>
              </w:rPr>
              <w:tab/>
            </w:r>
            <w:r w:rsidR="001313F9">
              <w:rPr>
                <w:noProof/>
                <w:webHidden/>
              </w:rPr>
              <w:fldChar w:fldCharType="begin"/>
            </w:r>
            <w:r w:rsidR="001313F9">
              <w:rPr>
                <w:noProof/>
                <w:webHidden/>
              </w:rPr>
              <w:instrText xml:space="preserve"> PAGEREF _Toc370819291 \h </w:instrText>
            </w:r>
            <w:r w:rsidR="001313F9">
              <w:rPr>
                <w:noProof/>
                <w:webHidden/>
              </w:rPr>
            </w:r>
            <w:r w:rsidR="001313F9">
              <w:rPr>
                <w:noProof/>
                <w:webHidden/>
              </w:rPr>
              <w:fldChar w:fldCharType="separate"/>
            </w:r>
            <w:r w:rsidR="001313F9">
              <w:rPr>
                <w:noProof/>
                <w:webHidden/>
              </w:rPr>
              <w:t>154</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92" w:history="1">
            <w:r w:rsidR="001313F9" w:rsidRPr="00B8197B">
              <w:rPr>
                <w:rStyle w:val="Hyperlink"/>
                <w:noProof/>
                <w:lang w:eastAsia="en-GB"/>
                <w14:scene3d>
                  <w14:camera w14:prst="orthographicFront"/>
                  <w14:lightRig w14:rig="threePt" w14:dir="t">
                    <w14:rot w14:lat="0" w14:lon="0" w14:rev="0"/>
                  </w14:lightRig>
                </w14:scene3d>
              </w:rPr>
              <w:t>3.19.5</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Preparation of test plates</w:t>
            </w:r>
            <w:r w:rsidR="001313F9">
              <w:rPr>
                <w:noProof/>
                <w:webHidden/>
              </w:rPr>
              <w:tab/>
            </w:r>
            <w:r w:rsidR="001313F9">
              <w:rPr>
                <w:noProof/>
                <w:webHidden/>
              </w:rPr>
              <w:fldChar w:fldCharType="begin"/>
            </w:r>
            <w:r w:rsidR="001313F9">
              <w:rPr>
                <w:noProof/>
                <w:webHidden/>
              </w:rPr>
              <w:instrText xml:space="preserve"> PAGEREF _Toc370819292 \h </w:instrText>
            </w:r>
            <w:r w:rsidR="001313F9">
              <w:rPr>
                <w:noProof/>
                <w:webHidden/>
              </w:rPr>
            </w:r>
            <w:r w:rsidR="001313F9">
              <w:rPr>
                <w:noProof/>
                <w:webHidden/>
              </w:rPr>
              <w:fldChar w:fldCharType="separate"/>
            </w:r>
            <w:r w:rsidR="001313F9">
              <w:rPr>
                <w:noProof/>
                <w:webHidden/>
              </w:rPr>
              <w:t>155</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93" w:history="1">
            <w:r w:rsidR="001313F9" w:rsidRPr="00B8197B">
              <w:rPr>
                <w:rStyle w:val="Hyperlink"/>
                <w:noProof/>
                <w:lang w:eastAsia="en-GB"/>
                <w14:scene3d>
                  <w14:camera w14:prst="orthographicFront"/>
                  <w14:lightRig w14:rig="threePt" w14:dir="t">
                    <w14:rot w14:lat="0" w14:lon="0" w14:rev="0"/>
                  </w14:lightRig>
                </w14:scene3d>
              </w:rPr>
              <w:t>3.19.6</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Inhibition zone</w:t>
            </w:r>
            <w:r w:rsidR="001313F9">
              <w:rPr>
                <w:noProof/>
                <w:webHidden/>
              </w:rPr>
              <w:tab/>
            </w:r>
            <w:r w:rsidR="001313F9">
              <w:rPr>
                <w:noProof/>
                <w:webHidden/>
              </w:rPr>
              <w:fldChar w:fldCharType="begin"/>
            </w:r>
            <w:r w:rsidR="001313F9">
              <w:rPr>
                <w:noProof/>
                <w:webHidden/>
              </w:rPr>
              <w:instrText xml:space="preserve"> PAGEREF _Toc370819293 \h </w:instrText>
            </w:r>
            <w:r w:rsidR="001313F9">
              <w:rPr>
                <w:noProof/>
                <w:webHidden/>
              </w:rPr>
            </w:r>
            <w:r w:rsidR="001313F9">
              <w:rPr>
                <w:noProof/>
                <w:webHidden/>
              </w:rPr>
              <w:fldChar w:fldCharType="separate"/>
            </w:r>
            <w:r w:rsidR="001313F9">
              <w:rPr>
                <w:noProof/>
                <w:webHidden/>
              </w:rPr>
              <w:t>155</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94" w:history="1">
            <w:r w:rsidR="001313F9" w:rsidRPr="00B8197B">
              <w:rPr>
                <w:rStyle w:val="Hyperlink"/>
                <w:noProof/>
                <w14:scene3d>
                  <w14:camera w14:prst="orthographicFront"/>
                  <w14:lightRig w14:rig="threePt" w14:dir="t">
                    <w14:rot w14:lat="0" w14:lon="0" w14:rev="0"/>
                  </w14:lightRig>
                </w14:scene3d>
              </w:rPr>
              <w:t>3.19.7</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Statistical analysis</w:t>
            </w:r>
            <w:r w:rsidR="001313F9">
              <w:rPr>
                <w:noProof/>
                <w:webHidden/>
              </w:rPr>
              <w:tab/>
            </w:r>
            <w:r w:rsidR="001313F9">
              <w:rPr>
                <w:noProof/>
                <w:webHidden/>
              </w:rPr>
              <w:fldChar w:fldCharType="begin"/>
            </w:r>
            <w:r w:rsidR="001313F9">
              <w:rPr>
                <w:noProof/>
                <w:webHidden/>
              </w:rPr>
              <w:instrText xml:space="preserve"> PAGEREF _Toc370819294 \h </w:instrText>
            </w:r>
            <w:r w:rsidR="001313F9">
              <w:rPr>
                <w:noProof/>
                <w:webHidden/>
              </w:rPr>
            </w:r>
            <w:r w:rsidR="001313F9">
              <w:rPr>
                <w:noProof/>
                <w:webHidden/>
              </w:rPr>
              <w:fldChar w:fldCharType="separate"/>
            </w:r>
            <w:r w:rsidR="001313F9">
              <w:rPr>
                <w:noProof/>
                <w:webHidden/>
              </w:rPr>
              <w:t>156</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95" w:history="1">
            <w:r w:rsidR="001313F9" w:rsidRPr="00B8197B">
              <w:rPr>
                <w:rStyle w:val="Hyperlink"/>
                <w:noProof/>
                <w14:scene3d>
                  <w14:camera w14:prst="orthographicFront"/>
                  <w14:lightRig w14:rig="threePt" w14:dir="t">
                    <w14:rot w14:lat="0" w14:lon="0" w14:rev="0"/>
                  </w14:lightRig>
                </w14:scene3d>
              </w:rPr>
              <w:t>3.20</w:t>
            </w:r>
            <w:r w:rsidR="001313F9">
              <w:rPr>
                <w:rFonts w:asciiTheme="minorHAnsi" w:eastAsiaTheme="minorEastAsia" w:hAnsiTheme="minorHAnsi" w:cstheme="minorBidi"/>
                <w:noProof/>
                <w:sz w:val="22"/>
                <w:szCs w:val="22"/>
                <w:lang w:eastAsia="en-GB"/>
              </w:rPr>
              <w:tab/>
            </w:r>
            <w:r w:rsidR="001313F9" w:rsidRPr="00B8197B">
              <w:rPr>
                <w:rStyle w:val="Hyperlink"/>
                <w:noProof/>
              </w:rPr>
              <w:t>Results</w:t>
            </w:r>
            <w:r w:rsidR="001313F9">
              <w:rPr>
                <w:noProof/>
                <w:webHidden/>
              </w:rPr>
              <w:tab/>
            </w:r>
            <w:r w:rsidR="001313F9">
              <w:rPr>
                <w:noProof/>
                <w:webHidden/>
              </w:rPr>
              <w:fldChar w:fldCharType="begin"/>
            </w:r>
            <w:r w:rsidR="001313F9">
              <w:rPr>
                <w:noProof/>
                <w:webHidden/>
              </w:rPr>
              <w:instrText xml:space="preserve"> PAGEREF _Toc370819295 \h </w:instrText>
            </w:r>
            <w:r w:rsidR="001313F9">
              <w:rPr>
                <w:noProof/>
                <w:webHidden/>
              </w:rPr>
            </w:r>
            <w:r w:rsidR="001313F9">
              <w:rPr>
                <w:noProof/>
                <w:webHidden/>
              </w:rPr>
              <w:fldChar w:fldCharType="separate"/>
            </w:r>
            <w:r w:rsidR="001313F9">
              <w:rPr>
                <w:noProof/>
                <w:webHidden/>
              </w:rPr>
              <w:t>157</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296" w:history="1">
            <w:r w:rsidR="001313F9" w:rsidRPr="00B8197B">
              <w:rPr>
                <w:rStyle w:val="Hyperlink"/>
                <w:noProof/>
                <w14:scene3d>
                  <w14:camera w14:prst="orthographicFront"/>
                  <w14:lightRig w14:rig="threePt" w14:dir="t">
                    <w14:rot w14:lat="0" w14:lon="0" w14:rev="0"/>
                  </w14:lightRig>
                </w14:scene3d>
              </w:rPr>
              <w:t>3.20.1</w:t>
            </w:r>
            <w:r w:rsidR="001313F9">
              <w:rPr>
                <w:rFonts w:asciiTheme="minorHAnsi" w:eastAsiaTheme="minorEastAsia" w:hAnsiTheme="minorHAnsi" w:cstheme="minorBidi"/>
                <w:noProof/>
                <w:sz w:val="22"/>
                <w:szCs w:val="22"/>
                <w:lang w:eastAsia="en-GB"/>
              </w:rPr>
              <w:tab/>
            </w:r>
            <w:r w:rsidR="001313F9" w:rsidRPr="00B8197B">
              <w:rPr>
                <w:rStyle w:val="Hyperlink"/>
                <w:noProof/>
              </w:rPr>
              <w:t>Standard growth curves.</w:t>
            </w:r>
            <w:r w:rsidR="001313F9">
              <w:rPr>
                <w:noProof/>
                <w:webHidden/>
              </w:rPr>
              <w:tab/>
            </w:r>
            <w:r w:rsidR="001313F9">
              <w:rPr>
                <w:noProof/>
                <w:webHidden/>
              </w:rPr>
              <w:fldChar w:fldCharType="begin"/>
            </w:r>
            <w:r w:rsidR="001313F9">
              <w:rPr>
                <w:noProof/>
                <w:webHidden/>
              </w:rPr>
              <w:instrText xml:space="preserve"> PAGEREF _Toc370819296 \h </w:instrText>
            </w:r>
            <w:r w:rsidR="001313F9">
              <w:rPr>
                <w:noProof/>
                <w:webHidden/>
              </w:rPr>
            </w:r>
            <w:r w:rsidR="001313F9">
              <w:rPr>
                <w:noProof/>
                <w:webHidden/>
              </w:rPr>
              <w:fldChar w:fldCharType="separate"/>
            </w:r>
            <w:r w:rsidR="001313F9">
              <w:rPr>
                <w:noProof/>
                <w:webHidden/>
              </w:rPr>
              <w:t>157</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97" w:history="1">
            <w:r w:rsidR="001313F9" w:rsidRPr="00B8197B">
              <w:rPr>
                <w:rStyle w:val="Hyperlink"/>
                <w:noProof/>
                <w:lang w:val="en-US"/>
                <w14:scene3d>
                  <w14:camera w14:prst="orthographicFront"/>
                  <w14:lightRig w14:rig="threePt" w14:dir="t">
                    <w14:rot w14:lat="0" w14:lon="0" w14:rev="0"/>
                  </w14:lightRig>
                </w14:scene3d>
              </w:rPr>
              <w:t>3.1</w:t>
            </w:r>
            <w:r w:rsidR="001313F9">
              <w:rPr>
                <w:rFonts w:asciiTheme="minorHAnsi" w:eastAsiaTheme="minorEastAsia" w:hAnsiTheme="minorHAnsi" w:cstheme="minorBidi"/>
                <w:noProof/>
                <w:sz w:val="22"/>
                <w:szCs w:val="22"/>
                <w:lang w:eastAsia="en-GB"/>
              </w:rPr>
              <w:tab/>
            </w:r>
            <w:r w:rsidR="001313F9" w:rsidRPr="00B8197B">
              <w:rPr>
                <w:rStyle w:val="Hyperlink"/>
                <w:noProof/>
              </w:rPr>
              <w:t>Statistical Analysis of the data</w:t>
            </w:r>
            <w:r w:rsidR="001313F9">
              <w:rPr>
                <w:noProof/>
                <w:webHidden/>
              </w:rPr>
              <w:tab/>
            </w:r>
            <w:r w:rsidR="001313F9">
              <w:rPr>
                <w:noProof/>
                <w:webHidden/>
              </w:rPr>
              <w:fldChar w:fldCharType="begin"/>
            </w:r>
            <w:r w:rsidR="001313F9">
              <w:rPr>
                <w:noProof/>
                <w:webHidden/>
              </w:rPr>
              <w:instrText xml:space="preserve"> PAGEREF _Toc370819297 \h </w:instrText>
            </w:r>
            <w:r w:rsidR="001313F9">
              <w:rPr>
                <w:noProof/>
                <w:webHidden/>
              </w:rPr>
            </w:r>
            <w:r w:rsidR="001313F9">
              <w:rPr>
                <w:noProof/>
                <w:webHidden/>
              </w:rPr>
              <w:fldChar w:fldCharType="separate"/>
            </w:r>
            <w:r w:rsidR="001313F9">
              <w:rPr>
                <w:noProof/>
                <w:webHidden/>
              </w:rPr>
              <w:t>163</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298" w:history="1">
            <w:r w:rsidR="001313F9" w:rsidRPr="00B8197B">
              <w:rPr>
                <w:rStyle w:val="Hyperlink"/>
                <w:noProof/>
                <w:lang w:eastAsia="en-GB"/>
                <w14:scene3d>
                  <w14:camera w14:prst="orthographicFront"/>
                  <w14:lightRig w14:rig="threePt" w14:dir="t">
                    <w14:rot w14:lat="0" w14:lon="0" w14:rev="0"/>
                  </w14:lightRig>
                </w14:scene3d>
              </w:rPr>
              <w:t>3.1.1</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Comparison of antibacterial effectiveness of the test materials and antibiotics</w:t>
            </w:r>
            <w:r w:rsidR="001313F9">
              <w:rPr>
                <w:noProof/>
                <w:webHidden/>
              </w:rPr>
              <w:tab/>
            </w:r>
            <w:r w:rsidR="001313F9">
              <w:rPr>
                <w:noProof/>
                <w:webHidden/>
              </w:rPr>
              <w:fldChar w:fldCharType="begin"/>
            </w:r>
            <w:r w:rsidR="001313F9">
              <w:rPr>
                <w:noProof/>
                <w:webHidden/>
              </w:rPr>
              <w:instrText xml:space="preserve"> PAGEREF _Toc370819298 \h </w:instrText>
            </w:r>
            <w:r w:rsidR="001313F9">
              <w:rPr>
                <w:noProof/>
                <w:webHidden/>
              </w:rPr>
            </w:r>
            <w:r w:rsidR="001313F9">
              <w:rPr>
                <w:noProof/>
                <w:webHidden/>
              </w:rPr>
              <w:fldChar w:fldCharType="separate"/>
            </w:r>
            <w:r w:rsidR="001313F9">
              <w:rPr>
                <w:noProof/>
                <w:webHidden/>
              </w:rPr>
              <w:t>164</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299" w:history="1">
            <w:r w:rsidR="001313F9" w:rsidRPr="00B8197B">
              <w:rPr>
                <w:rStyle w:val="Hyperlink"/>
                <w:noProof/>
                <w:lang w:val="en-US"/>
                <w14:scene3d>
                  <w14:camera w14:prst="orthographicFront"/>
                  <w14:lightRig w14:rig="threePt" w14:dir="t">
                    <w14:rot w14:lat="0" w14:lon="0" w14:rev="0"/>
                  </w14:lightRig>
                </w14:scene3d>
              </w:rPr>
              <w:t>3.2</w:t>
            </w:r>
            <w:r w:rsidR="001313F9">
              <w:rPr>
                <w:rFonts w:asciiTheme="minorHAnsi" w:eastAsiaTheme="minorEastAsia" w:hAnsiTheme="minorHAnsi" w:cstheme="minorBidi"/>
                <w:noProof/>
                <w:sz w:val="22"/>
                <w:szCs w:val="22"/>
                <w:lang w:eastAsia="en-GB"/>
              </w:rPr>
              <w:tab/>
            </w:r>
            <w:r w:rsidR="001313F9" w:rsidRPr="00B8197B">
              <w:rPr>
                <w:rStyle w:val="Hyperlink"/>
                <w:noProof/>
                <w:lang w:val="en-US"/>
              </w:rPr>
              <w:t>Discussion</w:t>
            </w:r>
            <w:r w:rsidR="001313F9">
              <w:rPr>
                <w:noProof/>
                <w:webHidden/>
              </w:rPr>
              <w:tab/>
            </w:r>
            <w:r w:rsidR="001313F9">
              <w:rPr>
                <w:noProof/>
                <w:webHidden/>
              </w:rPr>
              <w:fldChar w:fldCharType="begin"/>
            </w:r>
            <w:r w:rsidR="001313F9">
              <w:rPr>
                <w:noProof/>
                <w:webHidden/>
              </w:rPr>
              <w:instrText xml:space="preserve"> PAGEREF _Toc370819299 \h </w:instrText>
            </w:r>
            <w:r w:rsidR="001313F9">
              <w:rPr>
                <w:noProof/>
                <w:webHidden/>
              </w:rPr>
            </w:r>
            <w:r w:rsidR="001313F9">
              <w:rPr>
                <w:noProof/>
                <w:webHidden/>
              </w:rPr>
              <w:fldChar w:fldCharType="separate"/>
            </w:r>
            <w:r w:rsidR="001313F9">
              <w:rPr>
                <w:noProof/>
                <w:webHidden/>
              </w:rPr>
              <w:t>181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00" w:history="1">
            <w:r w:rsidR="001313F9" w:rsidRPr="00B8197B">
              <w:rPr>
                <w:rStyle w:val="Hyperlink"/>
                <w:noProof/>
                <w:lang w:eastAsia="en-GB"/>
                <w14:scene3d>
                  <w14:camera w14:prst="orthographicFront"/>
                  <w14:lightRig w14:rig="threePt" w14:dir="t">
                    <w14:rot w14:lat="0" w14:lon="0" w14:rev="0"/>
                  </w14:lightRig>
                </w14:scene3d>
              </w:rPr>
              <w:t>3.2.1</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Bacterial selection</w:t>
            </w:r>
            <w:r w:rsidR="001313F9">
              <w:rPr>
                <w:noProof/>
                <w:webHidden/>
              </w:rPr>
              <w:tab/>
            </w:r>
            <w:r w:rsidR="001313F9">
              <w:rPr>
                <w:noProof/>
                <w:webHidden/>
              </w:rPr>
              <w:fldChar w:fldCharType="begin"/>
            </w:r>
            <w:r w:rsidR="001313F9">
              <w:rPr>
                <w:noProof/>
                <w:webHidden/>
              </w:rPr>
              <w:instrText xml:space="preserve"> PAGEREF _Toc370819300 \h </w:instrText>
            </w:r>
            <w:r w:rsidR="001313F9">
              <w:rPr>
                <w:noProof/>
                <w:webHidden/>
              </w:rPr>
            </w:r>
            <w:r w:rsidR="001313F9">
              <w:rPr>
                <w:noProof/>
                <w:webHidden/>
              </w:rPr>
              <w:fldChar w:fldCharType="separate"/>
            </w:r>
            <w:r w:rsidR="001313F9">
              <w:rPr>
                <w:noProof/>
                <w:webHidden/>
              </w:rPr>
              <w:t>181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01" w:history="1">
            <w:r w:rsidR="001313F9" w:rsidRPr="00B8197B">
              <w:rPr>
                <w:rStyle w:val="Hyperlink"/>
                <w:noProof/>
                <w14:scene3d>
                  <w14:camera w14:prst="orthographicFront"/>
                  <w14:lightRig w14:rig="threePt" w14:dir="t">
                    <w14:rot w14:lat="0" w14:lon="0" w14:rev="0"/>
                  </w14:lightRig>
                </w14:scene3d>
              </w:rPr>
              <w:t>3.2.2</w:t>
            </w:r>
            <w:r w:rsidR="001313F9">
              <w:rPr>
                <w:rFonts w:asciiTheme="minorHAnsi" w:eastAsiaTheme="minorEastAsia" w:hAnsiTheme="minorHAnsi" w:cstheme="minorBidi"/>
                <w:noProof/>
                <w:sz w:val="22"/>
                <w:szCs w:val="22"/>
                <w:lang w:eastAsia="en-GB"/>
              </w:rPr>
              <w:tab/>
            </w:r>
            <w:r w:rsidR="001313F9" w:rsidRPr="00B8197B">
              <w:rPr>
                <w:rStyle w:val="Hyperlink"/>
                <w:noProof/>
              </w:rPr>
              <w:t>Calcium hydroxide for root canal disinfection</w:t>
            </w:r>
            <w:r w:rsidR="001313F9">
              <w:rPr>
                <w:noProof/>
                <w:webHidden/>
              </w:rPr>
              <w:tab/>
            </w:r>
            <w:r w:rsidR="001313F9">
              <w:rPr>
                <w:noProof/>
                <w:webHidden/>
              </w:rPr>
              <w:fldChar w:fldCharType="begin"/>
            </w:r>
            <w:r w:rsidR="001313F9">
              <w:rPr>
                <w:noProof/>
                <w:webHidden/>
              </w:rPr>
              <w:instrText xml:space="preserve"> PAGEREF _Toc370819301 \h </w:instrText>
            </w:r>
            <w:r w:rsidR="001313F9">
              <w:rPr>
                <w:noProof/>
                <w:webHidden/>
              </w:rPr>
            </w:r>
            <w:r w:rsidR="001313F9">
              <w:rPr>
                <w:noProof/>
                <w:webHidden/>
              </w:rPr>
              <w:fldChar w:fldCharType="separate"/>
            </w:r>
            <w:r w:rsidR="001313F9">
              <w:rPr>
                <w:noProof/>
                <w:webHidden/>
              </w:rPr>
              <w:t>182</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02" w:history="1">
            <w:r w:rsidR="001313F9" w:rsidRPr="00B8197B">
              <w:rPr>
                <w:rStyle w:val="Hyperlink"/>
                <w:noProof/>
                <w14:scene3d>
                  <w14:camera w14:prst="orthographicFront"/>
                  <w14:lightRig w14:rig="threePt" w14:dir="t">
                    <w14:rot w14:lat="0" w14:lon="0" w14:rev="0"/>
                  </w14:lightRig>
                </w14:scene3d>
              </w:rPr>
              <w:t>3.2.3</w:t>
            </w:r>
            <w:r w:rsidR="001313F9">
              <w:rPr>
                <w:rFonts w:asciiTheme="minorHAnsi" w:eastAsiaTheme="minorEastAsia" w:hAnsiTheme="minorHAnsi" w:cstheme="minorBidi"/>
                <w:noProof/>
                <w:sz w:val="22"/>
                <w:szCs w:val="22"/>
                <w:lang w:eastAsia="en-GB"/>
              </w:rPr>
              <w:tab/>
            </w:r>
            <w:r w:rsidR="001313F9" w:rsidRPr="00B8197B">
              <w:rPr>
                <w:rStyle w:val="Hyperlink"/>
                <w:noProof/>
              </w:rPr>
              <w:t>Mineral trioxide aggregates MTA</w:t>
            </w:r>
            <w:r w:rsidR="001313F9">
              <w:rPr>
                <w:noProof/>
                <w:webHidden/>
              </w:rPr>
              <w:tab/>
            </w:r>
            <w:r w:rsidR="001313F9">
              <w:rPr>
                <w:noProof/>
                <w:webHidden/>
              </w:rPr>
              <w:fldChar w:fldCharType="begin"/>
            </w:r>
            <w:r w:rsidR="001313F9">
              <w:rPr>
                <w:noProof/>
                <w:webHidden/>
              </w:rPr>
              <w:instrText xml:space="preserve"> PAGEREF _Toc370819302 \h </w:instrText>
            </w:r>
            <w:r w:rsidR="001313F9">
              <w:rPr>
                <w:noProof/>
                <w:webHidden/>
              </w:rPr>
            </w:r>
            <w:r w:rsidR="001313F9">
              <w:rPr>
                <w:noProof/>
                <w:webHidden/>
              </w:rPr>
              <w:fldChar w:fldCharType="separate"/>
            </w:r>
            <w:r w:rsidR="001313F9">
              <w:rPr>
                <w:noProof/>
                <w:webHidden/>
              </w:rPr>
              <w:t>186</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03" w:history="1">
            <w:r w:rsidR="001313F9" w:rsidRPr="00B8197B">
              <w:rPr>
                <w:rStyle w:val="Hyperlink"/>
                <w:noProof/>
                <w14:scene3d>
                  <w14:camera w14:prst="orthographicFront"/>
                  <w14:lightRig w14:rig="threePt" w14:dir="t">
                    <w14:rot w14:lat="0" w14:lon="0" w14:rev="0"/>
                  </w14:lightRig>
                </w14:scene3d>
              </w:rPr>
              <w:t>3.2.4</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Antibiotics</w:t>
            </w:r>
            <w:r w:rsidR="001313F9">
              <w:rPr>
                <w:noProof/>
                <w:webHidden/>
              </w:rPr>
              <w:tab/>
            </w:r>
            <w:r w:rsidR="001313F9">
              <w:rPr>
                <w:noProof/>
                <w:webHidden/>
              </w:rPr>
              <w:fldChar w:fldCharType="begin"/>
            </w:r>
            <w:r w:rsidR="001313F9">
              <w:rPr>
                <w:noProof/>
                <w:webHidden/>
              </w:rPr>
              <w:instrText xml:space="preserve"> PAGEREF _Toc370819303 \h </w:instrText>
            </w:r>
            <w:r w:rsidR="001313F9">
              <w:rPr>
                <w:noProof/>
                <w:webHidden/>
              </w:rPr>
            </w:r>
            <w:r w:rsidR="001313F9">
              <w:rPr>
                <w:noProof/>
                <w:webHidden/>
              </w:rPr>
              <w:fldChar w:fldCharType="separate"/>
            </w:r>
            <w:r w:rsidR="001313F9">
              <w:rPr>
                <w:noProof/>
                <w:webHidden/>
              </w:rPr>
              <w:t>189</w:t>
            </w:r>
            <w:r w:rsidR="001313F9">
              <w:rPr>
                <w:noProof/>
                <w:webHidden/>
              </w:rPr>
              <w:fldChar w:fldCharType="end"/>
            </w:r>
          </w:hyperlink>
        </w:p>
        <w:p w:rsidR="001313F9" w:rsidRDefault="00A9701A">
          <w:pPr>
            <w:pStyle w:val="TOC1"/>
            <w:tabs>
              <w:tab w:val="left" w:pos="480"/>
              <w:tab w:val="right" w:leader="dot" w:pos="8330"/>
            </w:tabs>
            <w:rPr>
              <w:rFonts w:asciiTheme="minorHAnsi" w:eastAsiaTheme="minorEastAsia" w:hAnsiTheme="minorHAnsi" w:cstheme="minorBidi"/>
              <w:noProof/>
              <w:sz w:val="22"/>
              <w:szCs w:val="22"/>
              <w:lang w:eastAsia="en-GB"/>
            </w:rPr>
          </w:pPr>
          <w:hyperlink w:anchor="_Toc370819304" w:history="1">
            <w:r w:rsidR="001313F9" w:rsidRPr="00B8197B">
              <w:rPr>
                <w:rStyle w:val="Hyperlink"/>
                <w:noProof/>
                <w:lang w:val="en-US"/>
                <w14:scene3d>
                  <w14:camera w14:prst="orthographicFront"/>
                  <w14:lightRig w14:rig="threePt" w14:dir="t">
                    <w14:rot w14:lat="0" w14:lon="0" w14:rev="0"/>
                  </w14:lightRig>
                </w14:scene3d>
              </w:rPr>
              <w:t>4.</w:t>
            </w:r>
            <w:r w:rsidR="001313F9">
              <w:rPr>
                <w:rFonts w:asciiTheme="minorHAnsi" w:eastAsiaTheme="minorEastAsia" w:hAnsiTheme="minorHAnsi" w:cstheme="minorBidi"/>
                <w:noProof/>
                <w:sz w:val="22"/>
                <w:szCs w:val="22"/>
                <w:lang w:eastAsia="en-GB"/>
              </w:rPr>
              <w:tab/>
            </w:r>
            <w:r w:rsidR="001313F9" w:rsidRPr="00B8197B">
              <w:rPr>
                <w:rStyle w:val="Hyperlink"/>
                <w:noProof/>
                <w:lang w:val="en-US"/>
              </w:rPr>
              <w:t>Chapter 4</w:t>
            </w:r>
            <w:r w:rsidR="001313F9">
              <w:rPr>
                <w:noProof/>
                <w:webHidden/>
              </w:rPr>
              <w:tab/>
            </w:r>
            <w:r w:rsidR="001313F9">
              <w:rPr>
                <w:noProof/>
                <w:webHidden/>
              </w:rPr>
              <w:fldChar w:fldCharType="begin"/>
            </w:r>
            <w:r w:rsidR="001313F9">
              <w:rPr>
                <w:noProof/>
                <w:webHidden/>
              </w:rPr>
              <w:instrText xml:space="preserve"> PAGEREF _Toc370819304 \h </w:instrText>
            </w:r>
            <w:r w:rsidR="001313F9">
              <w:rPr>
                <w:noProof/>
                <w:webHidden/>
              </w:rPr>
            </w:r>
            <w:r w:rsidR="001313F9">
              <w:rPr>
                <w:noProof/>
                <w:webHidden/>
              </w:rPr>
              <w:fldChar w:fldCharType="separate"/>
            </w:r>
            <w:r w:rsidR="001313F9">
              <w:rPr>
                <w:noProof/>
                <w:webHidden/>
              </w:rPr>
              <w:t>191</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306" w:history="1">
            <w:r w:rsidR="001313F9" w:rsidRPr="00B8197B">
              <w:rPr>
                <w:rStyle w:val="Hyperlink"/>
                <w:noProof/>
                <w14:scene3d>
                  <w14:camera w14:prst="orthographicFront"/>
                  <w14:lightRig w14:rig="threePt" w14:dir="t">
                    <w14:rot w14:lat="0" w14:lon="0" w14:rev="0"/>
                  </w14:lightRig>
                </w14:scene3d>
              </w:rPr>
              <w:t>4.1</w:t>
            </w:r>
            <w:r w:rsidR="001313F9">
              <w:rPr>
                <w:rFonts w:asciiTheme="minorHAnsi" w:eastAsiaTheme="minorEastAsia" w:hAnsiTheme="minorHAnsi" w:cstheme="minorBidi"/>
                <w:noProof/>
                <w:sz w:val="22"/>
                <w:szCs w:val="22"/>
                <w:lang w:eastAsia="en-GB"/>
              </w:rPr>
              <w:tab/>
            </w:r>
            <w:r w:rsidR="001313F9" w:rsidRPr="00B8197B">
              <w:rPr>
                <w:rStyle w:val="Hyperlink"/>
                <w:noProof/>
              </w:rPr>
              <w:t>Literature review:</w:t>
            </w:r>
            <w:r w:rsidR="001313F9">
              <w:rPr>
                <w:noProof/>
                <w:webHidden/>
              </w:rPr>
              <w:tab/>
            </w:r>
            <w:r w:rsidR="001313F9">
              <w:rPr>
                <w:noProof/>
                <w:webHidden/>
              </w:rPr>
              <w:fldChar w:fldCharType="begin"/>
            </w:r>
            <w:r w:rsidR="001313F9">
              <w:rPr>
                <w:noProof/>
                <w:webHidden/>
              </w:rPr>
              <w:instrText xml:space="preserve"> PAGEREF _Toc370819306 \h </w:instrText>
            </w:r>
            <w:r w:rsidR="001313F9">
              <w:rPr>
                <w:noProof/>
                <w:webHidden/>
              </w:rPr>
            </w:r>
            <w:r w:rsidR="001313F9">
              <w:rPr>
                <w:noProof/>
                <w:webHidden/>
              </w:rPr>
              <w:fldChar w:fldCharType="separate"/>
            </w:r>
            <w:r w:rsidR="001313F9">
              <w:rPr>
                <w:noProof/>
                <w:webHidden/>
              </w:rPr>
              <w:t>192</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07" w:history="1">
            <w:r w:rsidR="001313F9" w:rsidRPr="00B8197B">
              <w:rPr>
                <w:rStyle w:val="Hyperlink"/>
                <w:noProof/>
                <w:lang w:eastAsia="en-GB"/>
                <w14:scene3d>
                  <w14:camera w14:prst="orthographicFront"/>
                  <w14:lightRig w14:rig="threePt" w14:dir="t">
                    <w14:rot w14:lat="0" w14:lon="0" w14:rev="0"/>
                  </w14:lightRig>
                </w14:scene3d>
              </w:rPr>
              <w:t>4.1.1</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Background of revascularization/regenerative endodontic technique.</w:t>
            </w:r>
            <w:r w:rsidR="001313F9">
              <w:rPr>
                <w:noProof/>
                <w:webHidden/>
              </w:rPr>
              <w:tab/>
            </w:r>
            <w:r w:rsidR="001313F9">
              <w:rPr>
                <w:noProof/>
                <w:webHidden/>
              </w:rPr>
              <w:fldChar w:fldCharType="begin"/>
            </w:r>
            <w:r w:rsidR="001313F9">
              <w:rPr>
                <w:noProof/>
                <w:webHidden/>
              </w:rPr>
              <w:instrText xml:space="preserve"> PAGEREF _Toc370819307 \h </w:instrText>
            </w:r>
            <w:r w:rsidR="001313F9">
              <w:rPr>
                <w:noProof/>
                <w:webHidden/>
              </w:rPr>
            </w:r>
            <w:r w:rsidR="001313F9">
              <w:rPr>
                <w:noProof/>
                <w:webHidden/>
              </w:rPr>
              <w:fldChar w:fldCharType="separate"/>
            </w:r>
            <w:r w:rsidR="001313F9">
              <w:rPr>
                <w:noProof/>
                <w:webHidden/>
              </w:rPr>
              <w:t>192</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08" w:history="1">
            <w:r w:rsidR="001313F9" w:rsidRPr="00B8197B">
              <w:rPr>
                <w:rStyle w:val="Hyperlink"/>
                <w:noProof/>
                <w:lang w:eastAsia="en-GB"/>
                <w14:scene3d>
                  <w14:camera w14:prst="orthographicFront"/>
                  <w14:lightRig w14:rig="threePt" w14:dir="t">
                    <w14:rot w14:lat="0" w14:lon="0" w14:rev="0"/>
                  </w14:lightRig>
                </w14:scene3d>
              </w:rPr>
              <w:t>4.1.2</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Pulp regenerative treatment</w:t>
            </w:r>
            <w:r w:rsidR="001313F9">
              <w:rPr>
                <w:noProof/>
                <w:webHidden/>
              </w:rPr>
              <w:tab/>
            </w:r>
            <w:r w:rsidR="001313F9">
              <w:rPr>
                <w:noProof/>
                <w:webHidden/>
              </w:rPr>
              <w:fldChar w:fldCharType="begin"/>
            </w:r>
            <w:r w:rsidR="001313F9">
              <w:rPr>
                <w:noProof/>
                <w:webHidden/>
              </w:rPr>
              <w:instrText xml:space="preserve"> PAGEREF _Toc370819308 \h </w:instrText>
            </w:r>
            <w:r w:rsidR="001313F9">
              <w:rPr>
                <w:noProof/>
                <w:webHidden/>
              </w:rPr>
            </w:r>
            <w:r w:rsidR="001313F9">
              <w:rPr>
                <w:noProof/>
                <w:webHidden/>
              </w:rPr>
              <w:fldChar w:fldCharType="separate"/>
            </w:r>
            <w:r w:rsidR="001313F9">
              <w:rPr>
                <w:noProof/>
                <w:webHidden/>
              </w:rPr>
              <w:t>193</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09" w:history="1">
            <w:r w:rsidR="001313F9" w:rsidRPr="00B8197B">
              <w:rPr>
                <w:rStyle w:val="Hyperlink"/>
                <w:noProof/>
                <w:lang w:eastAsia="en-GB"/>
                <w14:scene3d>
                  <w14:camera w14:prst="orthographicFront"/>
                  <w14:lightRig w14:rig="threePt" w14:dir="t">
                    <w14:rot w14:lat="0" w14:lon="0" w14:rev="0"/>
                  </w14:lightRig>
                </w14:scene3d>
              </w:rPr>
              <w:t>4.1.3</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Stem cells</w:t>
            </w:r>
            <w:r w:rsidR="001313F9">
              <w:rPr>
                <w:noProof/>
                <w:webHidden/>
              </w:rPr>
              <w:tab/>
            </w:r>
            <w:r w:rsidR="001313F9">
              <w:rPr>
                <w:noProof/>
                <w:webHidden/>
              </w:rPr>
              <w:fldChar w:fldCharType="begin"/>
            </w:r>
            <w:r w:rsidR="001313F9">
              <w:rPr>
                <w:noProof/>
                <w:webHidden/>
              </w:rPr>
              <w:instrText xml:space="preserve"> PAGEREF _Toc370819309 \h </w:instrText>
            </w:r>
            <w:r w:rsidR="001313F9">
              <w:rPr>
                <w:noProof/>
                <w:webHidden/>
              </w:rPr>
            </w:r>
            <w:r w:rsidR="001313F9">
              <w:rPr>
                <w:noProof/>
                <w:webHidden/>
              </w:rPr>
              <w:fldChar w:fldCharType="separate"/>
            </w:r>
            <w:r w:rsidR="001313F9">
              <w:rPr>
                <w:noProof/>
                <w:webHidden/>
              </w:rPr>
              <w:t>193</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10" w:history="1">
            <w:r w:rsidR="001313F9" w:rsidRPr="00B8197B">
              <w:rPr>
                <w:rStyle w:val="Hyperlink"/>
                <w:noProof/>
                <w:lang w:eastAsia="en-GB"/>
                <w14:scene3d>
                  <w14:camera w14:prst="orthographicFront"/>
                  <w14:lightRig w14:rig="threePt" w14:dir="t">
                    <w14:rot w14:lat="0" w14:lon="0" w14:rev="0"/>
                  </w14:lightRig>
                </w14:scene3d>
              </w:rPr>
              <w:t>4.1.4</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Revascularization theory Shah et al., (2008)</w:t>
            </w:r>
            <w:r w:rsidR="001313F9">
              <w:rPr>
                <w:noProof/>
                <w:webHidden/>
              </w:rPr>
              <w:tab/>
            </w:r>
            <w:r w:rsidR="001313F9">
              <w:rPr>
                <w:noProof/>
                <w:webHidden/>
              </w:rPr>
              <w:fldChar w:fldCharType="begin"/>
            </w:r>
            <w:r w:rsidR="001313F9">
              <w:rPr>
                <w:noProof/>
                <w:webHidden/>
              </w:rPr>
              <w:instrText xml:space="preserve"> PAGEREF _Toc370819310 \h </w:instrText>
            </w:r>
            <w:r w:rsidR="001313F9">
              <w:rPr>
                <w:noProof/>
                <w:webHidden/>
              </w:rPr>
            </w:r>
            <w:r w:rsidR="001313F9">
              <w:rPr>
                <w:noProof/>
                <w:webHidden/>
              </w:rPr>
              <w:fldChar w:fldCharType="separate"/>
            </w:r>
            <w:r w:rsidR="001313F9">
              <w:rPr>
                <w:noProof/>
                <w:webHidden/>
              </w:rPr>
              <w:t>199</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11" w:history="1">
            <w:r w:rsidR="001313F9" w:rsidRPr="00B8197B">
              <w:rPr>
                <w:rStyle w:val="Hyperlink"/>
                <w:noProof/>
                <w:lang w:eastAsia="en-GB"/>
                <w14:scene3d>
                  <w14:camera w14:prst="orthographicFront"/>
                  <w14:lightRig w14:rig="threePt" w14:dir="t">
                    <w14:rot w14:lat="0" w14:lon="0" w14:rev="0"/>
                  </w14:lightRig>
                </w14:scene3d>
              </w:rPr>
              <w:t>4.1.5</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Medicaments that have been used for  irrigation and disinfection of the root canals</w:t>
            </w:r>
            <w:r w:rsidR="001313F9">
              <w:rPr>
                <w:noProof/>
                <w:webHidden/>
              </w:rPr>
              <w:tab/>
            </w:r>
            <w:r w:rsidR="001313F9">
              <w:rPr>
                <w:noProof/>
                <w:webHidden/>
              </w:rPr>
              <w:fldChar w:fldCharType="begin"/>
            </w:r>
            <w:r w:rsidR="001313F9">
              <w:rPr>
                <w:noProof/>
                <w:webHidden/>
              </w:rPr>
              <w:instrText xml:space="preserve"> PAGEREF _Toc370819311 \h </w:instrText>
            </w:r>
            <w:r w:rsidR="001313F9">
              <w:rPr>
                <w:noProof/>
                <w:webHidden/>
              </w:rPr>
            </w:r>
            <w:r w:rsidR="001313F9">
              <w:rPr>
                <w:noProof/>
                <w:webHidden/>
              </w:rPr>
              <w:fldChar w:fldCharType="separate"/>
            </w:r>
            <w:r w:rsidR="001313F9">
              <w:rPr>
                <w:noProof/>
                <w:webHidden/>
              </w:rPr>
              <w:t>201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12" w:history="1">
            <w:r w:rsidR="001313F9" w:rsidRPr="00B8197B">
              <w:rPr>
                <w:rStyle w:val="Hyperlink"/>
                <w:rFonts w:eastAsia="Times New Roman" w:cs="Arial"/>
                <w:noProof/>
                <w:lang w:eastAsia="zh-CN"/>
                <w14:scene3d>
                  <w14:camera w14:prst="orthographicFront"/>
                  <w14:lightRig w14:rig="threePt" w14:dir="t">
                    <w14:rot w14:lat="0" w14:lon="0" w14:rev="0"/>
                  </w14:lightRig>
                </w14:scene3d>
              </w:rPr>
              <w:t>4.1.6</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 xml:space="preserve">Success of regenerative endodontic technique. (Hargreaves </w:t>
            </w:r>
            <w:r w:rsidR="001313F9" w:rsidRPr="00B8197B">
              <w:rPr>
                <w:rStyle w:val="Hyperlink"/>
                <w:i/>
                <w:iCs/>
                <w:noProof/>
                <w:lang w:eastAsia="en-GB"/>
              </w:rPr>
              <w:t>et al.,</w:t>
            </w:r>
            <w:r w:rsidR="001313F9" w:rsidRPr="00B8197B">
              <w:rPr>
                <w:rStyle w:val="Hyperlink"/>
                <w:noProof/>
                <w:lang w:eastAsia="en-GB"/>
              </w:rPr>
              <w:t xml:space="preserve"> 2008)</w:t>
            </w:r>
            <w:r w:rsidR="001313F9">
              <w:rPr>
                <w:noProof/>
                <w:webHidden/>
              </w:rPr>
              <w:tab/>
            </w:r>
            <w:r w:rsidR="001313F9">
              <w:rPr>
                <w:noProof/>
                <w:webHidden/>
              </w:rPr>
              <w:fldChar w:fldCharType="begin"/>
            </w:r>
            <w:r w:rsidR="001313F9">
              <w:rPr>
                <w:noProof/>
                <w:webHidden/>
              </w:rPr>
              <w:instrText xml:space="preserve"> PAGEREF _Toc370819312 \h </w:instrText>
            </w:r>
            <w:r w:rsidR="001313F9">
              <w:rPr>
                <w:noProof/>
                <w:webHidden/>
              </w:rPr>
            </w:r>
            <w:r w:rsidR="001313F9">
              <w:rPr>
                <w:noProof/>
                <w:webHidden/>
              </w:rPr>
              <w:fldChar w:fldCharType="separate"/>
            </w:r>
            <w:r w:rsidR="001313F9">
              <w:rPr>
                <w:noProof/>
                <w:webHidden/>
              </w:rPr>
              <w:t>202</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13" w:history="1">
            <w:r w:rsidR="001313F9" w:rsidRPr="00B8197B">
              <w:rPr>
                <w:rStyle w:val="Hyperlink"/>
                <w:noProof/>
                <w:lang w:eastAsia="en-GB"/>
                <w14:scene3d>
                  <w14:camera w14:prst="orthographicFront"/>
                  <w14:lightRig w14:rig="threePt" w14:dir="t">
                    <w14:rot w14:lat="0" w14:lon="0" w14:rev="0"/>
                  </w14:lightRig>
                </w14:scene3d>
              </w:rPr>
              <w:t>4.1.7</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Pulp revascularization or pulp regeneration?</w:t>
            </w:r>
            <w:r w:rsidR="001313F9">
              <w:rPr>
                <w:noProof/>
                <w:webHidden/>
              </w:rPr>
              <w:tab/>
            </w:r>
            <w:r w:rsidR="001313F9">
              <w:rPr>
                <w:noProof/>
                <w:webHidden/>
              </w:rPr>
              <w:fldChar w:fldCharType="begin"/>
            </w:r>
            <w:r w:rsidR="001313F9">
              <w:rPr>
                <w:noProof/>
                <w:webHidden/>
              </w:rPr>
              <w:instrText xml:space="preserve"> PAGEREF _Toc370819313 \h </w:instrText>
            </w:r>
            <w:r w:rsidR="001313F9">
              <w:rPr>
                <w:noProof/>
                <w:webHidden/>
              </w:rPr>
            </w:r>
            <w:r w:rsidR="001313F9">
              <w:rPr>
                <w:noProof/>
                <w:webHidden/>
              </w:rPr>
              <w:fldChar w:fldCharType="separate"/>
            </w:r>
            <w:r w:rsidR="001313F9">
              <w:rPr>
                <w:noProof/>
                <w:webHidden/>
              </w:rPr>
              <w:t>202</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14" w:history="1">
            <w:r w:rsidR="001313F9" w:rsidRPr="00B8197B">
              <w:rPr>
                <w:rStyle w:val="Hyperlink"/>
                <w:noProof/>
                <w:lang w:eastAsia="en-GB"/>
                <w14:scene3d>
                  <w14:camera w14:prst="orthographicFront"/>
                  <w14:lightRig w14:rig="threePt" w14:dir="t">
                    <w14:rot w14:lat="0" w14:lon="0" w14:rev="0"/>
                  </w14:lightRig>
                </w14:scene3d>
              </w:rPr>
              <w:t>4.1.8</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 xml:space="preserve">Advantages and disadvantages of regenerative endodontic techniques by Shah </w:t>
            </w:r>
            <w:r w:rsidR="001313F9" w:rsidRPr="00B8197B">
              <w:rPr>
                <w:rStyle w:val="Hyperlink"/>
                <w:i/>
                <w:iCs/>
                <w:noProof/>
                <w:lang w:eastAsia="en-GB"/>
              </w:rPr>
              <w:t>et al.,</w:t>
            </w:r>
            <w:r w:rsidR="001313F9" w:rsidRPr="00B8197B">
              <w:rPr>
                <w:rStyle w:val="Hyperlink"/>
                <w:noProof/>
                <w:lang w:eastAsia="en-GB"/>
              </w:rPr>
              <w:t xml:space="preserve"> (2008)</w:t>
            </w:r>
            <w:r w:rsidR="001313F9">
              <w:rPr>
                <w:noProof/>
                <w:webHidden/>
              </w:rPr>
              <w:tab/>
            </w:r>
            <w:r w:rsidR="001313F9">
              <w:rPr>
                <w:noProof/>
                <w:webHidden/>
              </w:rPr>
              <w:fldChar w:fldCharType="begin"/>
            </w:r>
            <w:r w:rsidR="001313F9">
              <w:rPr>
                <w:noProof/>
                <w:webHidden/>
              </w:rPr>
              <w:instrText xml:space="preserve"> PAGEREF _Toc370819314 \h </w:instrText>
            </w:r>
            <w:r w:rsidR="001313F9">
              <w:rPr>
                <w:noProof/>
                <w:webHidden/>
              </w:rPr>
            </w:r>
            <w:r w:rsidR="001313F9">
              <w:rPr>
                <w:noProof/>
                <w:webHidden/>
              </w:rPr>
              <w:fldChar w:fldCharType="separate"/>
            </w:r>
            <w:r w:rsidR="001313F9">
              <w:rPr>
                <w:noProof/>
                <w:webHidden/>
              </w:rPr>
              <w:t>203</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315" w:history="1">
            <w:r w:rsidR="001313F9" w:rsidRPr="00B8197B">
              <w:rPr>
                <w:rStyle w:val="Hyperlink"/>
                <w:noProof/>
                <w14:scene3d>
                  <w14:camera w14:prst="orthographicFront"/>
                  <w14:lightRig w14:rig="threePt" w14:dir="t">
                    <w14:rot w14:lat="0" w14:lon="0" w14:rev="0"/>
                  </w14:lightRig>
                </w14:scene3d>
              </w:rPr>
              <w:t>4.2</w:t>
            </w:r>
            <w:r w:rsidR="001313F9">
              <w:rPr>
                <w:rFonts w:asciiTheme="minorHAnsi" w:eastAsiaTheme="minorEastAsia" w:hAnsiTheme="minorHAnsi" w:cstheme="minorBidi"/>
                <w:noProof/>
                <w:sz w:val="22"/>
                <w:szCs w:val="22"/>
                <w:lang w:eastAsia="en-GB"/>
              </w:rPr>
              <w:tab/>
            </w:r>
            <w:r w:rsidR="001313F9" w:rsidRPr="00B8197B">
              <w:rPr>
                <w:rStyle w:val="Hyperlink"/>
                <w:noProof/>
              </w:rPr>
              <w:t>Methods of cell viability assessment</w:t>
            </w:r>
            <w:r w:rsidR="001313F9">
              <w:rPr>
                <w:noProof/>
                <w:webHidden/>
              </w:rPr>
              <w:tab/>
            </w:r>
            <w:r w:rsidR="001313F9">
              <w:rPr>
                <w:noProof/>
                <w:webHidden/>
              </w:rPr>
              <w:fldChar w:fldCharType="begin"/>
            </w:r>
            <w:r w:rsidR="001313F9">
              <w:rPr>
                <w:noProof/>
                <w:webHidden/>
              </w:rPr>
              <w:instrText xml:space="preserve"> PAGEREF _Toc370819315 \h </w:instrText>
            </w:r>
            <w:r w:rsidR="001313F9">
              <w:rPr>
                <w:noProof/>
                <w:webHidden/>
              </w:rPr>
            </w:r>
            <w:r w:rsidR="001313F9">
              <w:rPr>
                <w:noProof/>
                <w:webHidden/>
              </w:rPr>
              <w:fldChar w:fldCharType="separate"/>
            </w:r>
            <w:r w:rsidR="001313F9">
              <w:rPr>
                <w:noProof/>
                <w:webHidden/>
              </w:rPr>
              <w:t>204</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16" w:history="1">
            <w:r w:rsidR="001313F9" w:rsidRPr="00B8197B">
              <w:rPr>
                <w:rStyle w:val="Hyperlink"/>
                <w:noProof/>
                <w:lang w:eastAsia="en-GB"/>
                <w14:scene3d>
                  <w14:camera w14:prst="orthographicFront"/>
                  <w14:lightRig w14:rig="threePt" w14:dir="t">
                    <w14:rot w14:lat="0" w14:lon="0" w14:rev="0"/>
                  </w14:lightRig>
                </w14:scene3d>
              </w:rPr>
              <w:t>4.2.1</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Lactate Dehydrogenase (LDH) Assay</w:t>
            </w:r>
            <w:r w:rsidR="001313F9">
              <w:rPr>
                <w:noProof/>
                <w:webHidden/>
              </w:rPr>
              <w:tab/>
            </w:r>
            <w:r w:rsidR="001313F9">
              <w:rPr>
                <w:noProof/>
                <w:webHidden/>
              </w:rPr>
              <w:fldChar w:fldCharType="begin"/>
            </w:r>
            <w:r w:rsidR="001313F9">
              <w:rPr>
                <w:noProof/>
                <w:webHidden/>
              </w:rPr>
              <w:instrText xml:space="preserve"> PAGEREF _Toc370819316 \h </w:instrText>
            </w:r>
            <w:r w:rsidR="001313F9">
              <w:rPr>
                <w:noProof/>
                <w:webHidden/>
              </w:rPr>
            </w:r>
            <w:r w:rsidR="001313F9">
              <w:rPr>
                <w:noProof/>
                <w:webHidden/>
              </w:rPr>
              <w:fldChar w:fldCharType="separate"/>
            </w:r>
            <w:r w:rsidR="001313F9">
              <w:rPr>
                <w:noProof/>
                <w:webHidden/>
              </w:rPr>
              <w:t>204</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17" w:history="1">
            <w:r w:rsidR="001313F9" w:rsidRPr="00B8197B">
              <w:rPr>
                <w:rStyle w:val="Hyperlink"/>
                <w:noProof/>
                <w:lang w:val="en-US" w:eastAsia="en-GB"/>
                <w14:scene3d>
                  <w14:camera w14:prst="orthographicFront"/>
                  <w14:lightRig w14:rig="threePt" w14:dir="t">
                    <w14:rot w14:lat="0" w14:lon="0" w14:rev="0"/>
                  </w14:lightRig>
                </w14:scene3d>
              </w:rPr>
              <w:t>4.2.2</w:t>
            </w:r>
            <w:r w:rsidR="001313F9">
              <w:rPr>
                <w:rFonts w:asciiTheme="minorHAnsi" w:eastAsiaTheme="minorEastAsia" w:hAnsiTheme="minorHAnsi" w:cstheme="minorBidi"/>
                <w:noProof/>
                <w:sz w:val="22"/>
                <w:szCs w:val="22"/>
                <w:lang w:eastAsia="en-GB"/>
              </w:rPr>
              <w:tab/>
            </w:r>
            <w:r w:rsidR="001313F9" w:rsidRPr="00B8197B">
              <w:rPr>
                <w:rStyle w:val="Hyperlink"/>
                <w:noProof/>
                <w:lang w:val="en-US" w:eastAsia="en-GB"/>
              </w:rPr>
              <w:t>Flow cytometery</w:t>
            </w:r>
            <w:r w:rsidR="001313F9">
              <w:rPr>
                <w:noProof/>
                <w:webHidden/>
              </w:rPr>
              <w:tab/>
            </w:r>
            <w:r w:rsidR="001313F9">
              <w:rPr>
                <w:noProof/>
                <w:webHidden/>
              </w:rPr>
              <w:fldChar w:fldCharType="begin"/>
            </w:r>
            <w:r w:rsidR="001313F9">
              <w:rPr>
                <w:noProof/>
                <w:webHidden/>
              </w:rPr>
              <w:instrText xml:space="preserve"> PAGEREF _Toc370819317 \h </w:instrText>
            </w:r>
            <w:r w:rsidR="001313F9">
              <w:rPr>
                <w:noProof/>
                <w:webHidden/>
              </w:rPr>
            </w:r>
            <w:r w:rsidR="001313F9">
              <w:rPr>
                <w:noProof/>
                <w:webHidden/>
              </w:rPr>
              <w:fldChar w:fldCharType="separate"/>
            </w:r>
            <w:r w:rsidR="001313F9">
              <w:rPr>
                <w:noProof/>
                <w:webHidden/>
              </w:rPr>
              <w:t>206</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318" w:history="1">
            <w:r w:rsidR="001313F9" w:rsidRPr="00B8197B">
              <w:rPr>
                <w:rStyle w:val="Hyperlink"/>
                <w:noProof/>
                <w14:scene3d>
                  <w14:camera w14:prst="orthographicFront"/>
                  <w14:lightRig w14:rig="threePt" w14:dir="t">
                    <w14:rot w14:lat="0" w14:lon="0" w14:rev="0"/>
                  </w14:lightRig>
                </w14:scene3d>
              </w:rPr>
              <w:t>4.3</w:t>
            </w:r>
            <w:r w:rsidR="001313F9">
              <w:rPr>
                <w:rFonts w:asciiTheme="minorHAnsi" w:eastAsiaTheme="minorEastAsia" w:hAnsiTheme="minorHAnsi" w:cstheme="minorBidi"/>
                <w:noProof/>
                <w:sz w:val="22"/>
                <w:szCs w:val="22"/>
                <w:lang w:eastAsia="en-GB"/>
              </w:rPr>
              <w:tab/>
            </w:r>
            <w:r w:rsidR="001313F9" w:rsidRPr="00B8197B">
              <w:rPr>
                <w:rStyle w:val="Hyperlink"/>
                <w:noProof/>
              </w:rPr>
              <w:t>Summary of literature review</w:t>
            </w:r>
            <w:r w:rsidR="001313F9">
              <w:rPr>
                <w:noProof/>
                <w:webHidden/>
              </w:rPr>
              <w:tab/>
            </w:r>
            <w:r w:rsidR="001313F9">
              <w:rPr>
                <w:noProof/>
                <w:webHidden/>
              </w:rPr>
              <w:fldChar w:fldCharType="begin"/>
            </w:r>
            <w:r w:rsidR="001313F9">
              <w:rPr>
                <w:noProof/>
                <w:webHidden/>
              </w:rPr>
              <w:instrText xml:space="preserve"> PAGEREF _Toc370819318 \h </w:instrText>
            </w:r>
            <w:r w:rsidR="001313F9">
              <w:rPr>
                <w:noProof/>
                <w:webHidden/>
              </w:rPr>
            </w:r>
            <w:r w:rsidR="001313F9">
              <w:rPr>
                <w:noProof/>
                <w:webHidden/>
              </w:rPr>
              <w:fldChar w:fldCharType="separate"/>
            </w:r>
            <w:r w:rsidR="001313F9">
              <w:rPr>
                <w:noProof/>
                <w:webHidden/>
              </w:rPr>
              <w:t>210</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319" w:history="1">
            <w:r w:rsidR="001313F9" w:rsidRPr="00B8197B">
              <w:rPr>
                <w:rStyle w:val="Hyperlink"/>
                <w:noProof/>
                <w14:scene3d>
                  <w14:camera w14:prst="orthographicFront"/>
                  <w14:lightRig w14:rig="threePt" w14:dir="t">
                    <w14:rot w14:lat="0" w14:lon="0" w14:rev="0"/>
                  </w14:lightRig>
                </w14:scene3d>
              </w:rPr>
              <w:t>4.1</w:t>
            </w:r>
            <w:r w:rsidR="001313F9">
              <w:rPr>
                <w:rFonts w:asciiTheme="minorHAnsi" w:eastAsiaTheme="minorEastAsia" w:hAnsiTheme="minorHAnsi" w:cstheme="minorBidi"/>
                <w:noProof/>
                <w:sz w:val="22"/>
                <w:szCs w:val="22"/>
                <w:lang w:eastAsia="en-GB"/>
              </w:rPr>
              <w:tab/>
            </w:r>
            <w:r w:rsidR="001313F9" w:rsidRPr="00B8197B">
              <w:rPr>
                <w:rStyle w:val="Hyperlink"/>
                <w:noProof/>
              </w:rPr>
              <w:t>Aim of this study</w:t>
            </w:r>
            <w:r w:rsidR="001313F9">
              <w:rPr>
                <w:noProof/>
                <w:webHidden/>
              </w:rPr>
              <w:tab/>
            </w:r>
            <w:r w:rsidR="001313F9">
              <w:rPr>
                <w:noProof/>
                <w:webHidden/>
              </w:rPr>
              <w:fldChar w:fldCharType="begin"/>
            </w:r>
            <w:r w:rsidR="001313F9">
              <w:rPr>
                <w:noProof/>
                <w:webHidden/>
              </w:rPr>
              <w:instrText xml:space="preserve"> PAGEREF _Toc370819319 \h </w:instrText>
            </w:r>
            <w:r w:rsidR="001313F9">
              <w:rPr>
                <w:noProof/>
                <w:webHidden/>
              </w:rPr>
            </w:r>
            <w:r w:rsidR="001313F9">
              <w:rPr>
                <w:noProof/>
                <w:webHidden/>
              </w:rPr>
              <w:fldChar w:fldCharType="separate"/>
            </w:r>
            <w:r w:rsidR="001313F9">
              <w:rPr>
                <w:noProof/>
                <w:webHidden/>
              </w:rPr>
              <w:t>210</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320" w:history="1">
            <w:r w:rsidR="001313F9" w:rsidRPr="00B8197B">
              <w:rPr>
                <w:rStyle w:val="Hyperlink"/>
                <w:noProof/>
                <w14:scene3d>
                  <w14:camera w14:prst="orthographicFront"/>
                  <w14:lightRig w14:rig="threePt" w14:dir="t">
                    <w14:rot w14:lat="0" w14:lon="0" w14:rev="0"/>
                  </w14:lightRig>
                </w14:scene3d>
              </w:rPr>
              <w:t>4.2</w:t>
            </w:r>
            <w:r w:rsidR="001313F9">
              <w:rPr>
                <w:rFonts w:asciiTheme="minorHAnsi" w:eastAsiaTheme="minorEastAsia" w:hAnsiTheme="minorHAnsi" w:cstheme="minorBidi"/>
                <w:noProof/>
                <w:sz w:val="22"/>
                <w:szCs w:val="22"/>
                <w:lang w:eastAsia="en-GB"/>
              </w:rPr>
              <w:tab/>
            </w:r>
            <w:r w:rsidR="001313F9" w:rsidRPr="00B8197B">
              <w:rPr>
                <w:rStyle w:val="Hyperlink"/>
                <w:noProof/>
              </w:rPr>
              <w:t>Materials and methods</w:t>
            </w:r>
            <w:r w:rsidR="001313F9">
              <w:rPr>
                <w:noProof/>
                <w:webHidden/>
              </w:rPr>
              <w:tab/>
            </w:r>
            <w:r w:rsidR="001313F9">
              <w:rPr>
                <w:noProof/>
                <w:webHidden/>
              </w:rPr>
              <w:fldChar w:fldCharType="begin"/>
            </w:r>
            <w:r w:rsidR="001313F9">
              <w:rPr>
                <w:noProof/>
                <w:webHidden/>
              </w:rPr>
              <w:instrText xml:space="preserve"> PAGEREF _Toc370819320 \h </w:instrText>
            </w:r>
            <w:r w:rsidR="001313F9">
              <w:rPr>
                <w:noProof/>
                <w:webHidden/>
              </w:rPr>
            </w:r>
            <w:r w:rsidR="001313F9">
              <w:rPr>
                <w:noProof/>
                <w:webHidden/>
              </w:rPr>
              <w:fldChar w:fldCharType="separate"/>
            </w:r>
            <w:r w:rsidR="001313F9">
              <w:rPr>
                <w:noProof/>
                <w:webHidden/>
              </w:rPr>
              <w:t>211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21" w:history="1">
            <w:r w:rsidR="001313F9" w:rsidRPr="00B8197B">
              <w:rPr>
                <w:rStyle w:val="Hyperlink"/>
                <w:noProof/>
                <w:lang w:eastAsia="en-GB"/>
                <w14:scene3d>
                  <w14:camera w14:prst="orthographicFront"/>
                  <w14:lightRig w14:rig="threePt" w14:dir="t">
                    <w14:rot w14:lat="0" w14:lon="0" w14:rev="0"/>
                  </w14:lightRig>
                </w14:scene3d>
              </w:rPr>
              <w:t>4.2.1</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General material and equipment needed for this experiment.</w:t>
            </w:r>
            <w:r w:rsidR="001313F9">
              <w:rPr>
                <w:noProof/>
                <w:webHidden/>
              </w:rPr>
              <w:tab/>
            </w:r>
            <w:r w:rsidR="001313F9">
              <w:rPr>
                <w:noProof/>
                <w:webHidden/>
              </w:rPr>
              <w:fldChar w:fldCharType="begin"/>
            </w:r>
            <w:r w:rsidR="001313F9">
              <w:rPr>
                <w:noProof/>
                <w:webHidden/>
              </w:rPr>
              <w:instrText xml:space="preserve"> PAGEREF _Toc370819321 \h </w:instrText>
            </w:r>
            <w:r w:rsidR="001313F9">
              <w:rPr>
                <w:noProof/>
                <w:webHidden/>
              </w:rPr>
            </w:r>
            <w:r w:rsidR="001313F9">
              <w:rPr>
                <w:noProof/>
                <w:webHidden/>
              </w:rPr>
              <w:fldChar w:fldCharType="separate"/>
            </w:r>
            <w:r w:rsidR="001313F9">
              <w:rPr>
                <w:noProof/>
                <w:webHidden/>
              </w:rPr>
              <w:t>211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22" w:history="1">
            <w:r w:rsidR="001313F9" w:rsidRPr="00B8197B">
              <w:rPr>
                <w:rStyle w:val="Hyperlink"/>
                <w:noProof/>
                <w:lang w:eastAsia="en-GB"/>
                <w14:scene3d>
                  <w14:camera w14:prst="orthographicFront"/>
                  <w14:lightRig w14:rig="threePt" w14:dir="t">
                    <w14:rot w14:lat="0" w14:lon="0" w14:rev="0"/>
                  </w14:lightRig>
                </w14:scene3d>
              </w:rPr>
              <w:t>4.2.2</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Conditions for cell culture and storage.</w:t>
            </w:r>
            <w:r w:rsidR="001313F9">
              <w:rPr>
                <w:noProof/>
                <w:webHidden/>
              </w:rPr>
              <w:tab/>
            </w:r>
            <w:r w:rsidR="001313F9">
              <w:rPr>
                <w:noProof/>
                <w:webHidden/>
              </w:rPr>
              <w:fldChar w:fldCharType="begin"/>
            </w:r>
            <w:r w:rsidR="001313F9">
              <w:rPr>
                <w:noProof/>
                <w:webHidden/>
              </w:rPr>
              <w:instrText xml:space="preserve"> PAGEREF _Toc370819322 \h </w:instrText>
            </w:r>
            <w:r w:rsidR="001313F9">
              <w:rPr>
                <w:noProof/>
                <w:webHidden/>
              </w:rPr>
            </w:r>
            <w:r w:rsidR="001313F9">
              <w:rPr>
                <w:noProof/>
                <w:webHidden/>
              </w:rPr>
              <w:fldChar w:fldCharType="separate"/>
            </w:r>
            <w:r w:rsidR="001313F9">
              <w:rPr>
                <w:noProof/>
                <w:webHidden/>
              </w:rPr>
              <w:t>211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23" w:history="1">
            <w:r w:rsidR="001313F9" w:rsidRPr="00B8197B">
              <w:rPr>
                <w:rStyle w:val="Hyperlink"/>
                <w:noProof/>
                <w:lang w:eastAsia="en-GB"/>
                <w14:scene3d>
                  <w14:camera w14:prst="orthographicFront"/>
                  <w14:lightRig w14:rig="threePt" w14:dir="t">
                    <w14:rot w14:lat="0" w14:lon="0" w14:rev="0"/>
                  </w14:lightRig>
                </w14:scene3d>
              </w:rPr>
              <w:t>4.2.3</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Cytotoxicity test:</w:t>
            </w:r>
            <w:r w:rsidR="001313F9">
              <w:rPr>
                <w:noProof/>
                <w:webHidden/>
              </w:rPr>
              <w:tab/>
            </w:r>
            <w:r w:rsidR="001313F9">
              <w:rPr>
                <w:noProof/>
                <w:webHidden/>
              </w:rPr>
              <w:fldChar w:fldCharType="begin"/>
            </w:r>
            <w:r w:rsidR="001313F9">
              <w:rPr>
                <w:noProof/>
                <w:webHidden/>
              </w:rPr>
              <w:instrText xml:space="preserve"> PAGEREF _Toc370819323 \h </w:instrText>
            </w:r>
            <w:r w:rsidR="001313F9">
              <w:rPr>
                <w:noProof/>
                <w:webHidden/>
              </w:rPr>
            </w:r>
            <w:r w:rsidR="001313F9">
              <w:rPr>
                <w:noProof/>
                <w:webHidden/>
              </w:rPr>
              <w:fldChar w:fldCharType="separate"/>
            </w:r>
            <w:r w:rsidR="001313F9">
              <w:rPr>
                <w:noProof/>
                <w:webHidden/>
              </w:rPr>
              <w:t>212</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24" w:history="1">
            <w:r w:rsidR="001313F9" w:rsidRPr="00B8197B">
              <w:rPr>
                <w:rStyle w:val="Hyperlink"/>
                <w:noProof/>
                <w:lang w:eastAsia="zh-CN"/>
                <w14:scene3d>
                  <w14:camera w14:prst="orthographicFront"/>
                  <w14:lightRig w14:rig="threePt" w14:dir="t">
                    <w14:rot w14:lat="0" w14:lon="0" w14:rev="0"/>
                  </w14:lightRig>
                </w14:scene3d>
              </w:rPr>
              <w:t>4.2.4</w:t>
            </w:r>
            <w:r w:rsidR="001313F9">
              <w:rPr>
                <w:rFonts w:asciiTheme="minorHAnsi" w:eastAsiaTheme="minorEastAsia" w:hAnsiTheme="minorHAnsi" w:cstheme="minorBidi"/>
                <w:noProof/>
                <w:sz w:val="22"/>
                <w:szCs w:val="22"/>
                <w:lang w:eastAsia="en-GB"/>
              </w:rPr>
              <w:tab/>
            </w:r>
            <w:r w:rsidR="001313F9" w:rsidRPr="00B8197B">
              <w:rPr>
                <w:rStyle w:val="Hyperlink"/>
                <w:noProof/>
                <w:lang w:eastAsia="zh-CN"/>
              </w:rPr>
              <w:t>Demonstration of cytotoxicity measurement point</w:t>
            </w:r>
            <w:r w:rsidR="001313F9">
              <w:rPr>
                <w:noProof/>
                <w:webHidden/>
              </w:rPr>
              <w:tab/>
            </w:r>
            <w:r w:rsidR="001313F9">
              <w:rPr>
                <w:noProof/>
                <w:webHidden/>
              </w:rPr>
              <w:fldChar w:fldCharType="begin"/>
            </w:r>
            <w:r w:rsidR="001313F9">
              <w:rPr>
                <w:noProof/>
                <w:webHidden/>
              </w:rPr>
              <w:instrText xml:space="preserve"> PAGEREF _Toc370819324 \h </w:instrText>
            </w:r>
            <w:r w:rsidR="001313F9">
              <w:rPr>
                <w:noProof/>
                <w:webHidden/>
              </w:rPr>
            </w:r>
            <w:r w:rsidR="001313F9">
              <w:rPr>
                <w:noProof/>
                <w:webHidden/>
              </w:rPr>
              <w:fldChar w:fldCharType="separate"/>
            </w:r>
            <w:r w:rsidR="001313F9">
              <w:rPr>
                <w:noProof/>
                <w:webHidden/>
              </w:rPr>
              <w:t>213</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25" w:history="1">
            <w:r w:rsidR="001313F9" w:rsidRPr="00B8197B">
              <w:rPr>
                <w:rStyle w:val="Hyperlink"/>
                <w:noProof/>
                <w:lang w:eastAsia="en-GB"/>
                <w14:scene3d>
                  <w14:camera w14:prst="orthographicFront"/>
                  <w14:lightRig w14:rig="threePt" w14:dir="t">
                    <w14:rot w14:lat="0" w14:lon="0" w14:rev="0"/>
                  </w14:lightRig>
                </w14:scene3d>
              </w:rPr>
              <w:t>4.2.5</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Antibiotics preparation:</w:t>
            </w:r>
            <w:r w:rsidR="001313F9">
              <w:rPr>
                <w:noProof/>
                <w:webHidden/>
              </w:rPr>
              <w:tab/>
            </w:r>
            <w:r w:rsidR="001313F9">
              <w:rPr>
                <w:noProof/>
                <w:webHidden/>
              </w:rPr>
              <w:fldChar w:fldCharType="begin"/>
            </w:r>
            <w:r w:rsidR="001313F9">
              <w:rPr>
                <w:noProof/>
                <w:webHidden/>
              </w:rPr>
              <w:instrText xml:space="preserve"> PAGEREF _Toc370819325 \h </w:instrText>
            </w:r>
            <w:r w:rsidR="001313F9">
              <w:rPr>
                <w:noProof/>
                <w:webHidden/>
              </w:rPr>
            </w:r>
            <w:r w:rsidR="001313F9">
              <w:rPr>
                <w:noProof/>
                <w:webHidden/>
              </w:rPr>
              <w:fldChar w:fldCharType="separate"/>
            </w:r>
            <w:r w:rsidR="001313F9">
              <w:rPr>
                <w:noProof/>
                <w:webHidden/>
              </w:rPr>
              <w:t>215</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26" w:history="1">
            <w:r w:rsidR="001313F9" w:rsidRPr="00B8197B">
              <w:rPr>
                <w:rStyle w:val="Hyperlink"/>
                <w:noProof/>
                <w:lang w:eastAsia="en-GB"/>
                <w14:scene3d>
                  <w14:camera w14:prst="orthographicFront"/>
                  <w14:lightRig w14:rig="threePt" w14:dir="t">
                    <w14:rot w14:lat="0" w14:lon="0" w14:rev="0"/>
                  </w14:lightRig>
                </w14:scene3d>
              </w:rPr>
              <w:t>4.2.6</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The tested pulp cells:</w:t>
            </w:r>
            <w:r w:rsidR="001313F9">
              <w:rPr>
                <w:noProof/>
                <w:webHidden/>
              </w:rPr>
              <w:tab/>
            </w:r>
            <w:r w:rsidR="001313F9">
              <w:rPr>
                <w:noProof/>
                <w:webHidden/>
              </w:rPr>
              <w:fldChar w:fldCharType="begin"/>
            </w:r>
            <w:r w:rsidR="001313F9">
              <w:rPr>
                <w:noProof/>
                <w:webHidden/>
              </w:rPr>
              <w:instrText xml:space="preserve"> PAGEREF _Toc370819326 \h </w:instrText>
            </w:r>
            <w:r w:rsidR="001313F9">
              <w:rPr>
                <w:noProof/>
                <w:webHidden/>
              </w:rPr>
            </w:r>
            <w:r w:rsidR="001313F9">
              <w:rPr>
                <w:noProof/>
                <w:webHidden/>
              </w:rPr>
              <w:fldChar w:fldCharType="separate"/>
            </w:r>
            <w:r w:rsidR="001313F9">
              <w:rPr>
                <w:noProof/>
                <w:webHidden/>
              </w:rPr>
              <w:t>215</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27" w:history="1">
            <w:r w:rsidR="001313F9" w:rsidRPr="00B8197B">
              <w:rPr>
                <w:rStyle w:val="Hyperlink"/>
                <w:noProof/>
                <w:lang w:eastAsia="en-GB"/>
                <w14:scene3d>
                  <w14:camera w14:prst="orthographicFront"/>
                  <w14:lightRig w14:rig="threePt" w14:dir="t">
                    <w14:rot w14:lat="0" w14:lon="0" w14:rev="0"/>
                  </w14:lightRig>
                </w14:scene3d>
              </w:rPr>
              <w:t>4.2.7</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How cells were prepared for this study</w:t>
            </w:r>
            <w:r w:rsidR="001313F9">
              <w:rPr>
                <w:noProof/>
                <w:webHidden/>
              </w:rPr>
              <w:tab/>
            </w:r>
            <w:r w:rsidR="001313F9">
              <w:rPr>
                <w:noProof/>
                <w:webHidden/>
              </w:rPr>
              <w:fldChar w:fldCharType="begin"/>
            </w:r>
            <w:r w:rsidR="001313F9">
              <w:rPr>
                <w:noProof/>
                <w:webHidden/>
              </w:rPr>
              <w:instrText xml:space="preserve"> PAGEREF _Toc370819327 \h </w:instrText>
            </w:r>
            <w:r w:rsidR="001313F9">
              <w:rPr>
                <w:noProof/>
                <w:webHidden/>
              </w:rPr>
            </w:r>
            <w:r w:rsidR="001313F9">
              <w:rPr>
                <w:noProof/>
                <w:webHidden/>
              </w:rPr>
              <w:fldChar w:fldCharType="separate"/>
            </w:r>
            <w:r w:rsidR="001313F9">
              <w:rPr>
                <w:noProof/>
                <w:webHidden/>
              </w:rPr>
              <w:t>217</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28" w:history="1">
            <w:r w:rsidR="001313F9" w:rsidRPr="00B8197B">
              <w:rPr>
                <w:rStyle w:val="Hyperlink"/>
                <w:noProof/>
                <w14:scene3d>
                  <w14:camera w14:prst="orthographicFront"/>
                  <w14:lightRig w14:rig="threePt" w14:dir="t">
                    <w14:rot w14:lat="0" w14:lon="0" w14:rev="0"/>
                  </w14:lightRig>
                </w14:scene3d>
              </w:rPr>
              <w:t>4.2.8</w:t>
            </w:r>
            <w:r w:rsidR="001313F9">
              <w:rPr>
                <w:rFonts w:asciiTheme="minorHAnsi" w:eastAsiaTheme="minorEastAsia" w:hAnsiTheme="minorHAnsi" w:cstheme="minorBidi"/>
                <w:noProof/>
                <w:sz w:val="22"/>
                <w:szCs w:val="22"/>
                <w:lang w:eastAsia="en-GB"/>
              </w:rPr>
              <w:tab/>
            </w:r>
            <w:r w:rsidR="001313F9" w:rsidRPr="00B8197B">
              <w:rPr>
                <w:rStyle w:val="Hyperlink"/>
                <w:noProof/>
              </w:rPr>
              <w:t>Cytotoxicity was tested by using three different methods of assessment:</w:t>
            </w:r>
            <w:r w:rsidR="001313F9">
              <w:rPr>
                <w:noProof/>
                <w:webHidden/>
              </w:rPr>
              <w:tab/>
            </w:r>
            <w:r w:rsidR="001313F9">
              <w:rPr>
                <w:noProof/>
                <w:webHidden/>
              </w:rPr>
              <w:fldChar w:fldCharType="begin"/>
            </w:r>
            <w:r w:rsidR="001313F9">
              <w:rPr>
                <w:noProof/>
                <w:webHidden/>
              </w:rPr>
              <w:instrText xml:space="preserve"> PAGEREF _Toc370819328 \h </w:instrText>
            </w:r>
            <w:r w:rsidR="001313F9">
              <w:rPr>
                <w:noProof/>
                <w:webHidden/>
              </w:rPr>
            </w:r>
            <w:r w:rsidR="001313F9">
              <w:rPr>
                <w:noProof/>
                <w:webHidden/>
              </w:rPr>
              <w:fldChar w:fldCharType="separate"/>
            </w:r>
            <w:r w:rsidR="001313F9">
              <w:rPr>
                <w:noProof/>
                <w:webHidden/>
              </w:rPr>
              <w:t>220</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29" w:history="1">
            <w:r w:rsidR="001313F9" w:rsidRPr="00B8197B">
              <w:rPr>
                <w:rStyle w:val="Hyperlink"/>
                <w:rFonts w:eastAsia="Times New Roman" w:cs="Arial"/>
                <w:noProof/>
                <w:lang w:eastAsia="zh-CN"/>
                <w14:scene3d>
                  <w14:camera w14:prst="orthographicFront"/>
                  <w14:lightRig w14:rig="threePt" w14:dir="t">
                    <w14:rot w14:lat="0" w14:lon="0" w14:rev="0"/>
                  </w14:lightRig>
                </w14:scene3d>
              </w:rPr>
              <w:t>4.2.9</w:t>
            </w:r>
            <w:r w:rsidR="001313F9">
              <w:rPr>
                <w:rFonts w:asciiTheme="minorHAnsi" w:eastAsiaTheme="minorEastAsia" w:hAnsiTheme="minorHAnsi" w:cstheme="minorBidi"/>
                <w:noProof/>
                <w:sz w:val="22"/>
                <w:szCs w:val="22"/>
                <w:lang w:eastAsia="en-GB"/>
              </w:rPr>
              <w:tab/>
            </w:r>
            <w:r w:rsidR="001313F9" w:rsidRPr="00B8197B">
              <w:rPr>
                <w:rStyle w:val="Hyperlink"/>
                <w:noProof/>
              </w:rPr>
              <w:t xml:space="preserve">Trypan blue exclusion method </w:t>
            </w:r>
            <w:r w:rsidR="001313F9" w:rsidRPr="00B8197B">
              <w:rPr>
                <w:rStyle w:val="Hyperlink"/>
                <w:rFonts w:eastAsia="Times New Roman"/>
                <w:noProof/>
                <w:lang w:val="en" w:eastAsia="en-GB"/>
              </w:rPr>
              <w:t>Procedure</w:t>
            </w:r>
            <w:r w:rsidR="001313F9">
              <w:rPr>
                <w:noProof/>
                <w:webHidden/>
              </w:rPr>
              <w:tab/>
            </w:r>
            <w:r w:rsidR="001313F9">
              <w:rPr>
                <w:noProof/>
                <w:webHidden/>
              </w:rPr>
              <w:fldChar w:fldCharType="begin"/>
            </w:r>
            <w:r w:rsidR="001313F9">
              <w:rPr>
                <w:noProof/>
                <w:webHidden/>
              </w:rPr>
              <w:instrText xml:space="preserve"> PAGEREF _Toc370819329 \h </w:instrText>
            </w:r>
            <w:r w:rsidR="001313F9">
              <w:rPr>
                <w:noProof/>
                <w:webHidden/>
              </w:rPr>
            </w:r>
            <w:r w:rsidR="001313F9">
              <w:rPr>
                <w:noProof/>
                <w:webHidden/>
              </w:rPr>
              <w:fldChar w:fldCharType="separate"/>
            </w:r>
            <w:r w:rsidR="001313F9">
              <w:rPr>
                <w:noProof/>
                <w:webHidden/>
              </w:rPr>
              <w:t>220</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330" w:history="1">
            <w:r w:rsidR="001313F9" w:rsidRPr="00B8197B">
              <w:rPr>
                <w:rStyle w:val="Hyperlink"/>
                <w:noProof/>
                <w:lang w:eastAsia="zh-CN"/>
                <w14:scene3d>
                  <w14:camera w14:prst="orthographicFront"/>
                  <w14:lightRig w14:rig="threePt" w14:dir="t">
                    <w14:rot w14:lat="0" w14:lon="0" w14:rev="0"/>
                  </w14:lightRig>
                </w14:scene3d>
              </w:rPr>
              <w:t>4.2.10</w:t>
            </w:r>
            <w:r w:rsidR="001313F9">
              <w:rPr>
                <w:rFonts w:asciiTheme="minorHAnsi" w:eastAsiaTheme="minorEastAsia" w:hAnsiTheme="minorHAnsi" w:cstheme="minorBidi"/>
                <w:noProof/>
                <w:sz w:val="22"/>
                <w:szCs w:val="22"/>
                <w:lang w:eastAsia="en-GB"/>
              </w:rPr>
              <w:tab/>
            </w:r>
            <w:r w:rsidR="001313F9" w:rsidRPr="00B8197B">
              <w:rPr>
                <w:rStyle w:val="Hyperlink"/>
                <w:noProof/>
                <w:lang w:eastAsia="zh-CN"/>
              </w:rPr>
              <w:t>Lactate dehydrogenase (LDH) assay</w:t>
            </w:r>
            <w:r w:rsidR="001313F9">
              <w:rPr>
                <w:noProof/>
                <w:webHidden/>
              </w:rPr>
              <w:tab/>
            </w:r>
            <w:r w:rsidR="001313F9">
              <w:rPr>
                <w:noProof/>
                <w:webHidden/>
              </w:rPr>
              <w:fldChar w:fldCharType="begin"/>
            </w:r>
            <w:r w:rsidR="001313F9">
              <w:rPr>
                <w:noProof/>
                <w:webHidden/>
              </w:rPr>
              <w:instrText xml:space="preserve"> PAGEREF _Toc370819330 \h </w:instrText>
            </w:r>
            <w:r w:rsidR="001313F9">
              <w:rPr>
                <w:noProof/>
                <w:webHidden/>
              </w:rPr>
            </w:r>
            <w:r w:rsidR="001313F9">
              <w:rPr>
                <w:noProof/>
                <w:webHidden/>
              </w:rPr>
              <w:fldChar w:fldCharType="separate"/>
            </w:r>
            <w:r w:rsidR="001313F9">
              <w:rPr>
                <w:noProof/>
                <w:webHidden/>
              </w:rPr>
              <w:t>225</w:t>
            </w:r>
            <w:r w:rsidR="001313F9">
              <w:rPr>
                <w:noProof/>
                <w:webHidden/>
              </w:rPr>
              <w:fldChar w:fldCharType="end"/>
            </w:r>
          </w:hyperlink>
        </w:p>
        <w:p w:rsidR="001313F9" w:rsidRDefault="00A9701A">
          <w:pPr>
            <w:pStyle w:val="TOC3"/>
            <w:tabs>
              <w:tab w:val="left" w:pos="1540"/>
              <w:tab w:val="right" w:leader="dot" w:pos="8330"/>
            </w:tabs>
            <w:rPr>
              <w:rFonts w:asciiTheme="minorHAnsi" w:eastAsiaTheme="minorEastAsia" w:hAnsiTheme="minorHAnsi" w:cstheme="minorBidi"/>
              <w:noProof/>
              <w:sz w:val="22"/>
              <w:szCs w:val="22"/>
              <w:lang w:eastAsia="en-GB"/>
            </w:rPr>
          </w:pPr>
          <w:hyperlink w:anchor="_Toc370819331" w:history="1">
            <w:r w:rsidR="001313F9" w:rsidRPr="00B8197B">
              <w:rPr>
                <w:rStyle w:val="Hyperlink"/>
                <w:noProof/>
                <w:lang w:eastAsia="zh-CN"/>
                <w14:scene3d>
                  <w14:camera w14:prst="orthographicFront"/>
                  <w14:lightRig w14:rig="threePt" w14:dir="t">
                    <w14:rot w14:lat="0" w14:lon="0" w14:rev="0"/>
                  </w14:lightRig>
                </w14:scene3d>
              </w:rPr>
              <w:t>4.2.11</w:t>
            </w:r>
            <w:r w:rsidR="001313F9">
              <w:rPr>
                <w:rFonts w:asciiTheme="minorHAnsi" w:eastAsiaTheme="minorEastAsia" w:hAnsiTheme="minorHAnsi" w:cstheme="minorBidi"/>
                <w:noProof/>
                <w:sz w:val="22"/>
                <w:szCs w:val="22"/>
                <w:lang w:eastAsia="en-GB"/>
              </w:rPr>
              <w:tab/>
            </w:r>
            <w:r w:rsidR="001313F9" w:rsidRPr="00B8197B">
              <w:rPr>
                <w:rStyle w:val="Hyperlink"/>
                <w:noProof/>
                <w:lang w:eastAsia="zh-CN"/>
              </w:rPr>
              <w:t>Flow cytometry</w:t>
            </w:r>
            <w:r w:rsidR="001313F9">
              <w:rPr>
                <w:noProof/>
                <w:webHidden/>
              </w:rPr>
              <w:tab/>
            </w:r>
            <w:r w:rsidR="001313F9">
              <w:rPr>
                <w:noProof/>
                <w:webHidden/>
              </w:rPr>
              <w:fldChar w:fldCharType="begin"/>
            </w:r>
            <w:r w:rsidR="001313F9">
              <w:rPr>
                <w:noProof/>
                <w:webHidden/>
              </w:rPr>
              <w:instrText xml:space="preserve"> PAGEREF _Toc370819331 \h </w:instrText>
            </w:r>
            <w:r w:rsidR="001313F9">
              <w:rPr>
                <w:noProof/>
                <w:webHidden/>
              </w:rPr>
            </w:r>
            <w:r w:rsidR="001313F9">
              <w:rPr>
                <w:noProof/>
                <w:webHidden/>
              </w:rPr>
              <w:fldChar w:fldCharType="separate"/>
            </w:r>
            <w:r w:rsidR="001313F9">
              <w:rPr>
                <w:noProof/>
                <w:webHidden/>
              </w:rPr>
              <w:t>229</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332" w:history="1">
            <w:r w:rsidR="001313F9" w:rsidRPr="00B8197B">
              <w:rPr>
                <w:rStyle w:val="Hyperlink"/>
                <w:noProof/>
                <w14:scene3d>
                  <w14:camera w14:prst="orthographicFront"/>
                  <w14:lightRig w14:rig="threePt" w14:dir="t">
                    <w14:rot w14:lat="0" w14:lon="0" w14:rev="0"/>
                  </w14:lightRig>
                </w14:scene3d>
              </w:rPr>
              <w:t>4.3</w:t>
            </w:r>
            <w:r w:rsidR="001313F9">
              <w:rPr>
                <w:rFonts w:asciiTheme="minorHAnsi" w:eastAsiaTheme="minorEastAsia" w:hAnsiTheme="minorHAnsi" w:cstheme="minorBidi"/>
                <w:noProof/>
                <w:sz w:val="22"/>
                <w:szCs w:val="22"/>
                <w:lang w:eastAsia="en-GB"/>
              </w:rPr>
              <w:tab/>
            </w:r>
            <w:r w:rsidR="001313F9" w:rsidRPr="00B8197B">
              <w:rPr>
                <w:rStyle w:val="Hyperlink"/>
                <w:noProof/>
              </w:rPr>
              <w:t>Results</w:t>
            </w:r>
            <w:r w:rsidR="001313F9">
              <w:rPr>
                <w:noProof/>
                <w:webHidden/>
              </w:rPr>
              <w:tab/>
            </w:r>
            <w:r w:rsidR="001313F9">
              <w:rPr>
                <w:noProof/>
                <w:webHidden/>
              </w:rPr>
              <w:fldChar w:fldCharType="begin"/>
            </w:r>
            <w:r w:rsidR="001313F9">
              <w:rPr>
                <w:noProof/>
                <w:webHidden/>
              </w:rPr>
              <w:instrText xml:space="preserve"> PAGEREF _Toc370819332 \h </w:instrText>
            </w:r>
            <w:r w:rsidR="001313F9">
              <w:rPr>
                <w:noProof/>
                <w:webHidden/>
              </w:rPr>
            </w:r>
            <w:r w:rsidR="001313F9">
              <w:rPr>
                <w:noProof/>
                <w:webHidden/>
              </w:rPr>
              <w:fldChar w:fldCharType="separate"/>
            </w:r>
            <w:r w:rsidR="001313F9">
              <w:rPr>
                <w:noProof/>
                <w:webHidden/>
              </w:rPr>
              <w:t>232</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333" w:history="1">
            <w:r w:rsidR="001313F9" w:rsidRPr="00B8197B">
              <w:rPr>
                <w:rStyle w:val="Hyperlink"/>
                <w:noProof/>
                <w14:scene3d>
                  <w14:camera w14:prst="orthographicFront"/>
                  <w14:lightRig w14:rig="threePt" w14:dir="t">
                    <w14:rot w14:lat="0" w14:lon="0" w14:rev="0"/>
                  </w14:lightRig>
                </w14:scene3d>
              </w:rPr>
              <w:t>4.4</w:t>
            </w:r>
            <w:r w:rsidR="001313F9">
              <w:rPr>
                <w:rFonts w:asciiTheme="minorHAnsi" w:eastAsiaTheme="minorEastAsia" w:hAnsiTheme="minorHAnsi" w:cstheme="minorBidi"/>
                <w:noProof/>
                <w:sz w:val="22"/>
                <w:szCs w:val="22"/>
                <w:lang w:eastAsia="en-GB"/>
              </w:rPr>
              <w:tab/>
            </w:r>
            <w:r w:rsidR="001313F9" w:rsidRPr="00B8197B">
              <w:rPr>
                <w:rStyle w:val="Hyperlink"/>
                <w:noProof/>
              </w:rPr>
              <w:t>Cytotoxicity testing</w:t>
            </w:r>
            <w:r w:rsidR="001313F9">
              <w:rPr>
                <w:noProof/>
                <w:webHidden/>
              </w:rPr>
              <w:tab/>
            </w:r>
            <w:r w:rsidR="001313F9">
              <w:rPr>
                <w:noProof/>
                <w:webHidden/>
              </w:rPr>
              <w:fldChar w:fldCharType="begin"/>
            </w:r>
            <w:r w:rsidR="001313F9">
              <w:rPr>
                <w:noProof/>
                <w:webHidden/>
              </w:rPr>
              <w:instrText xml:space="preserve"> PAGEREF _Toc370819333 \h </w:instrText>
            </w:r>
            <w:r w:rsidR="001313F9">
              <w:rPr>
                <w:noProof/>
                <w:webHidden/>
              </w:rPr>
            </w:r>
            <w:r w:rsidR="001313F9">
              <w:rPr>
                <w:noProof/>
                <w:webHidden/>
              </w:rPr>
              <w:fldChar w:fldCharType="separate"/>
            </w:r>
            <w:r w:rsidR="001313F9">
              <w:rPr>
                <w:noProof/>
                <w:webHidden/>
              </w:rPr>
              <w:t>232</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34" w:history="1">
            <w:r w:rsidR="001313F9" w:rsidRPr="00B8197B">
              <w:rPr>
                <w:rStyle w:val="Hyperlink"/>
                <w:noProof/>
                <w:lang w:eastAsia="en-GB"/>
                <w14:scene3d>
                  <w14:camera w14:prst="orthographicFront"/>
                  <w14:lightRig w14:rig="threePt" w14:dir="t">
                    <w14:rot w14:lat="0" w14:lon="0" w14:rev="0"/>
                  </w14:lightRig>
                </w14:scene3d>
              </w:rPr>
              <w:t>4.4.1</w:t>
            </w:r>
            <w:r w:rsidR="001313F9">
              <w:rPr>
                <w:rFonts w:asciiTheme="minorHAnsi" w:eastAsiaTheme="minorEastAsia" w:hAnsiTheme="minorHAnsi" w:cstheme="minorBidi"/>
                <w:noProof/>
                <w:sz w:val="22"/>
                <w:szCs w:val="22"/>
                <w:lang w:eastAsia="en-GB"/>
              </w:rPr>
              <w:tab/>
            </w:r>
            <w:r w:rsidR="001313F9" w:rsidRPr="00B8197B">
              <w:rPr>
                <w:rStyle w:val="Hyperlink"/>
                <w:rFonts w:eastAsia="Times New Roman"/>
                <w:noProof/>
                <w:lang w:eastAsia="en-GB"/>
              </w:rPr>
              <w:t xml:space="preserve">Percentages </w:t>
            </w:r>
            <w:r w:rsidR="001313F9" w:rsidRPr="00B8197B">
              <w:rPr>
                <w:rStyle w:val="Hyperlink"/>
                <w:noProof/>
                <w:lang w:eastAsia="en-GB"/>
              </w:rPr>
              <w:t xml:space="preserve">of cell viability were calculated and grouped according to the criteria of Dalh </w:t>
            </w:r>
            <w:r w:rsidR="001313F9" w:rsidRPr="00B8197B">
              <w:rPr>
                <w:rStyle w:val="Hyperlink"/>
                <w:i/>
                <w:iCs/>
                <w:noProof/>
                <w:lang w:eastAsia="en-GB"/>
              </w:rPr>
              <w:t>et al</w:t>
            </w:r>
            <w:r w:rsidR="001313F9" w:rsidRPr="00B8197B">
              <w:rPr>
                <w:rStyle w:val="Hyperlink"/>
                <w:noProof/>
                <w:lang w:eastAsia="en-GB"/>
              </w:rPr>
              <w:t xml:space="preserve"> (2006) as follows:</w:t>
            </w:r>
            <w:r w:rsidR="001313F9">
              <w:rPr>
                <w:noProof/>
                <w:webHidden/>
              </w:rPr>
              <w:tab/>
            </w:r>
            <w:r w:rsidR="001313F9">
              <w:rPr>
                <w:noProof/>
                <w:webHidden/>
              </w:rPr>
              <w:fldChar w:fldCharType="begin"/>
            </w:r>
            <w:r w:rsidR="001313F9">
              <w:rPr>
                <w:noProof/>
                <w:webHidden/>
              </w:rPr>
              <w:instrText xml:space="preserve"> PAGEREF _Toc370819334 \h </w:instrText>
            </w:r>
            <w:r w:rsidR="001313F9">
              <w:rPr>
                <w:noProof/>
                <w:webHidden/>
              </w:rPr>
            </w:r>
            <w:r w:rsidR="001313F9">
              <w:rPr>
                <w:noProof/>
                <w:webHidden/>
              </w:rPr>
              <w:fldChar w:fldCharType="separate"/>
            </w:r>
            <w:r w:rsidR="001313F9">
              <w:rPr>
                <w:noProof/>
                <w:webHidden/>
              </w:rPr>
              <w:t>232</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35" w:history="1">
            <w:r w:rsidR="001313F9" w:rsidRPr="00B8197B">
              <w:rPr>
                <w:rStyle w:val="Hyperlink"/>
                <w:noProof/>
                <w:lang w:eastAsia="en-GB"/>
                <w14:scene3d>
                  <w14:camera w14:prst="orthographicFront"/>
                  <w14:lightRig w14:rig="threePt" w14:dir="t">
                    <w14:rot w14:lat="0" w14:lon="0" w14:rev="0"/>
                  </w14:lightRig>
                </w14:scene3d>
              </w:rPr>
              <w:t>4.4.2</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Cell counting using Trypan Blue:</w:t>
            </w:r>
            <w:r w:rsidR="001313F9">
              <w:rPr>
                <w:noProof/>
                <w:webHidden/>
              </w:rPr>
              <w:tab/>
            </w:r>
            <w:r w:rsidR="001313F9">
              <w:rPr>
                <w:noProof/>
                <w:webHidden/>
              </w:rPr>
              <w:fldChar w:fldCharType="begin"/>
            </w:r>
            <w:r w:rsidR="001313F9">
              <w:rPr>
                <w:noProof/>
                <w:webHidden/>
              </w:rPr>
              <w:instrText xml:space="preserve"> PAGEREF _Toc370819335 \h </w:instrText>
            </w:r>
            <w:r w:rsidR="001313F9">
              <w:rPr>
                <w:noProof/>
                <w:webHidden/>
              </w:rPr>
            </w:r>
            <w:r w:rsidR="001313F9">
              <w:rPr>
                <w:noProof/>
                <w:webHidden/>
              </w:rPr>
              <w:fldChar w:fldCharType="separate"/>
            </w:r>
            <w:r w:rsidR="001313F9">
              <w:rPr>
                <w:noProof/>
                <w:webHidden/>
              </w:rPr>
              <w:t>233</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36" w:history="1">
            <w:r w:rsidR="001313F9" w:rsidRPr="00B8197B">
              <w:rPr>
                <w:rStyle w:val="Hyperlink"/>
                <w:rFonts w:eastAsia="Times New Roman"/>
                <w:noProof/>
                <w:lang w:eastAsia="zh-CN"/>
                <w14:scene3d>
                  <w14:camera w14:prst="orthographicFront"/>
                  <w14:lightRig w14:rig="threePt" w14:dir="t">
                    <w14:rot w14:lat="0" w14:lon="0" w14:rev="0"/>
                  </w14:lightRig>
                </w14:scene3d>
              </w:rPr>
              <w:t>4.4.3</w:t>
            </w:r>
            <w:r w:rsidR="001313F9">
              <w:rPr>
                <w:rFonts w:asciiTheme="minorHAnsi" w:eastAsiaTheme="minorEastAsia" w:hAnsiTheme="minorHAnsi" w:cstheme="minorBidi"/>
                <w:noProof/>
                <w:sz w:val="22"/>
                <w:szCs w:val="22"/>
                <w:lang w:eastAsia="en-GB"/>
              </w:rPr>
              <w:tab/>
            </w:r>
            <w:r w:rsidR="001313F9" w:rsidRPr="00B8197B">
              <w:rPr>
                <w:rStyle w:val="Hyperlink"/>
                <w:noProof/>
                <w:lang w:eastAsia="zh-CN"/>
              </w:rPr>
              <w:t>Lactate dehydrogenase (LDH) assay</w:t>
            </w:r>
            <w:r w:rsidR="001313F9">
              <w:rPr>
                <w:noProof/>
                <w:webHidden/>
              </w:rPr>
              <w:tab/>
            </w:r>
            <w:r w:rsidR="001313F9">
              <w:rPr>
                <w:noProof/>
                <w:webHidden/>
              </w:rPr>
              <w:fldChar w:fldCharType="begin"/>
            </w:r>
            <w:r w:rsidR="001313F9">
              <w:rPr>
                <w:noProof/>
                <w:webHidden/>
              </w:rPr>
              <w:instrText xml:space="preserve"> PAGEREF _Toc370819336 \h </w:instrText>
            </w:r>
            <w:r w:rsidR="001313F9">
              <w:rPr>
                <w:noProof/>
                <w:webHidden/>
              </w:rPr>
            </w:r>
            <w:r w:rsidR="001313F9">
              <w:rPr>
                <w:noProof/>
                <w:webHidden/>
              </w:rPr>
              <w:fldChar w:fldCharType="separate"/>
            </w:r>
            <w:r w:rsidR="001313F9">
              <w:rPr>
                <w:noProof/>
                <w:webHidden/>
              </w:rPr>
              <w:t>235</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37" w:history="1">
            <w:r w:rsidR="001313F9" w:rsidRPr="00B8197B">
              <w:rPr>
                <w:rStyle w:val="Hyperlink"/>
                <w:noProof/>
                <w:lang w:eastAsia="en-GB"/>
                <w14:scene3d>
                  <w14:camera w14:prst="orthographicFront"/>
                  <w14:lightRig w14:rig="threePt" w14:dir="t">
                    <w14:rot w14:lat="0" w14:lon="0" w14:rev="0"/>
                  </w14:lightRig>
                </w14:scene3d>
              </w:rPr>
              <w:t>4.4.4</w:t>
            </w:r>
            <w:r w:rsidR="001313F9">
              <w:rPr>
                <w:rFonts w:asciiTheme="minorHAnsi" w:eastAsiaTheme="minorEastAsia" w:hAnsiTheme="minorHAnsi" w:cstheme="minorBidi"/>
                <w:noProof/>
                <w:sz w:val="22"/>
                <w:szCs w:val="22"/>
                <w:lang w:eastAsia="en-GB"/>
              </w:rPr>
              <w:tab/>
            </w:r>
            <w:r w:rsidR="001313F9" w:rsidRPr="00B8197B">
              <w:rPr>
                <w:rStyle w:val="Hyperlink"/>
                <w:noProof/>
                <w:lang w:eastAsia="en-GB"/>
              </w:rPr>
              <w:t>FLOW CYTOMITRY</w:t>
            </w:r>
            <w:r w:rsidR="001313F9">
              <w:rPr>
                <w:noProof/>
                <w:webHidden/>
              </w:rPr>
              <w:tab/>
            </w:r>
            <w:r w:rsidR="001313F9">
              <w:rPr>
                <w:noProof/>
                <w:webHidden/>
              </w:rPr>
              <w:fldChar w:fldCharType="begin"/>
            </w:r>
            <w:r w:rsidR="001313F9">
              <w:rPr>
                <w:noProof/>
                <w:webHidden/>
              </w:rPr>
              <w:instrText xml:space="preserve"> PAGEREF _Toc370819337 \h </w:instrText>
            </w:r>
            <w:r w:rsidR="001313F9">
              <w:rPr>
                <w:noProof/>
                <w:webHidden/>
              </w:rPr>
            </w:r>
            <w:r w:rsidR="001313F9">
              <w:rPr>
                <w:noProof/>
                <w:webHidden/>
              </w:rPr>
              <w:fldChar w:fldCharType="separate"/>
            </w:r>
            <w:r w:rsidR="001313F9">
              <w:rPr>
                <w:noProof/>
                <w:webHidden/>
              </w:rPr>
              <w:t>237</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338" w:history="1">
            <w:r w:rsidR="001313F9" w:rsidRPr="00B8197B">
              <w:rPr>
                <w:rStyle w:val="Hyperlink"/>
                <w:noProof/>
                <w:lang w:val="en-US"/>
                <w14:scene3d>
                  <w14:camera w14:prst="orthographicFront"/>
                  <w14:lightRig w14:rig="threePt" w14:dir="t">
                    <w14:rot w14:lat="0" w14:lon="0" w14:rev="0"/>
                  </w14:lightRig>
                </w14:scene3d>
              </w:rPr>
              <w:t>4.5</w:t>
            </w:r>
            <w:r w:rsidR="001313F9">
              <w:rPr>
                <w:rFonts w:asciiTheme="minorHAnsi" w:eastAsiaTheme="minorEastAsia" w:hAnsiTheme="minorHAnsi" w:cstheme="minorBidi"/>
                <w:noProof/>
                <w:sz w:val="22"/>
                <w:szCs w:val="22"/>
                <w:lang w:eastAsia="en-GB"/>
              </w:rPr>
              <w:tab/>
            </w:r>
            <w:r w:rsidR="001313F9" w:rsidRPr="00B8197B">
              <w:rPr>
                <w:rStyle w:val="Hyperlink"/>
                <w:noProof/>
                <w:lang w:val="en-US"/>
              </w:rPr>
              <w:t>Discussion</w:t>
            </w:r>
            <w:r w:rsidR="001313F9">
              <w:rPr>
                <w:noProof/>
                <w:webHidden/>
              </w:rPr>
              <w:tab/>
            </w:r>
            <w:r w:rsidR="001313F9">
              <w:rPr>
                <w:noProof/>
                <w:webHidden/>
              </w:rPr>
              <w:fldChar w:fldCharType="begin"/>
            </w:r>
            <w:r w:rsidR="001313F9">
              <w:rPr>
                <w:noProof/>
                <w:webHidden/>
              </w:rPr>
              <w:instrText xml:space="preserve"> PAGEREF _Toc370819338 \h </w:instrText>
            </w:r>
            <w:r w:rsidR="001313F9">
              <w:rPr>
                <w:noProof/>
                <w:webHidden/>
              </w:rPr>
            </w:r>
            <w:r w:rsidR="001313F9">
              <w:rPr>
                <w:noProof/>
                <w:webHidden/>
              </w:rPr>
              <w:fldChar w:fldCharType="separate"/>
            </w:r>
            <w:r w:rsidR="001313F9">
              <w:rPr>
                <w:noProof/>
                <w:webHidden/>
              </w:rPr>
              <w:t>240</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39" w:history="1">
            <w:r w:rsidR="001313F9" w:rsidRPr="00B8197B">
              <w:rPr>
                <w:rStyle w:val="Hyperlink"/>
                <w:noProof/>
                <w14:scene3d>
                  <w14:camera w14:prst="orthographicFront"/>
                  <w14:lightRig w14:rig="threePt" w14:dir="t">
                    <w14:rot w14:lat="0" w14:lon="0" w14:rev="0"/>
                  </w14:lightRig>
                </w14:scene3d>
              </w:rPr>
              <w:t>4.5.1</w:t>
            </w:r>
            <w:r w:rsidR="001313F9">
              <w:rPr>
                <w:rFonts w:asciiTheme="minorHAnsi" w:eastAsiaTheme="minorEastAsia" w:hAnsiTheme="minorHAnsi" w:cstheme="minorBidi"/>
                <w:noProof/>
                <w:sz w:val="22"/>
                <w:szCs w:val="22"/>
                <w:lang w:eastAsia="en-GB"/>
              </w:rPr>
              <w:tab/>
            </w:r>
            <w:r w:rsidR="001313F9" w:rsidRPr="00B8197B">
              <w:rPr>
                <w:rStyle w:val="Hyperlink"/>
                <w:noProof/>
              </w:rPr>
              <w:t>Human dental pulp cells source</w:t>
            </w:r>
            <w:r w:rsidR="001313F9">
              <w:rPr>
                <w:noProof/>
                <w:webHidden/>
              </w:rPr>
              <w:tab/>
            </w:r>
            <w:r w:rsidR="001313F9">
              <w:rPr>
                <w:noProof/>
                <w:webHidden/>
              </w:rPr>
              <w:fldChar w:fldCharType="begin"/>
            </w:r>
            <w:r w:rsidR="001313F9">
              <w:rPr>
                <w:noProof/>
                <w:webHidden/>
              </w:rPr>
              <w:instrText xml:space="preserve"> PAGEREF _Toc370819339 \h </w:instrText>
            </w:r>
            <w:r w:rsidR="001313F9">
              <w:rPr>
                <w:noProof/>
                <w:webHidden/>
              </w:rPr>
            </w:r>
            <w:r w:rsidR="001313F9">
              <w:rPr>
                <w:noProof/>
                <w:webHidden/>
              </w:rPr>
              <w:fldChar w:fldCharType="separate"/>
            </w:r>
            <w:r w:rsidR="001313F9">
              <w:rPr>
                <w:noProof/>
                <w:webHidden/>
              </w:rPr>
              <w:t>241</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40" w:history="1">
            <w:r w:rsidR="001313F9" w:rsidRPr="00B8197B">
              <w:rPr>
                <w:rStyle w:val="Hyperlink"/>
                <w:rFonts w:ascii="Arial" w:eastAsia="Calibri" w:hAnsi="Arial"/>
                <w:noProof/>
                <w14:scene3d>
                  <w14:camera w14:prst="orthographicFront"/>
                  <w14:lightRig w14:rig="threePt" w14:dir="t">
                    <w14:rot w14:lat="0" w14:lon="0" w14:rev="0"/>
                  </w14:lightRig>
                </w14:scene3d>
              </w:rPr>
              <w:t>4.5.2</w:t>
            </w:r>
            <w:r w:rsidR="001313F9">
              <w:rPr>
                <w:rFonts w:asciiTheme="minorHAnsi" w:eastAsiaTheme="minorEastAsia" w:hAnsiTheme="minorHAnsi" w:cstheme="minorBidi"/>
                <w:noProof/>
                <w:sz w:val="22"/>
                <w:szCs w:val="22"/>
                <w:lang w:eastAsia="en-GB"/>
              </w:rPr>
              <w:tab/>
            </w:r>
            <w:r w:rsidR="001313F9" w:rsidRPr="00B8197B">
              <w:rPr>
                <w:rStyle w:val="Hyperlink"/>
                <w:noProof/>
              </w:rPr>
              <w:t>Investigation methods:</w:t>
            </w:r>
            <w:r w:rsidR="001313F9">
              <w:rPr>
                <w:noProof/>
                <w:webHidden/>
              </w:rPr>
              <w:tab/>
            </w:r>
            <w:r w:rsidR="001313F9">
              <w:rPr>
                <w:noProof/>
                <w:webHidden/>
              </w:rPr>
              <w:fldChar w:fldCharType="begin"/>
            </w:r>
            <w:r w:rsidR="001313F9">
              <w:rPr>
                <w:noProof/>
                <w:webHidden/>
              </w:rPr>
              <w:instrText xml:space="preserve"> PAGEREF _Toc370819340 \h </w:instrText>
            </w:r>
            <w:r w:rsidR="001313F9">
              <w:rPr>
                <w:noProof/>
                <w:webHidden/>
              </w:rPr>
            </w:r>
            <w:r w:rsidR="001313F9">
              <w:rPr>
                <w:noProof/>
                <w:webHidden/>
              </w:rPr>
              <w:fldChar w:fldCharType="separate"/>
            </w:r>
            <w:r w:rsidR="001313F9">
              <w:rPr>
                <w:noProof/>
                <w:webHidden/>
              </w:rPr>
              <w:t>243</w:t>
            </w:r>
            <w:r w:rsidR="001313F9">
              <w:rPr>
                <w:noProof/>
                <w:webHidden/>
              </w:rPr>
              <w:fldChar w:fldCharType="end"/>
            </w:r>
          </w:hyperlink>
        </w:p>
        <w:p w:rsidR="001313F9" w:rsidRDefault="00A9701A">
          <w:pPr>
            <w:pStyle w:val="TOC3"/>
            <w:tabs>
              <w:tab w:val="left" w:pos="1320"/>
              <w:tab w:val="right" w:leader="dot" w:pos="8330"/>
            </w:tabs>
            <w:rPr>
              <w:rFonts w:asciiTheme="minorHAnsi" w:eastAsiaTheme="minorEastAsia" w:hAnsiTheme="minorHAnsi" w:cstheme="minorBidi"/>
              <w:noProof/>
              <w:sz w:val="22"/>
              <w:szCs w:val="22"/>
              <w:lang w:eastAsia="en-GB"/>
            </w:rPr>
          </w:pPr>
          <w:hyperlink w:anchor="_Toc370819341" w:history="1">
            <w:r w:rsidR="001313F9" w:rsidRPr="00B8197B">
              <w:rPr>
                <w:rStyle w:val="Hyperlink"/>
                <w:noProof/>
                <w14:scene3d>
                  <w14:camera w14:prst="orthographicFront"/>
                  <w14:lightRig w14:rig="threePt" w14:dir="t">
                    <w14:rot w14:lat="0" w14:lon="0" w14:rev="0"/>
                  </w14:lightRig>
                </w14:scene3d>
              </w:rPr>
              <w:t>4.5.3</w:t>
            </w:r>
            <w:r w:rsidR="001313F9">
              <w:rPr>
                <w:rFonts w:asciiTheme="minorHAnsi" w:eastAsiaTheme="minorEastAsia" w:hAnsiTheme="minorHAnsi" w:cstheme="minorBidi"/>
                <w:noProof/>
                <w:sz w:val="22"/>
                <w:szCs w:val="22"/>
                <w:lang w:eastAsia="en-GB"/>
              </w:rPr>
              <w:tab/>
            </w:r>
            <w:r w:rsidR="001313F9" w:rsidRPr="00B8197B">
              <w:rPr>
                <w:rStyle w:val="Hyperlink"/>
                <w:noProof/>
              </w:rPr>
              <w:t>The cells survivability after antibiotics application</w:t>
            </w:r>
            <w:r w:rsidR="001313F9">
              <w:rPr>
                <w:noProof/>
                <w:webHidden/>
              </w:rPr>
              <w:tab/>
            </w:r>
            <w:r w:rsidR="001313F9">
              <w:rPr>
                <w:noProof/>
                <w:webHidden/>
              </w:rPr>
              <w:fldChar w:fldCharType="begin"/>
            </w:r>
            <w:r w:rsidR="001313F9">
              <w:rPr>
                <w:noProof/>
                <w:webHidden/>
              </w:rPr>
              <w:instrText xml:space="preserve"> PAGEREF _Toc370819341 \h </w:instrText>
            </w:r>
            <w:r w:rsidR="001313F9">
              <w:rPr>
                <w:noProof/>
                <w:webHidden/>
              </w:rPr>
            </w:r>
            <w:r w:rsidR="001313F9">
              <w:rPr>
                <w:noProof/>
                <w:webHidden/>
              </w:rPr>
              <w:fldChar w:fldCharType="separate"/>
            </w:r>
            <w:r w:rsidR="001313F9">
              <w:rPr>
                <w:noProof/>
                <w:webHidden/>
              </w:rPr>
              <w:t>247</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342" w:history="1">
            <w:r w:rsidR="001313F9" w:rsidRPr="00B8197B">
              <w:rPr>
                <w:rStyle w:val="Hyperlink"/>
                <w:noProof/>
                <w14:scene3d>
                  <w14:camera w14:prst="orthographicFront"/>
                  <w14:lightRig w14:rig="threePt" w14:dir="t">
                    <w14:rot w14:lat="0" w14:lon="0" w14:rev="0"/>
                  </w14:lightRig>
                </w14:scene3d>
              </w:rPr>
              <w:t>4.6</w:t>
            </w:r>
            <w:r w:rsidR="001313F9">
              <w:rPr>
                <w:rFonts w:asciiTheme="minorHAnsi" w:eastAsiaTheme="minorEastAsia" w:hAnsiTheme="minorHAnsi" w:cstheme="minorBidi"/>
                <w:noProof/>
                <w:sz w:val="22"/>
                <w:szCs w:val="22"/>
                <w:lang w:eastAsia="en-GB"/>
              </w:rPr>
              <w:tab/>
            </w:r>
            <w:r w:rsidR="001313F9" w:rsidRPr="00B8197B">
              <w:rPr>
                <w:rStyle w:val="Hyperlink"/>
                <w:noProof/>
              </w:rPr>
              <w:t>Conclusion</w:t>
            </w:r>
            <w:r w:rsidR="001313F9">
              <w:rPr>
                <w:noProof/>
                <w:webHidden/>
              </w:rPr>
              <w:tab/>
            </w:r>
            <w:r w:rsidR="001313F9">
              <w:rPr>
                <w:noProof/>
                <w:webHidden/>
              </w:rPr>
              <w:fldChar w:fldCharType="begin"/>
            </w:r>
            <w:r w:rsidR="001313F9">
              <w:rPr>
                <w:noProof/>
                <w:webHidden/>
              </w:rPr>
              <w:instrText xml:space="preserve"> PAGEREF _Toc370819342 \h </w:instrText>
            </w:r>
            <w:r w:rsidR="001313F9">
              <w:rPr>
                <w:noProof/>
                <w:webHidden/>
              </w:rPr>
            </w:r>
            <w:r w:rsidR="001313F9">
              <w:rPr>
                <w:noProof/>
                <w:webHidden/>
              </w:rPr>
              <w:fldChar w:fldCharType="separate"/>
            </w:r>
            <w:r w:rsidR="001313F9">
              <w:rPr>
                <w:noProof/>
                <w:webHidden/>
              </w:rPr>
              <w:t>251</w:t>
            </w:r>
            <w:r w:rsidR="001313F9">
              <w:rPr>
                <w:noProof/>
                <w:webHidden/>
              </w:rPr>
              <w:fldChar w:fldCharType="end"/>
            </w:r>
          </w:hyperlink>
        </w:p>
        <w:p w:rsidR="001313F9" w:rsidRDefault="00A9701A">
          <w:pPr>
            <w:pStyle w:val="TOC2"/>
            <w:rPr>
              <w:rFonts w:asciiTheme="minorHAnsi" w:eastAsiaTheme="minorEastAsia" w:hAnsiTheme="minorHAnsi" w:cstheme="minorBidi"/>
              <w:noProof/>
              <w:sz w:val="22"/>
              <w:szCs w:val="22"/>
              <w:lang w:eastAsia="en-GB"/>
            </w:rPr>
          </w:pPr>
          <w:hyperlink w:anchor="_Toc370819343" w:history="1">
            <w:r w:rsidR="001313F9" w:rsidRPr="00B8197B">
              <w:rPr>
                <w:rStyle w:val="Hyperlink"/>
                <w:noProof/>
                <w14:scene3d>
                  <w14:camera w14:prst="orthographicFront"/>
                  <w14:lightRig w14:rig="threePt" w14:dir="t">
                    <w14:rot w14:lat="0" w14:lon="0" w14:rev="0"/>
                  </w14:lightRig>
                </w14:scene3d>
              </w:rPr>
              <w:t>4.7</w:t>
            </w:r>
            <w:r w:rsidR="001313F9">
              <w:rPr>
                <w:rFonts w:asciiTheme="minorHAnsi" w:eastAsiaTheme="minorEastAsia" w:hAnsiTheme="minorHAnsi" w:cstheme="minorBidi"/>
                <w:noProof/>
                <w:sz w:val="22"/>
                <w:szCs w:val="22"/>
                <w:lang w:eastAsia="en-GB"/>
              </w:rPr>
              <w:tab/>
            </w:r>
            <w:r w:rsidR="001313F9" w:rsidRPr="00B8197B">
              <w:rPr>
                <w:rStyle w:val="Hyperlink"/>
                <w:noProof/>
              </w:rPr>
              <w:t>CLINICAL IMPLICATION</w:t>
            </w:r>
            <w:r w:rsidR="001313F9">
              <w:rPr>
                <w:noProof/>
                <w:webHidden/>
              </w:rPr>
              <w:tab/>
            </w:r>
            <w:r w:rsidR="001313F9">
              <w:rPr>
                <w:noProof/>
                <w:webHidden/>
              </w:rPr>
              <w:fldChar w:fldCharType="begin"/>
            </w:r>
            <w:r w:rsidR="001313F9">
              <w:rPr>
                <w:noProof/>
                <w:webHidden/>
              </w:rPr>
              <w:instrText xml:space="preserve"> PAGEREF _Toc370819343 \h </w:instrText>
            </w:r>
            <w:r w:rsidR="001313F9">
              <w:rPr>
                <w:noProof/>
                <w:webHidden/>
              </w:rPr>
            </w:r>
            <w:r w:rsidR="001313F9">
              <w:rPr>
                <w:noProof/>
                <w:webHidden/>
              </w:rPr>
              <w:fldChar w:fldCharType="separate"/>
            </w:r>
            <w:r w:rsidR="001313F9">
              <w:rPr>
                <w:noProof/>
                <w:webHidden/>
              </w:rPr>
              <w:t>252</w:t>
            </w:r>
            <w:r w:rsidR="001313F9">
              <w:rPr>
                <w:noProof/>
                <w:webHidden/>
              </w:rPr>
              <w:fldChar w:fldCharType="end"/>
            </w:r>
          </w:hyperlink>
        </w:p>
        <w:p w:rsidR="001313F9" w:rsidRDefault="00A9701A">
          <w:pPr>
            <w:pStyle w:val="TOC1"/>
            <w:tabs>
              <w:tab w:val="left" w:pos="480"/>
              <w:tab w:val="right" w:leader="dot" w:pos="8330"/>
            </w:tabs>
            <w:rPr>
              <w:rFonts w:asciiTheme="minorHAnsi" w:eastAsiaTheme="minorEastAsia" w:hAnsiTheme="minorHAnsi" w:cstheme="minorBidi"/>
              <w:noProof/>
              <w:sz w:val="22"/>
              <w:szCs w:val="22"/>
              <w:lang w:eastAsia="en-GB"/>
            </w:rPr>
          </w:pPr>
          <w:hyperlink w:anchor="_Toc370819344" w:history="1">
            <w:r w:rsidR="001313F9" w:rsidRPr="00B8197B">
              <w:rPr>
                <w:rStyle w:val="Hyperlink"/>
                <w:noProof/>
                <w14:scene3d>
                  <w14:camera w14:prst="orthographicFront"/>
                  <w14:lightRig w14:rig="threePt" w14:dir="t">
                    <w14:rot w14:lat="0" w14:lon="0" w14:rev="0"/>
                  </w14:lightRig>
                </w14:scene3d>
              </w:rPr>
              <w:t>5.</w:t>
            </w:r>
            <w:r w:rsidR="001313F9">
              <w:rPr>
                <w:rFonts w:asciiTheme="minorHAnsi" w:eastAsiaTheme="minorEastAsia" w:hAnsiTheme="minorHAnsi" w:cstheme="minorBidi"/>
                <w:noProof/>
                <w:sz w:val="22"/>
                <w:szCs w:val="22"/>
                <w:lang w:eastAsia="en-GB"/>
              </w:rPr>
              <w:tab/>
            </w:r>
            <w:r w:rsidR="001313F9" w:rsidRPr="00B8197B">
              <w:rPr>
                <w:rStyle w:val="Hyperlink"/>
                <w:noProof/>
              </w:rPr>
              <w:t>References</w:t>
            </w:r>
            <w:r w:rsidR="001313F9">
              <w:rPr>
                <w:noProof/>
                <w:webHidden/>
              </w:rPr>
              <w:tab/>
            </w:r>
            <w:r w:rsidR="001313F9">
              <w:rPr>
                <w:noProof/>
                <w:webHidden/>
              </w:rPr>
              <w:fldChar w:fldCharType="begin"/>
            </w:r>
            <w:r w:rsidR="001313F9">
              <w:rPr>
                <w:noProof/>
                <w:webHidden/>
              </w:rPr>
              <w:instrText xml:space="preserve"> PAGEREF _Toc370819344 \h </w:instrText>
            </w:r>
            <w:r w:rsidR="001313F9">
              <w:rPr>
                <w:noProof/>
                <w:webHidden/>
              </w:rPr>
            </w:r>
            <w:r w:rsidR="001313F9">
              <w:rPr>
                <w:noProof/>
                <w:webHidden/>
              </w:rPr>
              <w:fldChar w:fldCharType="separate"/>
            </w:r>
            <w:r w:rsidR="001313F9">
              <w:rPr>
                <w:noProof/>
                <w:webHidden/>
              </w:rPr>
              <w:t>253</w:t>
            </w:r>
            <w:r w:rsidR="001313F9">
              <w:rPr>
                <w:noProof/>
                <w:webHidden/>
              </w:rPr>
              <w:fldChar w:fldCharType="end"/>
            </w:r>
          </w:hyperlink>
        </w:p>
        <w:p w:rsidR="000D083C" w:rsidRPr="00FB4405" w:rsidRDefault="000D083C">
          <w:pPr>
            <w:rPr>
              <w:rFonts w:cstheme="minorBidi"/>
              <w:b/>
              <w:bCs/>
              <w:noProof/>
              <w:sz w:val="22"/>
              <w:szCs w:val="22"/>
            </w:rPr>
          </w:pPr>
          <w:r w:rsidRPr="00FB4405">
            <w:rPr>
              <w:rFonts w:cstheme="minorBidi"/>
              <w:b/>
              <w:bCs/>
              <w:noProof/>
              <w:sz w:val="22"/>
              <w:szCs w:val="22"/>
            </w:rPr>
            <w:fldChar w:fldCharType="end"/>
          </w:r>
        </w:p>
        <w:p w:rsidR="000D083C" w:rsidRPr="00FB4405" w:rsidRDefault="000D083C">
          <w:pPr>
            <w:rPr>
              <w:rFonts w:cstheme="minorBidi"/>
              <w:b/>
              <w:bCs/>
              <w:noProof/>
              <w:sz w:val="22"/>
              <w:szCs w:val="22"/>
            </w:rPr>
          </w:pPr>
          <w:r w:rsidRPr="00FB4405">
            <w:rPr>
              <w:rFonts w:cstheme="minorBidi"/>
              <w:b/>
              <w:bCs/>
              <w:noProof/>
              <w:sz w:val="22"/>
              <w:szCs w:val="22"/>
            </w:rPr>
            <w:br w:type="page"/>
          </w:r>
        </w:p>
        <w:p w:rsidR="000D083C" w:rsidRPr="00FB4405" w:rsidRDefault="000D083C" w:rsidP="00D072AB">
          <w:pPr>
            <w:ind w:left="720" w:hanging="720"/>
            <w:jc w:val="center"/>
            <w:rPr>
              <w:rFonts w:cstheme="minorBidi"/>
              <w:b/>
              <w:bCs/>
              <w:sz w:val="22"/>
              <w:szCs w:val="22"/>
            </w:rPr>
          </w:pPr>
          <w:r w:rsidRPr="00FB4405">
            <w:rPr>
              <w:rFonts w:cstheme="minorBidi"/>
              <w:b/>
              <w:bCs/>
              <w:sz w:val="22"/>
              <w:szCs w:val="22"/>
            </w:rPr>
            <w:lastRenderedPageBreak/>
            <w:t xml:space="preserve">List of </w:t>
          </w:r>
          <w:r w:rsidR="00F5474B" w:rsidRPr="00FB4405">
            <w:rPr>
              <w:rFonts w:cstheme="minorBidi"/>
              <w:b/>
              <w:bCs/>
              <w:sz w:val="22"/>
              <w:szCs w:val="22"/>
            </w:rPr>
            <w:t>F</w:t>
          </w:r>
          <w:r w:rsidRPr="00FB4405">
            <w:rPr>
              <w:rFonts w:cstheme="minorBidi"/>
              <w:b/>
              <w:bCs/>
              <w:sz w:val="22"/>
              <w:szCs w:val="22"/>
            </w:rPr>
            <w:t>igures</w:t>
          </w:r>
        </w:p>
      </w:sdtContent>
    </w:sdt>
    <w:p w:rsidR="00656B6A" w:rsidRPr="00FB4405" w:rsidRDefault="00252DE2">
      <w:pPr>
        <w:pStyle w:val="TableofFigures"/>
        <w:tabs>
          <w:tab w:val="right" w:leader="dot" w:pos="8330"/>
        </w:tabs>
        <w:rPr>
          <w:rFonts w:asciiTheme="minorBidi" w:eastAsiaTheme="minorEastAsia" w:hAnsiTheme="minorBidi" w:cstheme="minorBidi"/>
          <w:b/>
          <w:bCs/>
          <w:smallCaps w:val="0"/>
          <w:noProof/>
          <w:sz w:val="22"/>
          <w:szCs w:val="22"/>
          <w:lang w:eastAsia="zh-CN"/>
        </w:rPr>
      </w:pPr>
      <w:r w:rsidRPr="00FB4405">
        <w:rPr>
          <w:rFonts w:asciiTheme="minorBidi" w:eastAsiaTheme="majorEastAsia" w:hAnsiTheme="minorBidi" w:cstheme="minorBidi"/>
          <w:b/>
          <w:bCs/>
          <w:smallCaps w:val="0"/>
          <w:spacing w:val="5"/>
          <w:kern w:val="28"/>
          <w:sz w:val="22"/>
          <w:szCs w:val="22"/>
        </w:rPr>
        <w:fldChar w:fldCharType="begin"/>
      </w:r>
      <w:r w:rsidRPr="00FB4405">
        <w:rPr>
          <w:rFonts w:asciiTheme="minorBidi" w:eastAsiaTheme="majorEastAsia" w:hAnsiTheme="minorBidi" w:cstheme="minorBidi"/>
          <w:b/>
          <w:bCs/>
          <w:smallCaps w:val="0"/>
          <w:spacing w:val="5"/>
          <w:kern w:val="28"/>
          <w:sz w:val="22"/>
          <w:szCs w:val="22"/>
        </w:rPr>
        <w:instrText xml:space="preserve"> TOC \h \z \c "Figure" </w:instrText>
      </w:r>
      <w:r w:rsidRPr="00FB4405">
        <w:rPr>
          <w:rFonts w:asciiTheme="minorBidi" w:eastAsiaTheme="majorEastAsia" w:hAnsiTheme="minorBidi" w:cstheme="minorBidi"/>
          <w:b/>
          <w:bCs/>
          <w:smallCaps w:val="0"/>
          <w:spacing w:val="5"/>
          <w:kern w:val="28"/>
          <w:sz w:val="22"/>
          <w:szCs w:val="22"/>
        </w:rPr>
        <w:fldChar w:fldCharType="separate"/>
      </w:r>
      <w:hyperlink w:anchor="_Toc361734233" w:history="1">
        <w:r w:rsidR="00656B6A" w:rsidRPr="00FB4405">
          <w:rPr>
            <w:rStyle w:val="Hyperlink"/>
            <w:rFonts w:asciiTheme="minorBidi" w:hAnsiTheme="minorBidi" w:cstheme="minorBidi"/>
            <w:b/>
            <w:bCs/>
            <w:noProof/>
            <w:sz w:val="22"/>
            <w:szCs w:val="22"/>
          </w:rPr>
          <w:t>Figure 1.1</w:t>
        </w:r>
        <w:r w:rsidR="00656B6A" w:rsidRPr="00FB4405">
          <w:rPr>
            <w:rStyle w:val="Hyperlink"/>
            <w:rFonts w:asciiTheme="minorBidi" w:hAnsiTheme="minorBidi" w:cstheme="minorBidi"/>
            <w:b/>
            <w:bCs/>
            <w:noProof/>
            <w:sz w:val="22"/>
            <w:szCs w:val="22"/>
            <w:lang w:val="en-US"/>
          </w:rPr>
          <w:t xml:space="preserve"> Successes</w:t>
        </w:r>
        <w:r w:rsidR="00656B6A" w:rsidRPr="00FB4405">
          <w:rPr>
            <w:rStyle w:val="Hyperlink"/>
            <w:rFonts w:asciiTheme="minorBidi" w:hAnsiTheme="minorBidi" w:cstheme="minorBidi"/>
            <w:b/>
            <w:bCs/>
            <w:noProof/>
            <w:sz w:val="22"/>
            <w:szCs w:val="22"/>
          </w:rPr>
          <w:t xml:space="preserve"> of calcium hydroxide apexification in three studies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_Toc361734233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26</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10" w:anchor="_Toc361734234" w:history="1">
        <w:r w:rsidR="00656B6A" w:rsidRPr="00FB4405">
          <w:rPr>
            <w:rStyle w:val="Hyperlink"/>
            <w:rFonts w:asciiTheme="minorBidi" w:hAnsiTheme="minorBidi" w:cstheme="minorBidi"/>
            <w:b/>
            <w:bCs/>
            <w:noProof/>
            <w:sz w:val="22"/>
            <w:szCs w:val="22"/>
          </w:rPr>
          <w:t>Figure 2.1 A view of the sectioned tooth root for both control and expermintal groups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_Toc361734234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80</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11" w:anchor="_Toc361734235" w:history="1">
        <w:r w:rsidR="00656B6A" w:rsidRPr="00FB4405">
          <w:rPr>
            <w:rStyle w:val="Hyperlink"/>
            <w:rFonts w:asciiTheme="minorBidi" w:hAnsiTheme="minorBidi" w:cstheme="minorBidi"/>
            <w:b/>
            <w:bCs/>
            <w:noProof/>
            <w:sz w:val="22"/>
            <w:szCs w:val="22"/>
          </w:rPr>
          <w:t>Figure 2.2 Nanoindentor used to test the Hardness of dentine</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_Toc361734235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82</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12" w:anchor="_Toc361734236" w:history="1">
        <w:r w:rsidR="00656B6A" w:rsidRPr="00FB4405">
          <w:rPr>
            <w:rStyle w:val="Hyperlink"/>
            <w:rFonts w:asciiTheme="minorBidi" w:hAnsiTheme="minorBidi" w:cstheme="minorBidi"/>
            <w:b/>
            <w:bCs/>
            <w:noProof/>
            <w:sz w:val="22"/>
            <w:szCs w:val="22"/>
          </w:rPr>
          <w:t>Figure 2.3 Metal die constructed to hold the dentine samples for assessment by nanoindention</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_Toc361734236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84</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13" w:anchor="_Toc361734237" w:history="1">
        <w:r w:rsidR="00656B6A" w:rsidRPr="00FB4405">
          <w:rPr>
            <w:rStyle w:val="Hyperlink"/>
            <w:rFonts w:asciiTheme="minorBidi" w:hAnsiTheme="minorBidi" w:cstheme="minorBidi"/>
            <w:b/>
            <w:bCs/>
            <w:noProof/>
            <w:sz w:val="22"/>
            <w:szCs w:val="22"/>
          </w:rPr>
          <w:t>Figure 2.4 Showing the composite block containing the dentine slab cut in the middle.</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_Toc361734237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85</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14" w:anchor="_Toc361734238" w:history="1">
        <w:r w:rsidR="00656B6A" w:rsidRPr="00FB4405">
          <w:rPr>
            <w:rStyle w:val="Hyperlink"/>
            <w:rFonts w:asciiTheme="minorBidi" w:hAnsiTheme="minorBidi" w:cstheme="minorBidi"/>
            <w:b/>
            <w:bCs/>
            <w:noProof/>
            <w:sz w:val="22"/>
            <w:szCs w:val="22"/>
          </w:rPr>
          <w:t>Figure 2.5 Showing test area and the arrow indicates the site of nanoindentation measurement</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_Toc361734238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85</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15" w:anchor="_Toc361734239" w:history="1">
        <w:r w:rsidR="00656B6A" w:rsidRPr="00FB4405">
          <w:rPr>
            <w:rStyle w:val="Hyperlink"/>
            <w:rFonts w:asciiTheme="minorBidi" w:hAnsiTheme="minorBidi" w:cstheme="minorBidi"/>
            <w:b/>
            <w:bCs/>
            <w:noProof/>
            <w:sz w:val="22"/>
            <w:szCs w:val="22"/>
          </w:rPr>
          <w:t>Figure 2.6 Illustration of the NanoTest system showing the configuration for impact testing.</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_Toc361734239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88</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16" w:anchor="_Toc361734240" w:history="1">
        <w:r w:rsidR="00656B6A" w:rsidRPr="00FB4405">
          <w:rPr>
            <w:rStyle w:val="Hyperlink"/>
            <w:rFonts w:asciiTheme="minorBidi" w:hAnsiTheme="minorBidi" w:cstheme="minorBidi"/>
            <w:b/>
            <w:bCs/>
            <w:noProof/>
            <w:sz w:val="22"/>
            <w:szCs w:val="22"/>
          </w:rPr>
          <w:t>Figure 2.7 Whisker box plot showing that the data for hardness of dentine is not normally distributed.</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_Toc361734240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91</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17" w:anchor="_Toc361734241" w:history="1">
        <w:r w:rsidR="00656B6A" w:rsidRPr="00FB4405">
          <w:rPr>
            <w:rStyle w:val="Hyperlink"/>
            <w:rFonts w:asciiTheme="minorBidi" w:hAnsiTheme="minorBidi" w:cstheme="minorBidi"/>
            <w:b/>
            <w:bCs/>
            <w:noProof/>
            <w:sz w:val="22"/>
            <w:szCs w:val="22"/>
          </w:rPr>
          <w:t>Figure 2.8 Whisker box plot showing that the data for hardness of dentine is not normally distributed.</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_Toc361734241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92</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18" w:anchor="_Toc361734242" w:history="1">
        <w:r w:rsidR="00656B6A" w:rsidRPr="00FB4405">
          <w:rPr>
            <w:rStyle w:val="Hyperlink"/>
            <w:rFonts w:asciiTheme="minorBidi" w:hAnsiTheme="minorBidi" w:cstheme="minorBidi"/>
            <w:b/>
            <w:bCs/>
            <w:noProof/>
            <w:sz w:val="22"/>
            <w:szCs w:val="22"/>
          </w:rPr>
          <w:t>Figure 2.9 Whisker box</w:t>
        </w:r>
        <w:r w:rsidR="00656B6A" w:rsidRPr="00FB4405">
          <w:rPr>
            <w:rStyle w:val="Hyperlink"/>
            <w:rFonts w:asciiTheme="minorBidi" w:eastAsia="Calibri" w:hAnsiTheme="minorBidi" w:cstheme="minorBidi"/>
            <w:b/>
            <w:bCs/>
            <w:noProof/>
            <w:sz w:val="22"/>
            <w:szCs w:val="22"/>
          </w:rPr>
          <w:t xml:space="preserve"> plot </w:t>
        </w:r>
        <w:r w:rsidR="00656B6A" w:rsidRPr="00FB4405">
          <w:rPr>
            <w:rStyle w:val="Hyperlink"/>
            <w:rFonts w:asciiTheme="minorBidi" w:hAnsiTheme="minorBidi" w:cstheme="minorBidi"/>
            <w:b/>
            <w:bCs/>
            <w:noProof/>
            <w:sz w:val="22"/>
            <w:szCs w:val="22"/>
          </w:rPr>
          <w:t>represents the effect of NSCH and MTA on dentine slabs hardness after three months compared to control group.</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_Toc361734242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94</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43" w:history="1">
        <w:r w:rsidR="00656B6A" w:rsidRPr="00FB4405">
          <w:rPr>
            <w:rStyle w:val="Hyperlink"/>
            <w:rFonts w:asciiTheme="minorBidi" w:hAnsiTheme="minorBidi" w:cstheme="minorBidi"/>
            <w:b/>
            <w:bCs/>
            <w:noProof/>
            <w:sz w:val="22"/>
            <w:szCs w:val="22"/>
          </w:rPr>
          <w:t xml:space="preserve">Figure 2.10 </w:t>
        </w:r>
        <w:r w:rsidR="00656B6A" w:rsidRPr="00FB4405">
          <w:rPr>
            <w:rStyle w:val="Hyperlink"/>
            <w:rFonts w:asciiTheme="minorBidi" w:eastAsia="Calibri" w:hAnsiTheme="minorBidi" w:cstheme="minorBidi"/>
            <w:b/>
            <w:bCs/>
            <w:noProof/>
            <w:sz w:val="22"/>
            <w:szCs w:val="22"/>
          </w:rPr>
          <w:t xml:space="preserve">Whisker box plot </w:t>
        </w:r>
        <w:r w:rsidR="00656B6A" w:rsidRPr="00FB4405">
          <w:rPr>
            <w:rStyle w:val="Hyperlink"/>
            <w:rFonts w:asciiTheme="minorBidi" w:hAnsiTheme="minorBidi" w:cstheme="minorBidi"/>
            <w:b/>
            <w:bCs/>
            <w:noProof/>
            <w:sz w:val="22"/>
            <w:szCs w:val="22"/>
          </w:rPr>
          <w:t>represents the effect of NSCH and MTA on dentine slabs Modulus of elasticity after three months compared to control slabs.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_Toc361734243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96</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44" w:history="1">
        <w:r w:rsidR="00656B6A" w:rsidRPr="00FB4405">
          <w:rPr>
            <w:rStyle w:val="Hyperlink"/>
            <w:rFonts w:asciiTheme="minorBidi" w:hAnsiTheme="minorBidi" w:cstheme="minorBidi"/>
            <w:b/>
            <w:bCs/>
            <w:noProof/>
            <w:sz w:val="22"/>
            <w:szCs w:val="22"/>
          </w:rPr>
          <w:t xml:space="preserve">Figure 2.11 </w:t>
        </w:r>
        <w:r w:rsidR="00656B6A" w:rsidRPr="00FB4405">
          <w:rPr>
            <w:rStyle w:val="Hyperlink"/>
            <w:rFonts w:asciiTheme="minorBidi" w:eastAsia="Calibri" w:hAnsiTheme="minorBidi" w:cstheme="minorBidi"/>
            <w:b/>
            <w:bCs/>
            <w:noProof/>
            <w:sz w:val="22"/>
            <w:szCs w:val="22"/>
          </w:rPr>
          <w:t>Whisker box plot represents the effect of NSCH and MTA on dentine slabs hardness after eight months compared to control group.</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_Toc361734244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99</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45" w:history="1">
        <w:r w:rsidR="00656B6A" w:rsidRPr="00FB4405">
          <w:rPr>
            <w:rStyle w:val="Hyperlink"/>
            <w:rFonts w:asciiTheme="minorBidi" w:hAnsiTheme="minorBidi" w:cstheme="minorBidi"/>
            <w:b/>
            <w:bCs/>
            <w:noProof/>
            <w:sz w:val="22"/>
            <w:szCs w:val="22"/>
          </w:rPr>
          <w:t xml:space="preserve">Figure 2.12 </w:t>
        </w:r>
        <w:r w:rsidR="00656B6A" w:rsidRPr="00FB4405">
          <w:rPr>
            <w:rStyle w:val="Hyperlink"/>
            <w:rFonts w:asciiTheme="minorBidi" w:eastAsia="Calibri" w:hAnsiTheme="minorBidi" w:cstheme="minorBidi"/>
            <w:b/>
            <w:bCs/>
            <w:noProof/>
            <w:sz w:val="22"/>
            <w:szCs w:val="22"/>
          </w:rPr>
          <w:t>Whisker box plot represents the effect of NSCH and MTA on dentine slabs Modulus of elasticity after eight months compared to control slabs.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_Toc361734245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101</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46" w:history="1">
        <w:r w:rsidR="00656B6A" w:rsidRPr="00FB4405">
          <w:rPr>
            <w:rStyle w:val="Hyperlink"/>
            <w:rFonts w:asciiTheme="minorBidi" w:hAnsiTheme="minorBidi" w:cstheme="minorBidi"/>
            <w:b/>
            <w:bCs/>
            <w:noProof/>
            <w:sz w:val="22"/>
            <w:szCs w:val="22"/>
          </w:rPr>
          <w:t xml:space="preserve">Figure 2.13 </w:t>
        </w:r>
        <w:r w:rsidR="00656B6A" w:rsidRPr="00FB4405">
          <w:rPr>
            <w:rStyle w:val="Hyperlink"/>
            <w:rFonts w:asciiTheme="minorBidi" w:eastAsia="Calibri" w:hAnsiTheme="minorBidi" w:cstheme="minorBidi"/>
            <w:b/>
            <w:bCs/>
            <w:noProof/>
            <w:sz w:val="22"/>
            <w:szCs w:val="22"/>
          </w:rPr>
          <w:t xml:space="preserve">Colour </w:t>
        </w:r>
        <w:r w:rsidR="00656B6A" w:rsidRPr="00FB4405">
          <w:rPr>
            <w:rStyle w:val="Hyperlink"/>
            <w:rFonts w:asciiTheme="minorBidi" w:eastAsia="Calibri" w:hAnsiTheme="minorBidi" w:cstheme="minorBidi"/>
            <w:b/>
            <w:bCs/>
            <w:noProof/>
            <w:sz w:val="22"/>
            <w:szCs w:val="22"/>
            <w:lang w:val="en-US"/>
          </w:rPr>
          <w:t>scale to illustrate the hardness and modulus of elasticity.</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_Toc361734246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103</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47" w:history="1">
        <w:r w:rsidR="00656B6A" w:rsidRPr="00FB4405">
          <w:rPr>
            <w:rStyle w:val="Hyperlink"/>
            <w:rFonts w:asciiTheme="minorBidi" w:hAnsiTheme="minorBidi" w:cstheme="minorBidi"/>
            <w:b/>
            <w:bCs/>
            <w:noProof/>
            <w:sz w:val="22"/>
            <w:szCs w:val="22"/>
          </w:rPr>
          <w:t xml:space="preserve">Figure 2.14 </w:t>
        </w:r>
        <w:r w:rsidR="00656B6A" w:rsidRPr="00FB4405">
          <w:rPr>
            <w:rStyle w:val="Hyperlink"/>
            <w:rFonts w:asciiTheme="minorBidi" w:eastAsia="Calibri" w:hAnsiTheme="minorBidi" w:cstheme="minorBidi"/>
            <w:b/>
            <w:bCs/>
            <w:noProof/>
            <w:sz w:val="22"/>
            <w:szCs w:val="22"/>
            <w:lang w:val="en-US"/>
          </w:rPr>
          <w:t>Showing dentine surface hardness of the control group.  It can be seen that the dominant colours ranged between green and red indicating high hardness.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_Toc361734247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104</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48" w:history="1">
        <w:r w:rsidR="00656B6A" w:rsidRPr="00FB4405">
          <w:rPr>
            <w:rStyle w:val="Hyperlink"/>
            <w:rFonts w:asciiTheme="minorBidi" w:hAnsiTheme="minorBidi" w:cstheme="minorBidi"/>
            <w:b/>
            <w:bCs/>
            <w:noProof/>
            <w:sz w:val="22"/>
            <w:szCs w:val="22"/>
          </w:rPr>
          <w:t xml:space="preserve">Figure 2.15 </w:t>
        </w:r>
        <w:r w:rsidR="00656B6A" w:rsidRPr="00FB4405">
          <w:rPr>
            <w:rStyle w:val="Hyperlink"/>
            <w:rFonts w:asciiTheme="minorBidi" w:hAnsiTheme="minorBidi" w:cstheme="minorBidi"/>
            <w:b/>
            <w:bCs/>
            <w:noProof/>
            <w:sz w:val="22"/>
            <w:szCs w:val="22"/>
            <w:lang w:val="en-US"/>
          </w:rPr>
          <w:t>Showing dentine surface hardness of NSCH.  It can be seen that the dominant colours ranged between green and blue indicating soft or low hardness.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_Toc361734248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104</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49" w:history="1">
        <w:r w:rsidR="00656B6A" w:rsidRPr="00FB4405">
          <w:rPr>
            <w:rStyle w:val="Hyperlink"/>
            <w:rFonts w:asciiTheme="minorBidi" w:hAnsiTheme="minorBidi" w:cstheme="minorBidi"/>
            <w:b/>
            <w:bCs/>
            <w:noProof/>
            <w:sz w:val="22"/>
            <w:szCs w:val="22"/>
          </w:rPr>
          <w:t xml:space="preserve">Figure 2.16 </w:t>
        </w:r>
        <w:r w:rsidR="00656B6A" w:rsidRPr="00FB4405">
          <w:rPr>
            <w:rStyle w:val="Hyperlink"/>
            <w:rFonts w:asciiTheme="minorBidi" w:hAnsiTheme="minorBidi" w:cstheme="minorBidi"/>
            <w:b/>
            <w:bCs/>
            <w:noProof/>
            <w:sz w:val="22"/>
            <w:szCs w:val="22"/>
            <w:lang w:val="en-US"/>
          </w:rPr>
          <w:t>Showing dentine surface hardness after 8 months of MTA application.   It can be seen that the dominant colour is blue indicating low hardness.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_Toc361734249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105</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50" w:history="1">
        <w:r w:rsidR="00656B6A" w:rsidRPr="00FB4405">
          <w:rPr>
            <w:rStyle w:val="Hyperlink"/>
            <w:rFonts w:asciiTheme="minorBidi" w:hAnsiTheme="minorBidi" w:cstheme="minorBidi"/>
            <w:b/>
            <w:bCs/>
            <w:noProof/>
            <w:sz w:val="22"/>
            <w:szCs w:val="22"/>
          </w:rPr>
          <w:t xml:space="preserve">Figure 2.17 </w:t>
        </w:r>
        <w:r w:rsidR="00656B6A" w:rsidRPr="00FB4405">
          <w:rPr>
            <w:rStyle w:val="Hyperlink"/>
            <w:rFonts w:asciiTheme="minorBidi" w:eastAsia="Calibri" w:hAnsiTheme="minorBidi" w:cstheme="minorBidi"/>
            <w:b/>
            <w:bCs/>
            <w:noProof/>
            <w:sz w:val="22"/>
            <w:szCs w:val="22"/>
            <w:lang w:val="en-US"/>
          </w:rPr>
          <w:t>Showing dentine surface modulus of elasticity for the control group. It can be seen that the colour ranged between green and red meaning high modulus of elasticity.</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_Toc361734250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106</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51" w:history="1">
        <w:r w:rsidR="00656B6A" w:rsidRPr="00FB4405">
          <w:rPr>
            <w:rStyle w:val="Hyperlink"/>
            <w:rFonts w:asciiTheme="minorBidi" w:hAnsiTheme="minorBidi" w:cstheme="minorBidi"/>
            <w:b/>
            <w:bCs/>
            <w:noProof/>
            <w:sz w:val="22"/>
            <w:szCs w:val="22"/>
          </w:rPr>
          <w:t xml:space="preserve">Figure 2.18 </w:t>
        </w:r>
        <w:r w:rsidR="00656B6A" w:rsidRPr="00FB4405">
          <w:rPr>
            <w:rStyle w:val="Hyperlink"/>
            <w:rFonts w:asciiTheme="minorBidi" w:hAnsiTheme="minorBidi" w:cstheme="minorBidi"/>
            <w:b/>
            <w:bCs/>
            <w:noProof/>
            <w:sz w:val="22"/>
            <w:szCs w:val="22"/>
            <w:lang w:val="en-US"/>
          </w:rPr>
          <w:t>Showing dentine surface modulus of elasticity for the NSCH. It can be seen that that the dominant colour is blue meaning low modulus of elasticity.</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_Toc361734251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106</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52" w:history="1">
        <w:r w:rsidR="00656B6A" w:rsidRPr="00FB4405">
          <w:rPr>
            <w:rStyle w:val="Hyperlink"/>
            <w:rFonts w:asciiTheme="minorBidi" w:hAnsiTheme="minorBidi" w:cstheme="minorBidi"/>
            <w:b/>
            <w:bCs/>
            <w:noProof/>
            <w:sz w:val="22"/>
            <w:szCs w:val="22"/>
          </w:rPr>
          <w:t xml:space="preserve">Figure 2.19 </w:t>
        </w:r>
        <w:r w:rsidR="00656B6A" w:rsidRPr="00FB4405">
          <w:rPr>
            <w:rStyle w:val="Hyperlink"/>
            <w:rFonts w:asciiTheme="minorBidi" w:hAnsiTheme="minorBidi" w:cstheme="minorBidi"/>
            <w:b/>
            <w:bCs/>
            <w:noProof/>
            <w:sz w:val="22"/>
            <w:szCs w:val="22"/>
            <w:lang w:val="en-US"/>
          </w:rPr>
          <w:t>Showing dentine surface modulus of elasticity for the MTA. It can be seen that that the dominant colour is blue indicating low modulus of elasticity.</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_Toc361734252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107</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53" w:history="1">
        <w:r w:rsidR="00656B6A" w:rsidRPr="00FB4405">
          <w:rPr>
            <w:rStyle w:val="Hyperlink"/>
            <w:rFonts w:asciiTheme="minorBidi" w:hAnsiTheme="minorBidi" w:cstheme="minorBidi"/>
            <w:b/>
            <w:bCs/>
            <w:noProof/>
            <w:sz w:val="22"/>
            <w:szCs w:val="22"/>
          </w:rPr>
          <w:t xml:space="preserve">Figure 2.20 </w:t>
        </w:r>
        <w:r w:rsidR="00656B6A" w:rsidRPr="00FB4405">
          <w:rPr>
            <w:rStyle w:val="Hyperlink"/>
            <w:rFonts w:asciiTheme="minorBidi" w:hAnsiTheme="minorBidi" w:cstheme="minorBidi"/>
            <w:b/>
            <w:bCs/>
            <w:noProof/>
            <w:sz w:val="22"/>
            <w:szCs w:val="22"/>
            <w:lang w:val="en-US"/>
          </w:rPr>
          <w:t>The rapid Nano-impact test showing the resistance to multiple impacts of the indenter force of 15 mN for control group for up to 300 seconds.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_Toc361734253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109</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54" w:history="1">
        <w:r w:rsidR="00656B6A" w:rsidRPr="00FB4405">
          <w:rPr>
            <w:rStyle w:val="Hyperlink"/>
            <w:rFonts w:asciiTheme="minorBidi" w:hAnsiTheme="minorBidi" w:cstheme="minorBidi"/>
            <w:b/>
            <w:bCs/>
            <w:noProof/>
            <w:sz w:val="22"/>
            <w:szCs w:val="22"/>
          </w:rPr>
          <w:t xml:space="preserve">Figure 2.21 </w:t>
        </w:r>
        <w:r w:rsidR="00656B6A" w:rsidRPr="00FB4405">
          <w:rPr>
            <w:rStyle w:val="Hyperlink"/>
            <w:rFonts w:asciiTheme="minorBidi" w:eastAsia="Calibri" w:hAnsiTheme="minorBidi" w:cstheme="minorBidi"/>
            <w:b/>
            <w:bCs/>
            <w:noProof/>
            <w:sz w:val="22"/>
            <w:szCs w:val="22"/>
            <w:lang w:val="en-US" w:eastAsia="zh-CN"/>
          </w:rPr>
          <w:t xml:space="preserve">The rapid Nano-impact test showing the resistance to multiple impacts of the indenter force of 15 mN for </w:t>
        </w:r>
        <w:r w:rsidR="00656B6A" w:rsidRPr="00FB4405">
          <w:rPr>
            <w:rStyle w:val="Hyperlink"/>
            <w:rFonts w:asciiTheme="minorBidi" w:eastAsia="Times New Roman" w:hAnsiTheme="minorBidi" w:cstheme="minorBidi"/>
            <w:b/>
            <w:bCs/>
            <w:noProof/>
            <w:sz w:val="22"/>
            <w:szCs w:val="22"/>
            <w:lang w:eastAsia="zh-CN"/>
          </w:rPr>
          <w:t xml:space="preserve">NSCH group.  This shows a decrease in resistance time to 200 </w:t>
        </w:r>
        <w:r w:rsidR="00656B6A" w:rsidRPr="00FB4405">
          <w:rPr>
            <w:rStyle w:val="Hyperlink"/>
            <w:rFonts w:asciiTheme="minorBidi" w:eastAsia="Calibri" w:hAnsiTheme="minorBidi" w:cstheme="minorBidi"/>
            <w:b/>
            <w:bCs/>
            <w:noProof/>
            <w:sz w:val="22"/>
            <w:szCs w:val="22"/>
            <w:lang w:val="en-US"/>
          </w:rPr>
          <w:t>seconds</w:t>
        </w:r>
        <w:r w:rsidR="00656B6A" w:rsidRPr="00FB4405">
          <w:rPr>
            <w:rStyle w:val="Hyperlink"/>
            <w:rFonts w:asciiTheme="minorBidi" w:eastAsia="Times New Roman" w:hAnsiTheme="minorBidi" w:cstheme="minorBidi"/>
            <w:b/>
            <w:bCs/>
            <w:noProof/>
            <w:sz w:val="22"/>
            <w:szCs w:val="22"/>
            <w:lang w:eastAsia="zh-CN"/>
          </w:rPr>
          <w:t>.</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_Toc361734254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109</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55" w:history="1">
        <w:r w:rsidR="00656B6A" w:rsidRPr="00FB4405">
          <w:rPr>
            <w:rStyle w:val="Hyperlink"/>
            <w:rFonts w:asciiTheme="minorBidi" w:hAnsiTheme="minorBidi" w:cstheme="minorBidi"/>
            <w:b/>
            <w:bCs/>
            <w:noProof/>
            <w:sz w:val="22"/>
            <w:szCs w:val="22"/>
          </w:rPr>
          <w:t>Figure 2.22 T</w:t>
        </w:r>
        <w:r w:rsidR="00656B6A" w:rsidRPr="00FB4405">
          <w:rPr>
            <w:rStyle w:val="Hyperlink"/>
            <w:rFonts w:asciiTheme="minorBidi" w:eastAsia="Calibri" w:hAnsiTheme="minorBidi" w:cstheme="minorBidi"/>
            <w:b/>
            <w:bCs/>
            <w:noProof/>
            <w:sz w:val="22"/>
            <w:szCs w:val="22"/>
            <w:lang w:val="en-US" w:eastAsia="zh-CN"/>
          </w:rPr>
          <w:t xml:space="preserve">he rapid Nano-impact test showing the resistance to multiple impacts with a indenter force of 15 mN for </w:t>
        </w:r>
        <w:r w:rsidR="00656B6A" w:rsidRPr="00FB4405">
          <w:rPr>
            <w:rStyle w:val="Hyperlink"/>
            <w:rFonts w:asciiTheme="minorBidi" w:eastAsia="Times New Roman" w:hAnsiTheme="minorBidi" w:cstheme="minorBidi"/>
            <w:b/>
            <w:bCs/>
            <w:noProof/>
            <w:sz w:val="22"/>
            <w:szCs w:val="22"/>
            <w:lang w:eastAsia="zh-CN"/>
          </w:rPr>
          <w:t xml:space="preserve">MTA group.  This shows the least time resistance compared to the other groups with a resistance 110 </w:t>
        </w:r>
        <w:r w:rsidR="00656B6A" w:rsidRPr="00FB4405">
          <w:rPr>
            <w:rStyle w:val="Hyperlink"/>
            <w:rFonts w:asciiTheme="minorBidi" w:eastAsia="Calibri" w:hAnsiTheme="minorBidi" w:cstheme="minorBidi"/>
            <w:b/>
            <w:bCs/>
            <w:noProof/>
            <w:sz w:val="22"/>
            <w:szCs w:val="22"/>
            <w:lang w:val="en-US"/>
          </w:rPr>
          <w:t>seconds.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_Toc361734255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110</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56" w:history="1">
        <w:r w:rsidR="00656B6A" w:rsidRPr="00FB4405">
          <w:rPr>
            <w:rStyle w:val="Hyperlink"/>
            <w:rFonts w:asciiTheme="minorBidi" w:hAnsiTheme="minorBidi" w:cstheme="minorBidi"/>
            <w:b/>
            <w:bCs/>
            <w:noProof/>
            <w:sz w:val="22"/>
            <w:szCs w:val="22"/>
          </w:rPr>
          <w:t>Figure 2.23 This image illustrates how the smear layer affects the nano-indentation measurement</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_Toc361734256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116</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57" w:history="1">
        <w:r w:rsidR="00656B6A" w:rsidRPr="00FB4405">
          <w:rPr>
            <w:rStyle w:val="Hyperlink"/>
            <w:rFonts w:asciiTheme="minorBidi" w:hAnsiTheme="minorBidi" w:cstheme="minorBidi"/>
            <w:b/>
            <w:bCs/>
            <w:noProof/>
            <w:sz w:val="22"/>
            <w:szCs w:val="22"/>
          </w:rPr>
          <w:t>Figure 2.24 This image illustrates how the surface roughness affects the nano-indentation measurement</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_Toc361734257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117</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58" w:history="1">
        <w:r w:rsidR="00656B6A" w:rsidRPr="00FB4405">
          <w:rPr>
            <w:rStyle w:val="Hyperlink"/>
            <w:rFonts w:asciiTheme="minorBidi" w:hAnsiTheme="minorBidi" w:cstheme="minorBidi"/>
            <w:b/>
            <w:bCs/>
            <w:noProof/>
            <w:sz w:val="22"/>
            <w:szCs w:val="22"/>
          </w:rPr>
          <w:t>Figure 3.1 A time line showing early classic studies that gave evidence for micro-organisms in the aetiology of periapical disease (</w:t>
        </w:r>
        <w:r w:rsidR="00656B6A" w:rsidRPr="00FB4405">
          <w:rPr>
            <w:rStyle w:val="Hyperlink"/>
            <w:rFonts w:asciiTheme="minorBidi" w:eastAsia="Arial Unicode MS" w:hAnsiTheme="minorBidi" w:cstheme="minorBidi"/>
            <w:b/>
            <w:bCs/>
            <w:noProof/>
            <w:sz w:val="22"/>
            <w:szCs w:val="22"/>
          </w:rPr>
          <w:t>Siqueira and  Rocas, 2011).</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_Toc361734258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124</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19" w:anchor="_Toc361734259" w:history="1">
        <w:r w:rsidR="00656B6A" w:rsidRPr="00FB4405">
          <w:rPr>
            <w:rStyle w:val="Hyperlink"/>
            <w:rFonts w:asciiTheme="minorBidi" w:hAnsiTheme="minorBidi" w:cstheme="minorBidi"/>
            <w:b/>
            <w:bCs/>
            <w:noProof/>
            <w:sz w:val="22"/>
            <w:szCs w:val="22"/>
          </w:rPr>
          <w:t>Figure 3.2 Bacterial species found in primary infections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_Toc361734259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126</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60" w:history="1">
        <w:r w:rsidR="00656B6A" w:rsidRPr="00FB4405">
          <w:rPr>
            <w:rStyle w:val="Hyperlink"/>
            <w:rFonts w:asciiTheme="minorBidi" w:hAnsiTheme="minorBidi" w:cstheme="minorBidi"/>
            <w:b/>
            <w:bCs/>
            <w:noProof/>
            <w:sz w:val="22"/>
            <w:szCs w:val="22"/>
          </w:rPr>
          <w:t>Figure 3.3</w:t>
        </w:r>
        <w:r w:rsidR="00656B6A" w:rsidRPr="00FB4405">
          <w:rPr>
            <w:rStyle w:val="Hyperlink"/>
            <w:rFonts w:asciiTheme="minorBidi" w:hAnsiTheme="minorBidi" w:cstheme="minorBidi"/>
            <w:b/>
            <w:bCs/>
            <w:noProof/>
            <w:sz w:val="22"/>
            <w:szCs w:val="22"/>
            <w:lang w:eastAsia="en-GB"/>
          </w:rPr>
          <w:t xml:space="preserve"> illustrating the streaking techniques of bacteria.</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_Toc361734260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147</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61" w:history="1">
        <w:r w:rsidR="00656B6A" w:rsidRPr="00FB4405">
          <w:rPr>
            <w:rStyle w:val="Hyperlink"/>
            <w:rFonts w:asciiTheme="minorBidi" w:hAnsiTheme="minorBidi" w:cstheme="minorBidi"/>
            <w:b/>
            <w:bCs/>
            <w:noProof/>
            <w:sz w:val="22"/>
            <w:szCs w:val="22"/>
          </w:rPr>
          <w:t>Figure 3.4 A diagram to illustrate the gram stain process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_Toc361734261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149</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62" w:history="1">
        <w:r w:rsidR="00656B6A" w:rsidRPr="00FB4405">
          <w:rPr>
            <w:rStyle w:val="Hyperlink"/>
            <w:rFonts w:asciiTheme="minorBidi" w:hAnsiTheme="minorBidi" w:cstheme="minorBidi"/>
            <w:b/>
            <w:bCs/>
            <w:noProof/>
            <w:sz w:val="22"/>
            <w:szCs w:val="22"/>
          </w:rPr>
          <w:t xml:space="preserve">Figure 3.5 </w:t>
        </w:r>
        <w:r w:rsidR="00656B6A" w:rsidRPr="00FB4405">
          <w:rPr>
            <w:rStyle w:val="Hyperlink"/>
            <w:rFonts w:asciiTheme="minorBidi" w:hAnsiTheme="minorBidi" w:cstheme="minorBidi"/>
            <w:b/>
            <w:bCs/>
            <w:noProof/>
            <w:sz w:val="22"/>
            <w:szCs w:val="22"/>
            <w:lang w:eastAsia="en-GB"/>
          </w:rPr>
          <w:t xml:space="preserve">This diagram illustrates how </w:t>
        </w:r>
        <w:r w:rsidR="00656B6A" w:rsidRPr="00FB4405">
          <w:rPr>
            <w:rStyle w:val="Hyperlink"/>
            <w:rFonts w:asciiTheme="minorBidi" w:hAnsiTheme="minorBidi" w:cstheme="minorBidi"/>
            <w:b/>
            <w:bCs/>
            <w:noProof/>
            <w:sz w:val="22"/>
            <w:szCs w:val="22"/>
          </w:rPr>
          <w:t>spectrophotometer worked to count the bacteria.</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_Toc361734262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153</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63" w:history="1">
        <w:r w:rsidR="00656B6A" w:rsidRPr="00FB4405">
          <w:rPr>
            <w:rStyle w:val="Hyperlink"/>
            <w:rFonts w:asciiTheme="minorBidi" w:hAnsiTheme="minorBidi" w:cstheme="minorBidi"/>
            <w:b/>
            <w:bCs/>
            <w:noProof/>
            <w:sz w:val="22"/>
            <w:szCs w:val="22"/>
          </w:rPr>
          <w:t>Figure 3.6 This diagram shows the bacterial sensitivity to antibiotics by measure ring the inhibition zone at three different points using a digital calliper gauge.</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_Toc361734263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156</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20" w:anchor="_Toc361734264" w:history="1">
        <w:r w:rsidR="00656B6A" w:rsidRPr="00FB4405">
          <w:rPr>
            <w:rStyle w:val="Hyperlink"/>
            <w:rFonts w:asciiTheme="minorBidi" w:hAnsiTheme="minorBidi" w:cstheme="minorBidi"/>
            <w:b/>
            <w:bCs/>
            <w:noProof/>
            <w:sz w:val="22"/>
            <w:szCs w:val="22"/>
          </w:rPr>
          <w:t>Figure 3.7</w:t>
        </w:r>
        <w:r w:rsidR="00656B6A" w:rsidRPr="00FB4405">
          <w:rPr>
            <w:rStyle w:val="Hyperlink"/>
            <w:rFonts w:asciiTheme="minorBidi" w:eastAsia="Times New Roman" w:hAnsiTheme="minorBidi" w:cstheme="minorBidi"/>
            <w:b/>
            <w:bCs/>
            <w:noProof/>
            <w:sz w:val="22"/>
            <w:szCs w:val="22"/>
            <w:lang w:eastAsia="en-GB"/>
          </w:rPr>
          <w:t xml:space="preserve"> Standard growth curve </w:t>
        </w:r>
        <w:r w:rsidR="00656B6A" w:rsidRPr="00FB4405">
          <w:rPr>
            <w:rStyle w:val="Hyperlink"/>
            <w:rFonts w:asciiTheme="minorBidi" w:eastAsia="Times New Roman" w:hAnsiTheme="minorBidi" w:cstheme="minorBidi"/>
            <w:b/>
            <w:bCs/>
            <w:iCs/>
            <w:noProof/>
            <w:sz w:val="22"/>
            <w:szCs w:val="22"/>
            <w:lang w:eastAsia="en-GB"/>
          </w:rPr>
          <w:t>for</w:t>
        </w:r>
        <w:r w:rsidR="00656B6A" w:rsidRPr="00FB4405">
          <w:rPr>
            <w:rStyle w:val="Hyperlink"/>
            <w:rFonts w:asciiTheme="minorBidi" w:eastAsia="Times New Roman" w:hAnsiTheme="minorBidi" w:cstheme="minorBidi"/>
            <w:b/>
            <w:bCs/>
            <w:noProof/>
            <w:sz w:val="22"/>
            <w:szCs w:val="22"/>
            <w:lang w:eastAsia="en-GB"/>
          </w:rPr>
          <w:t xml:space="preserve"> </w:t>
        </w:r>
        <w:r w:rsidR="00656B6A" w:rsidRPr="00FB4405">
          <w:rPr>
            <w:rStyle w:val="Hyperlink"/>
            <w:rFonts w:asciiTheme="minorBidi" w:eastAsia="Times New Roman" w:hAnsiTheme="minorBidi" w:cstheme="minorBidi"/>
            <w:b/>
            <w:bCs/>
            <w:i/>
            <w:iCs/>
            <w:noProof/>
            <w:sz w:val="22"/>
            <w:szCs w:val="22"/>
            <w:lang w:eastAsia="en-GB"/>
          </w:rPr>
          <w:t>E coli</w:t>
        </w:r>
        <w:r w:rsidR="00656B6A" w:rsidRPr="00FB4405">
          <w:rPr>
            <w:rStyle w:val="Hyperlink"/>
            <w:rFonts w:asciiTheme="minorBidi" w:eastAsia="Times New Roman" w:hAnsiTheme="minorBidi" w:cstheme="minorBidi"/>
            <w:b/>
            <w:bCs/>
            <w:noProof/>
            <w:sz w:val="22"/>
            <w:szCs w:val="22"/>
            <w:lang w:eastAsia="en-GB"/>
          </w:rPr>
          <w:t xml:space="preserve"> (NCTC 755) OD</w:t>
        </w:r>
        <w:r w:rsidR="00656B6A" w:rsidRPr="00FB4405">
          <w:rPr>
            <w:rStyle w:val="Hyperlink"/>
            <w:rFonts w:asciiTheme="minorBidi" w:eastAsia="Times New Roman" w:hAnsiTheme="minorBidi" w:cstheme="minorBidi"/>
            <w:b/>
            <w:bCs/>
            <w:noProof/>
            <w:sz w:val="22"/>
            <w:szCs w:val="22"/>
            <w:vertAlign w:val="subscript"/>
            <w:lang w:eastAsia="en-GB"/>
          </w:rPr>
          <w:t>450</w:t>
        </w:r>
        <w:r w:rsidR="00656B6A" w:rsidRPr="00FB4405">
          <w:rPr>
            <w:rStyle w:val="Hyperlink"/>
            <w:rFonts w:asciiTheme="minorBidi" w:eastAsia="Times New Roman" w:hAnsiTheme="minorBidi" w:cstheme="minorBidi"/>
            <w:b/>
            <w:bCs/>
            <w:noProof/>
            <w:sz w:val="22"/>
            <w:szCs w:val="22"/>
            <w:lang w:eastAsia="en-GB"/>
          </w:rPr>
          <w:t xml:space="preserve"> against number of colony forming units (CFU/ml)</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_Toc361734264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158</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65" w:history="1">
        <w:r w:rsidR="00656B6A" w:rsidRPr="00FB4405">
          <w:rPr>
            <w:rStyle w:val="Hyperlink"/>
            <w:rFonts w:asciiTheme="minorBidi" w:hAnsiTheme="minorBidi" w:cstheme="minorBidi"/>
            <w:b/>
            <w:bCs/>
            <w:noProof/>
            <w:sz w:val="22"/>
            <w:szCs w:val="22"/>
          </w:rPr>
          <w:t xml:space="preserve">Figure 3.8 </w:t>
        </w:r>
        <w:r w:rsidR="00656B6A" w:rsidRPr="00FB4405">
          <w:rPr>
            <w:rStyle w:val="Hyperlink"/>
            <w:rFonts w:asciiTheme="minorBidi" w:eastAsia="Times New Roman" w:hAnsiTheme="minorBidi" w:cstheme="minorBidi"/>
            <w:b/>
            <w:bCs/>
            <w:noProof/>
            <w:sz w:val="22"/>
            <w:szCs w:val="22"/>
            <w:lang w:eastAsia="en-GB"/>
          </w:rPr>
          <w:t xml:space="preserve">Standard growth curve </w:t>
        </w:r>
        <w:r w:rsidR="00656B6A" w:rsidRPr="00FB4405">
          <w:rPr>
            <w:rStyle w:val="Hyperlink"/>
            <w:rFonts w:asciiTheme="minorBidi" w:eastAsia="Times New Roman" w:hAnsiTheme="minorBidi" w:cstheme="minorBidi"/>
            <w:b/>
            <w:bCs/>
            <w:iCs/>
            <w:noProof/>
            <w:sz w:val="22"/>
            <w:szCs w:val="22"/>
            <w:lang w:eastAsia="en-GB"/>
          </w:rPr>
          <w:t>for</w:t>
        </w:r>
        <w:r w:rsidR="00656B6A" w:rsidRPr="00FB4405">
          <w:rPr>
            <w:rStyle w:val="Hyperlink"/>
            <w:rFonts w:asciiTheme="minorBidi" w:eastAsia="Times New Roman" w:hAnsiTheme="minorBidi" w:cstheme="minorBidi"/>
            <w:b/>
            <w:bCs/>
            <w:noProof/>
            <w:sz w:val="22"/>
            <w:szCs w:val="22"/>
            <w:lang w:eastAsia="en-GB"/>
          </w:rPr>
          <w:t xml:space="preserve"> </w:t>
        </w:r>
        <w:r w:rsidR="00656B6A" w:rsidRPr="00FB4405">
          <w:rPr>
            <w:rStyle w:val="Hyperlink"/>
            <w:rFonts w:asciiTheme="minorBidi" w:eastAsia="Times New Roman" w:hAnsiTheme="minorBidi" w:cstheme="minorBidi"/>
            <w:b/>
            <w:bCs/>
            <w:i/>
            <w:iCs/>
            <w:noProof/>
            <w:sz w:val="22"/>
            <w:szCs w:val="22"/>
            <w:lang w:eastAsia="en-GB"/>
          </w:rPr>
          <w:t>E faecalis</w:t>
        </w:r>
        <w:r w:rsidR="00656B6A" w:rsidRPr="00FB4405">
          <w:rPr>
            <w:rStyle w:val="Hyperlink"/>
            <w:rFonts w:asciiTheme="minorBidi" w:eastAsia="Times New Roman" w:hAnsiTheme="minorBidi" w:cstheme="minorBidi"/>
            <w:b/>
            <w:bCs/>
            <w:noProof/>
            <w:sz w:val="22"/>
            <w:szCs w:val="22"/>
            <w:lang w:eastAsia="en-GB"/>
          </w:rPr>
          <w:t xml:space="preserve"> (NCTC 755) OD</w:t>
        </w:r>
        <w:r w:rsidR="00656B6A" w:rsidRPr="00FB4405">
          <w:rPr>
            <w:rStyle w:val="Hyperlink"/>
            <w:rFonts w:asciiTheme="minorBidi" w:eastAsia="Times New Roman" w:hAnsiTheme="minorBidi" w:cstheme="minorBidi"/>
            <w:b/>
            <w:bCs/>
            <w:noProof/>
            <w:sz w:val="22"/>
            <w:szCs w:val="22"/>
            <w:vertAlign w:val="subscript"/>
            <w:lang w:eastAsia="en-GB"/>
          </w:rPr>
          <w:t>450</w:t>
        </w:r>
        <w:r w:rsidR="00656B6A" w:rsidRPr="00FB4405">
          <w:rPr>
            <w:rStyle w:val="Hyperlink"/>
            <w:rFonts w:asciiTheme="minorBidi" w:eastAsia="Times New Roman" w:hAnsiTheme="minorBidi" w:cstheme="minorBidi"/>
            <w:b/>
            <w:bCs/>
            <w:noProof/>
            <w:sz w:val="22"/>
            <w:szCs w:val="22"/>
            <w:lang w:eastAsia="en-GB"/>
          </w:rPr>
          <w:t xml:space="preserve"> against number of colony forming units (CFU/ml)</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_Toc361734265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159</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66" w:history="1">
        <w:r w:rsidR="00656B6A" w:rsidRPr="00FB4405">
          <w:rPr>
            <w:rStyle w:val="Hyperlink"/>
            <w:rFonts w:asciiTheme="minorBidi" w:hAnsiTheme="minorBidi" w:cstheme="minorBidi"/>
            <w:b/>
            <w:bCs/>
            <w:noProof/>
            <w:sz w:val="22"/>
            <w:szCs w:val="22"/>
          </w:rPr>
          <w:t xml:space="preserve">Figure 3.9 </w:t>
        </w:r>
        <w:r w:rsidR="00656B6A" w:rsidRPr="00FB4405">
          <w:rPr>
            <w:rStyle w:val="Hyperlink"/>
            <w:rFonts w:asciiTheme="minorBidi" w:eastAsia="Times New Roman" w:hAnsiTheme="minorBidi" w:cstheme="minorBidi"/>
            <w:b/>
            <w:bCs/>
            <w:noProof/>
            <w:sz w:val="22"/>
            <w:szCs w:val="22"/>
            <w:lang w:eastAsia="en-GB"/>
          </w:rPr>
          <w:t xml:space="preserve">Standard growth curve </w:t>
        </w:r>
        <w:r w:rsidR="00656B6A" w:rsidRPr="00FB4405">
          <w:rPr>
            <w:rStyle w:val="Hyperlink"/>
            <w:rFonts w:asciiTheme="minorBidi" w:eastAsia="Times New Roman" w:hAnsiTheme="minorBidi" w:cstheme="minorBidi"/>
            <w:b/>
            <w:bCs/>
            <w:iCs/>
            <w:noProof/>
            <w:sz w:val="22"/>
            <w:szCs w:val="22"/>
            <w:lang w:eastAsia="en-GB"/>
          </w:rPr>
          <w:t>for</w:t>
        </w:r>
        <w:r w:rsidR="00656B6A" w:rsidRPr="00FB4405">
          <w:rPr>
            <w:rStyle w:val="Hyperlink"/>
            <w:rFonts w:asciiTheme="minorBidi" w:eastAsia="Times New Roman" w:hAnsiTheme="minorBidi" w:cstheme="minorBidi"/>
            <w:b/>
            <w:bCs/>
            <w:noProof/>
            <w:sz w:val="22"/>
            <w:szCs w:val="22"/>
            <w:lang w:eastAsia="en-GB"/>
          </w:rPr>
          <w:t xml:space="preserve"> </w:t>
        </w:r>
        <w:r w:rsidR="00656B6A" w:rsidRPr="00FB4405">
          <w:rPr>
            <w:rStyle w:val="Hyperlink"/>
            <w:rFonts w:asciiTheme="minorBidi" w:eastAsia="Times New Roman" w:hAnsiTheme="minorBidi" w:cstheme="minorBidi"/>
            <w:b/>
            <w:bCs/>
            <w:i/>
            <w:iCs/>
            <w:noProof/>
            <w:sz w:val="22"/>
            <w:szCs w:val="22"/>
            <w:lang w:eastAsia="en-GB"/>
          </w:rPr>
          <w:t>P. gingivalis</w:t>
        </w:r>
        <w:r w:rsidR="00656B6A" w:rsidRPr="00FB4405">
          <w:rPr>
            <w:rStyle w:val="Hyperlink"/>
            <w:rFonts w:asciiTheme="minorBidi" w:eastAsia="Times New Roman" w:hAnsiTheme="minorBidi" w:cstheme="minorBidi"/>
            <w:b/>
            <w:bCs/>
            <w:noProof/>
            <w:sz w:val="22"/>
            <w:szCs w:val="22"/>
            <w:lang w:eastAsia="en-GB"/>
          </w:rPr>
          <w:t xml:space="preserve"> (W50) OD</w:t>
        </w:r>
        <w:r w:rsidR="00656B6A" w:rsidRPr="00FB4405">
          <w:rPr>
            <w:rStyle w:val="Hyperlink"/>
            <w:rFonts w:asciiTheme="minorBidi" w:eastAsia="Times New Roman" w:hAnsiTheme="minorBidi" w:cstheme="minorBidi"/>
            <w:b/>
            <w:bCs/>
            <w:noProof/>
            <w:sz w:val="22"/>
            <w:szCs w:val="22"/>
            <w:vertAlign w:val="subscript"/>
            <w:lang w:eastAsia="en-GB"/>
          </w:rPr>
          <w:t>450</w:t>
        </w:r>
        <w:r w:rsidR="00656B6A" w:rsidRPr="00FB4405">
          <w:rPr>
            <w:rStyle w:val="Hyperlink"/>
            <w:rFonts w:asciiTheme="minorBidi" w:eastAsia="Times New Roman" w:hAnsiTheme="minorBidi" w:cstheme="minorBidi"/>
            <w:b/>
            <w:bCs/>
            <w:noProof/>
            <w:sz w:val="22"/>
            <w:szCs w:val="22"/>
            <w:lang w:eastAsia="en-GB"/>
          </w:rPr>
          <w:t xml:space="preserve"> against number of colony forming units (CFU/ml)</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_Toc361734266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160</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67" w:history="1">
        <w:r w:rsidR="00656B6A" w:rsidRPr="00FB4405">
          <w:rPr>
            <w:rStyle w:val="Hyperlink"/>
            <w:rFonts w:asciiTheme="minorBidi" w:hAnsiTheme="minorBidi" w:cstheme="minorBidi"/>
            <w:b/>
            <w:bCs/>
            <w:noProof/>
            <w:sz w:val="22"/>
            <w:szCs w:val="22"/>
          </w:rPr>
          <w:t xml:space="preserve">Figure 3.10 </w:t>
        </w:r>
        <w:r w:rsidR="00656B6A" w:rsidRPr="00FB4405">
          <w:rPr>
            <w:rStyle w:val="Hyperlink"/>
            <w:rFonts w:asciiTheme="minorBidi" w:eastAsia="Times New Roman" w:hAnsiTheme="minorBidi" w:cstheme="minorBidi"/>
            <w:b/>
            <w:bCs/>
            <w:noProof/>
            <w:sz w:val="22"/>
            <w:szCs w:val="22"/>
            <w:lang w:eastAsia="en-GB"/>
          </w:rPr>
          <w:t xml:space="preserve">Standard growth curve </w:t>
        </w:r>
        <w:r w:rsidR="00656B6A" w:rsidRPr="00FB4405">
          <w:rPr>
            <w:rStyle w:val="Hyperlink"/>
            <w:rFonts w:asciiTheme="minorBidi" w:eastAsia="Times New Roman" w:hAnsiTheme="minorBidi" w:cstheme="minorBidi"/>
            <w:b/>
            <w:bCs/>
            <w:iCs/>
            <w:noProof/>
            <w:sz w:val="22"/>
            <w:szCs w:val="22"/>
            <w:lang w:eastAsia="en-GB"/>
          </w:rPr>
          <w:t>for</w:t>
        </w:r>
        <w:r w:rsidR="00656B6A" w:rsidRPr="00FB4405">
          <w:rPr>
            <w:rStyle w:val="Hyperlink"/>
            <w:rFonts w:asciiTheme="minorBidi" w:hAnsiTheme="minorBidi" w:cstheme="minorBidi"/>
            <w:b/>
            <w:bCs/>
            <w:noProof/>
            <w:sz w:val="22"/>
            <w:szCs w:val="22"/>
          </w:rPr>
          <w:t xml:space="preserve"> </w:t>
        </w:r>
        <w:r w:rsidR="00656B6A" w:rsidRPr="00FB4405">
          <w:rPr>
            <w:rStyle w:val="Hyperlink"/>
            <w:rFonts w:asciiTheme="minorBidi" w:eastAsia="Times New Roman" w:hAnsiTheme="minorBidi" w:cstheme="minorBidi"/>
            <w:b/>
            <w:bCs/>
            <w:i/>
            <w:iCs/>
            <w:noProof/>
            <w:sz w:val="22"/>
            <w:szCs w:val="22"/>
            <w:lang w:eastAsia="en-GB"/>
          </w:rPr>
          <w:t>F.  nucleatum</w:t>
        </w:r>
        <w:r w:rsidR="00656B6A" w:rsidRPr="00FB4405">
          <w:rPr>
            <w:rStyle w:val="Hyperlink"/>
            <w:rFonts w:asciiTheme="minorBidi" w:eastAsia="Times New Roman" w:hAnsiTheme="minorBidi" w:cstheme="minorBidi"/>
            <w:b/>
            <w:bCs/>
            <w:noProof/>
            <w:sz w:val="22"/>
            <w:szCs w:val="22"/>
            <w:lang w:eastAsia="en-GB"/>
          </w:rPr>
          <w:t xml:space="preserve"> (ACTC 10953) OD450 against number of colony forming units (CFU/ml)</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_Toc361734267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161</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68" w:history="1">
        <w:r w:rsidR="00656B6A" w:rsidRPr="00FB4405">
          <w:rPr>
            <w:rStyle w:val="Hyperlink"/>
            <w:rFonts w:asciiTheme="minorBidi" w:hAnsiTheme="minorBidi" w:cstheme="minorBidi"/>
            <w:b/>
            <w:bCs/>
            <w:noProof/>
            <w:sz w:val="22"/>
            <w:szCs w:val="22"/>
          </w:rPr>
          <w:t xml:space="preserve">Figure 3.11 </w:t>
        </w:r>
        <w:r w:rsidR="00656B6A" w:rsidRPr="00FB4405">
          <w:rPr>
            <w:rStyle w:val="Hyperlink"/>
            <w:rFonts w:asciiTheme="minorBidi" w:eastAsia="Times New Roman" w:hAnsiTheme="minorBidi" w:cstheme="minorBidi"/>
            <w:b/>
            <w:bCs/>
            <w:noProof/>
            <w:sz w:val="22"/>
            <w:szCs w:val="22"/>
            <w:lang w:eastAsia="en-GB"/>
          </w:rPr>
          <w:t xml:space="preserve"> Standard growth curve </w:t>
        </w:r>
        <w:r w:rsidR="00656B6A" w:rsidRPr="00FB4405">
          <w:rPr>
            <w:rStyle w:val="Hyperlink"/>
            <w:rFonts w:asciiTheme="minorBidi" w:eastAsia="Times New Roman" w:hAnsiTheme="minorBidi" w:cstheme="minorBidi"/>
            <w:b/>
            <w:bCs/>
            <w:iCs/>
            <w:noProof/>
            <w:sz w:val="22"/>
            <w:szCs w:val="22"/>
            <w:lang w:eastAsia="en-GB"/>
          </w:rPr>
          <w:t>for</w:t>
        </w:r>
        <w:r w:rsidR="00656B6A" w:rsidRPr="00FB4405">
          <w:rPr>
            <w:rStyle w:val="Hyperlink"/>
            <w:rFonts w:asciiTheme="minorBidi" w:eastAsia="Times New Roman" w:hAnsiTheme="minorBidi" w:cstheme="minorBidi"/>
            <w:b/>
            <w:bCs/>
            <w:noProof/>
            <w:sz w:val="22"/>
            <w:szCs w:val="22"/>
            <w:lang w:eastAsia="en-GB"/>
          </w:rPr>
          <w:t xml:space="preserve"> </w:t>
        </w:r>
        <w:r w:rsidR="00656B6A" w:rsidRPr="00FB4405">
          <w:rPr>
            <w:rStyle w:val="Hyperlink"/>
            <w:rFonts w:asciiTheme="minorBidi" w:eastAsia="Times New Roman" w:hAnsiTheme="minorBidi" w:cstheme="minorBidi"/>
            <w:b/>
            <w:bCs/>
            <w:i/>
            <w:iCs/>
            <w:noProof/>
            <w:sz w:val="22"/>
            <w:szCs w:val="22"/>
            <w:lang w:eastAsia="en-GB"/>
          </w:rPr>
          <w:t>A. odontolyticus</w:t>
        </w:r>
        <w:r w:rsidR="00656B6A" w:rsidRPr="00FB4405">
          <w:rPr>
            <w:rStyle w:val="Hyperlink"/>
            <w:rFonts w:asciiTheme="minorBidi" w:eastAsia="Times New Roman" w:hAnsiTheme="minorBidi" w:cstheme="minorBidi"/>
            <w:b/>
            <w:bCs/>
            <w:noProof/>
            <w:sz w:val="22"/>
            <w:szCs w:val="22"/>
            <w:lang w:eastAsia="en-GB"/>
          </w:rPr>
          <w:t xml:space="preserve"> (NCTC 9335) OD</w:t>
        </w:r>
        <w:r w:rsidR="00656B6A" w:rsidRPr="00FB4405">
          <w:rPr>
            <w:rStyle w:val="Hyperlink"/>
            <w:rFonts w:asciiTheme="minorBidi" w:eastAsia="Times New Roman" w:hAnsiTheme="minorBidi" w:cstheme="minorBidi"/>
            <w:b/>
            <w:bCs/>
            <w:noProof/>
            <w:sz w:val="22"/>
            <w:szCs w:val="22"/>
            <w:vertAlign w:val="subscript"/>
            <w:lang w:eastAsia="en-GB"/>
          </w:rPr>
          <w:t>450</w:t>
        </w:r>
        <w:r w:rsidR="00656B6A" w:rsidRPr="00FB4405">
          <w:rPr>
            <w:rStyle w:val="Hyperlink"/>
            <w:rFonts w:asciiTheme="minorBidi" w:eastAsia="Times New Roman" w:hAnsiTheme="minorBidi" w:cstheme="minorBidi"/>
            <w:b/>
            <w:bCs/>
            <w:noProof/>
            <w:sz w:val="22"/>
            <w:szCs w:val="22"/>
            <w:lang w:eastAsia="en-GB"/>
          </w:rPr>
          <w:t xml:space="preserve"> against number of colony forming units (CFU/ml)</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_Toc361734268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162</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69" w:history="1">
        <w:r w:rsidR="00656B6A" w:rsidRPr="00FB4405">
          <w:rPr>
            <w:rStyle w:val="Hyperlink"/>
            <w:rFonts w:asciiTheme="minorBidi" w:hAnsiTheme="minorBidi" w:cstheme="minorBidi"/>
            <w:b/>
            <w:bCs/>
            <w:noProof/>
            <w:sz w:val="22"/>
            <w:szCs w:val="22"/>
          </w:rPr>
          <w:t>Figure 3.12 Bar chat plotted with standard residual means which confirmed that the data was normally distributed</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_Toc361734269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163</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70" w:history="1">
        <w:r w:rsidR="00656B6A" w:rsidRPr="00FB4405">
          <w:rPr>
            <w:rStyle w:val="Hyperlink"/>
            <w:rFonts w:asciiTheme="minorBidi" w:hAnsiTheme="minorBidi" w:cstheme="minorBidi"/>
            <w:b/>
            <w:bCs/>
            <w:noProof/>
            <w:sz w:val="22"/>
            <w:szCs w:val="22"/>
          </w:rPr>
          <w:t xml:space="preserve">Figure 3.13 </w:t>
        </w:r>
        <w:r w:rsidR="00656B6A" w:rsidRPr="00FB4405">
          <w:rPr>
            <w:rStyle w:val="Hyperlink"/>
            <w:rFonts w:asciiTheme="minorBidi" w:hAnsiTheme="minorBidi" w:cstheme="minorBidi"/>
            <w:b/>
            <w:bCs/>
            <w:noProof/>
            <w:sz w:val="22"/>
            <w:szCs w:val="22"/>
            <w:lang w:eastAsia="en-GB"/>
          </w:rPr>
          <w:t xml:space="preserve">Shows a comparison of inhibition zone for all test material and antibiotics against </w:t>
        </w:r>
        <w:r w:rsidR="00656B6A" w:rsidRPr="00FB4405">
          <w:rPr>
            <w:rStyle w:val="Hyperlink"/>
            <w:rFonts w:asciiTheme="minorBidi" w:hAnsiTheme="minorBidi" w:cstheme="minorBidi"/>
            <w:b/>
            <w:bCs/>
            <w:i/>
            <w:iCs/>
            <w:noProof/>
            <w:sz w:val="22"/>
            <w:szCs w:val="22"/>
            <w:lang w:eastAsia="en-GB"/>
          </w:rPr>
          <w:t>E coli</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_Toc361734270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165</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71" w:history="1">
        <w:r w:rsidR="00656B6A" w:rsidRPr="00FB4405">
          <w:rPr>
            <w:rStyle w:val="Hyperlink"/>
            <w:rFonts w:asciiTheme="minorBidi" w:hAnsiTheme="minorBidi" w:cstheme="minorBidi"/>
            <w:b/>
            <w:bCs/>
            <w:noProof/>
            <w:sz w:val="22"/>
            <w:szCs w:val="22"/>
          </w:rPr>
          <w:t>Figure 3.14</w:t>
        </w:r>
        <w:r w:rsidR="00656B6A" w:rsidRPr="00FB4405">
          <w:rPr>
            <w:rStyle w:val="Hyperlink"/>
            <w:rFonts w:asciiTheme="minorBidi" w:hAnsiTheme="minorBidi" w:cstheme="minorBidi"/>
            <w:b/>
            <w:bCs/>
            <w:noProof/>
            <w:sz w:val="22"/>
            <w:szCs w:val="22"/>
            <w:lang w:eastAsia="en-GB"/>
          </w:rPr>
          <w:t xml:space="preserve"> Comparison of inhibition zone for all test material and antibiotics against </w:t>
        </w:r>
        <w:r w:rsidR="00656B6A" w:rsidRPr="00FB4405">
          <w:rPr>
            <w:rStyle w:val="Hyperlink"/>
            <w:rFonts w:asciiTheme="minorBidi" w:eastAsia="Times New Roman" w:hAnsiTheme="minorBidi" w:cstheme="minorBidi"/>
            <w:b/>
            <w:bCs/>
            <w:i/>
            <w:iCs/>
            <w:noProof/>
            <w:sz w:val="22"/>
            <w:szCs w:val="22"/>
            <w:lang w:eastAsia="en-GB"/>
          </w:rPr>
          <w:t>E. faecalis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_Toc361734271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168</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72" w:history="1">
        <w:r w:rsidR="00656B6A" w:rsidRPr="00FB4405">
          <w:rPr>
            <w:rStyle w:val="Hyperlink"/>
            <w:rFonts w:asciiTheme="minorBidi" w:hAnsiTheme="minorBidi" w:cstheme="minorBidi"/>
            <w:b/>
            <w:bCs/>
            <w:noProof/>
            <w:sz w:val="22"/>
            <w:szCs w:val="22"/>
          </w:rPr>
          <w:t>Figure 3.15</w:t>
        </w:r>
        <w:r w:rsidR="00656B6A" w:rsidRPr="00FB4405">
          <w:rPr>
            <w:rStyle w:val="Hyperlink"/>
            <w:rFonts w:asciiTheme="minorBidi" w:hAnsiTheme="minorBidi" w:cstheme="minorBidi"/>
            <w:b/>
            <w:bCs/>
            <w:noProof/>
            <w:sz w:val="22"/>
            <w:szCs w:val="22"/>
            <w:lang w:eastAsia="en-GB"/>
          </w:rPr>
          <w:t xml:space="preserve"> Comparison of inhibition zone for all test material and antibiotics against </w:t>
        </w:r>
        <w:r w:rsidR="00656B6A" w:rsidRPr="00FB4405">
          <w:rPr>
            <w:rStyle w:val="Hyperlink"/>
            <w:rFonts w:asciiTheme="minorBidi" w:eastAsia="Times New Roman" w:hAnsiTheme="minorBidi" w:cstheme="minorBidi"/>
            <w:b/>
            <w:bCs/>
            <w:i/>
            <w:iCs/>
            <w:noProof/>
            <w:sz w:val="22"/>
            <w:szCs w:val="22"/>
            <w:lang w:eastAsia="en-GB"/>
          </w:rPr>
          <w:t>P.gingivalis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_Toc361734272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171</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73" w:history="1">
        <w:r w:rsidR="00656B6A" w:rsidRPr="00FB4405">
          <w:rPr>
            <w:rStyle w:val="Hyperlink"/>
            <w:rFonts w:asciiTheme="minorBidi" w:hAnsiTheme="minorBidi" w:cstheme="minorBidi"/>
            <w:b/>
            <w:bCs/>
            <w:noProof/>
            <w:sz w:val="22"/>
            <w:szCs w:val="22"/>
          </w:rPr>
          <w:t>Figure 3.16</w:t>
        </w:r>
        <w:r w:rsidR="00656B6A" w:rsidRPr="00FB4405">
          <w:rPr>
            <w:rStyle w:val="Hyperlink"/>
            <w:rFonts w:asciiTheme="minorBidi" w:hAnsiTheme="minorBidi" w:cstheme="minorBidi"/>
            <w:b/>
            <w:bCs/>
            <w:noProof/>
            <w:sz w:val="22"/>
            <w:szCs w:val="22"/>
            <w:lang w:eastAsia="en-GB"/>
          </w:rPr>
          <w:t xml:space="preserve"> Comparison of inhibition zone for all test material and antibiotics against </w:t>
        </w:r>
        <w:r w:rsidR="00656B6A" w:rsidRPr="00FB4405">
          <w:rPr>
            <w:rStyle w:val="Hyperlink"/>
            <w:rFonts w:asciiTheme="minorBidi" w:eastAsia="Times New Roman" w:hAnsiTheme="minorBidi" w:cstheme="minorBidi"/>
            <w:b/>
            <w:bCs/>
            <w:i/>
            <w:iCs/>
            <w:noProof/>
            <w:sz w:val="22"/>
            <w:szCs w:val="22"/>
            <w:lang w:eastAsia="en-GB"/>
          </w:rPr>
          <w:t>F. nucleatum</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_Toc361734273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174</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74" w:history="1">
        <w:r w:rsidR="00656B6A" w:rsidRPr="00FB4405">
          <w:rPr>
            <w:rStyle w:val="Hyperlink"/>
            <w:rFonts w:asciiTheme="minorBidi" w:hAnsiTheme="minorBidi" w:cstheme="minorBidi"/>
            <w:b/>
            <w:bCs/>
            <w:noProof/>
            <w:sz w:val="22"/>
            <w:szCs w:val="22"/>
          </w:rPr>
          <w:t xml:space="preserve">Figure 3.17 Comparison of inhibition zone for all test material and antibiotics against </w:t>
        </w:r>
        <w:r w:rsidR="00656B6A" w:rsidRPr="00FB4405">
          <w:rPr>
            <w:rStyle w:val="Hyperlink"/>
            <w:rFonts w:asciiTheme="minorBidi" w:eastAsia="Times New Roman" w:hAnsiTheme="minorBidi" w:cstheme="minorBidi"/>
            <w:b/>
            <w:bCs/>
            <w:i/>
            <w:iCs/>
            <w:noProof/>
            <w:sz w:val="22"/>
            <w:szCs w:val="22"/>
          </w:rPr>
          <w:t>A. odontolyticus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_Toc361734274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177</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75" w:history="1">
        <w:r w:rsidR="00656B6A" w:rsidRPr="00FB4405">
          <w:rPr>
            <w:rStyle w:val="Hyperlink"/>
            <w:rFonts w:asciiTheme="minorBidi" w:hAnsiTheme="minorBidi" w:cstheme="minorBidi"/>
            <w:b/>
            <w:bCs/>
            <w:noProof/>
            <w:sz w:val="22"/>
            <w:szCs w:val="22"/>
          </w:rPr>
          <w:t>Figure 3.18</w:t>
        </w:r>
        <w:r w:rsidR="00656B6A" w:rsidRPr="00FB4405">
          <w:rPr>
            <w:rStyle w:val="Hyperlink"/>
            <w:rFonts w:asciiTheme="minorBidi" w:hAnsiTheme="minorBidi" w:cstheme="minorBidi"/>
            <w:b/>
            <w:bCs/>
            <w:noProof/>
            <w:sz w:val="22"/>
            <w:szCs w:val="22"/>
            <w:lang w:val="en-US"/>
          </w:rPr>
          <w:t xml:space="preserve"> Inhibition zone of selected bacteria with MTA and NSCH application</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_Toc361734275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179</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21" w:anchor="_Toc361734276" w:history="1">
        <w:r w:rsidR="00656B6A" w:rsidRPr="00FB4405">
          <w:rPr>
            <w:rStyle w:val="Hyperlink"/>
            <w:rFonts w:asciiTheme="minorBidi" w:hAnsiTheme="minorBidi" w:cstheme="minorBidi"/>
            <w:b/>
            <w:bCs/>
            <w:noProof/>
            <w:sz w:val="22"/>
            <w:szCs w:val="22"/>
          </w:rPr>
          <w:t>Figure 3.19</w:t>
        </w:r>
        <w:r w:rsidR="00656B6A" w:rsidRPr="00FB4405">
          <w:rPr>
            <w:rStyle w:val="Hyperlink"/>
            <w:rFonts w:asciiTheme="minorBidi" w:hAnsiTheme="minorBidi" w:cstheme="minorBidi"/>
            <w:b/>
            <w:bCs/>
            <w:noProof/>
            <w:sz w:val="22"/>
            <w:szCs w:val="22"/>
            <w:lang w:val="en-US"/>
          </w:rPr>
          <w:t xml:space="preserve">  Inhibition zone of selected bacteria with Mino, Cip, and Met individually or in combination</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_Toc361734276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180</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22" w:anchor="_Toc361734277" w:history="1">
        <w:r w:rsidR="00656B6A" w:rsidRPr="00FB4405">
          <w:rPr>
            <w:rStyle w:val="Hyperlink"/>
            <w:rFonts w:asciiTheme="minorBidi" w:hAnsiTheme="minorBidi" w:cstheme="minorBidi"/>
            <w:b/>
            <w:bCs/>
            <w:noProof/>
            <w:sz w:val="22"/>
            <w:szCs w:val="22"/>
          </w:rPr>
          <w:t>Figure 4.1</w:t>
        </w:r>
        <w:r w:rsidR="00656B6A" w:rsidRPr="00FB4405">
          <w:rPr>
            <w:rStyle w:val="Hyperlink"/>
            <w:rFonts w:asciiTheme="minorBidi" w:hAnsiTheme="minorBidi" w:cstheme="minorBidi"/>
            <w:b/>
            <w:bCs/>
            <w:noProof/>
            <w:sz w:val="22"/>
            <w:szCs w:val="22"/>
            <w:lang w:val="en-US" w:eastAsia="en-GB"/>
          </w:rPr>
          <w:t xml:space="preserve"> Schematic diagram of a flow cytometer, showing focusing of the fluid sheath, laser, optics.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_Toc361734277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209</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23" w:anchor="_Toc361734278" w:history="1">
        <w:r w:rsidR="00656B6A" w:rsidRPr="00FB4405">
          <w:rPr>
            <w:rStyle w:val="Hyperlink"/>
            <w:rFonts w:asciiTheme="minorBidi" w:hAnsiTheme="minorBidi" w:cstheme="minorBidi"/>
            <w:b/>
            <w:bCs/>
            <w:noProof/>
            <w:sz w:val="22"/>
            <w:szCs w:val="22"/>
          </w:rPr>
          <w:t xml:space="preserve">Figure 4.2 Illustrate the point that can be identified for cytotoxicity, one point or two can be measured at the same time (Xenometrix cytotoxicity Screening Test </w:t>
        </w:r>
        <w:r w:rsidR="00656B6A" w:rsidRPr="00FB4405">
          <w:rPr>
            <w:rStyle w:val="Hyperlink"/>
            <w:rFonts w:asciiTheme="minorBidi" w:hAnsiTheme="minorBidi" w:cstheme="minorBidi"/>
            <w:b/>
            <w:bCs/>
            <w:noProof/>
            <w:kern w:val="3"/>
            <w:sz w:val="22"/>
            <w:szCs w:val="22"/>
          </w:rPr>
          <w:t>BioAntares website)</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_Toc361734278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213</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24" w:anchor="_Toc361734279" w:history="1">
        <w:r w:rsidR="00656B6A" w:rsidRPr="00FB4405">
          <w:rPr>
            <w:rStyle w:val="Hyperlink"/>
            <w:rFonts w:asciiTheme="minorBidi" w:hAnsiTheme="minorBidi" w:cstheme="minorBidi"/>
            <w:b/>
            <w:bCs/>
            <w:noProof/>
            <w:sz w:val="22"/>
            <w:szCs w:val="22"/>
          </w:rPr>
          <w:t>Figure 4.3 Illustrate the application of cells  in suspension to haemcytometr count</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_Toc361734279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223</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25" w:anchor="_Toc361734280" w:history="1">
        <w:r w:rsidR="00656B6A" w:rsidRPr="00FB4405">
          <w:rPr>
            <w:rStyle w:val="Hyperlink"/>
            <w:rFonts w:asciiTheme="minorBidi" w:hAnsiTheme="minorBidi" w:cstheme="minorBidi"/>
            <w:b/>
            <w:bCs/>
            <w:noProof/>
            <w:sz w:val="22"/>
            <w:szCs w:val="22"/>
          </w:rPr>
          <w:t>Figure 4.4 illustrate the</w:t>
        </w:r>
        <w:r w:rsidR="00656B6A" w:rsidRPr="00FB4405">
          <w:rPr>
            <w:rStyle w:val="Hyperlink"/>
            <w:rFonts w:asciiTheme="minorBidi" w:hAnsiTheme="minorBidi" w:cstheme="minorBidi"/>
            <w:b/>
            <w:bCs/>
            <w:noProof/>
            <w:sz w:val="22"/>
            <w:szCs w:val="22"/>
            <w:lang w:val="en"/>
          </w:rPr>
          <w:t xml:space="preserve"> Appearance of haemocytometer grid under the microscope.</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_Toc361734280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223</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26" w:anchor="_Toc361734281" w:history="1">
        <w:r w:rsidR="00656B6A" w:rsidRPr="00FB4405">
          <w:rPr>
            <w:rStyle w:val="Hyperlink"/>
            <w:rFonts w:asciiTheme="minorBidi" w:hAnsiTheme="minorBidi" w:cstheme="minorBidi"/>
            <w:b/>
            <w:bCs/>
            <w:noProof/>
            <w:sz w:val="22"/>
            <w:szCs w:val="22"/>
          </w:rPr>
          <w:t>Figure 4.5</w:t>
        </w:r>
        <w:r w:rsidR="00656B6A" w:rsidRPr="00FB4405">
          <w:rPr>
            <w:rStyle w:val="Hyperlink"/>
            <w:rFonts w:asciiTheme="minorBidi" w:hAnsiTheme="minorBidi" w:cstheme="minorBidi"/>
            <w:b/>
            <w:bCs/>
            <w:noProof/>
            <w:sz w:val="22"/>
            <w:szCs w:val="22"/>
            <w:lang w:val="en"/>
          </w:rPr>
          <w:t xml:space="preserve"> Count the cells within the large square and those crossing the edge on two out of the four sides.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_Toc361734281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224</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27" w:anchor="_Toc361734282" w:history="1">
        <w:r w:rsidR="00656B6A" w:rsidRPr="00FB4405">
          <w:rPr>
            <w:rStyle w:val="Hyperlink"/>
            <w:rFonts w:asciiTheme="minorBidi" w:hAnsiTheme="minorBidi" w:cstheme="minorBidi"/>
            <w:b/>
            <w:bCs/>
            <w:noProof/>
            <w:sz w:val="22"/>
            <w:szCs w:val="22"/>
          </w:rPr>
          <w:t>Figure 4.6</w:t>
        </w:r>
        <w:r w:rsidR="00656B6A" w:rsidRPr="00FB4405">
          <w:rPr>
            <w:rStyle w:val="Hyperlink"/>
            <w:rFonts w:asciiTheme="minorBidi" w:hAnsiTheme="minorBidi" w:cstheme="minorBidi"/>
            <w:b/>
            <w:bCs/>
            <w:noProof/>
            <w:sz w:val="22"/>
            <w:szCs w:val="22"/>
            <w:lang w:val="en"/>
          </w:rPr>
          <w:t xml:space="preserve"> Illustrate the summary of above image of Haemocytometer, arrangement and dimensions.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_Toc361734282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224</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28" w:anchor="_Toc361734283" w:history="1">
        <w:r w:rsidR="00656B6A" w:rsidRPr="00FB4405">
          <w:rPr>
            <w:rStyle w:val="Hyperlink"/>
            <w:rFonts w:asciiTheme="minorBidi" w:hAnsiTheme="minorBidi" w:cstheme="minorBidi"/>
            <w:b/>
            <w:bCs/>
            <w:noProof/>
            <w:sz w:val="22"/>
            <w:szCs w:val="22"/>
          </w:rPr>
          <w:t>Figure 4.7</w:t>
        </w:r>
        <w:r w:rsidR="00656B6A" w:rsidRPr="00FB4405">
          <w:rPr>
            <w:rStyle w:val="Hyperlink"/>
            <w:rFonts w:asciiTheme="minorBidi" w:eastAsia="SimSun" w:hAnsiTheme="minorBidi" w:cstheme="minorBidi"/>
            <w:b/>
            <w:bCs/>
            <w:noProof/>
            <w:sz w:val="22"/>
            <w:szCs w:val="22"/>
          </w:rPr>
          <w:t xml:space="preserve"> Shows Lactate dehydrogenase (LDH) used to clarify the effect of the antibiotics used individually or in combination on pulp stem cells after 24 of application</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_Toc361734283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228</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29" w:anchor="_Toc361734284" w:history="1">
        <w:r w:rsidR="00656B6A" w:rsidRPr="00FB4405">
          <w:rPr>
            <w:rStyle w:val="Hyperlink"/>
            <w:rFonts w:asciiTheme="minorBidi" w:hAnsiTheme="minorBidi" w:cstheme="minorBidi"/>
            <w:b/>
            <w:bCs/>
            <w:noProof/>
            <w:sz w:val="22"/>
            <w:szCs w:val="22"/>
          </w:rPr>
          <w:t>Figure 4.8 Shows</w:t>
        </w:r>
        <w:r w:rsidR="00656B6A" w:rsidRPr="00FB4405">
          <w:rPr>
            <w:rStyle w:val="Hyperlink"/>
            <w:rFonts w:asciiTheme="minorBidi" w:eastAsia="SimSun" w:hAnsiTheme="minorBidi" w:cstheme="minorBidi"/>
            <w:b/>
            <w:bCs/>
            <w:noProof/>
            <w:sz w:val="22"/>
            <w:szCs w:val="22"/>
          </w:rPr>
          <w:t xml:space="preserve"> </w:t>
        </w:r>
        <w:r w:rsidR="00656B6A" w:rsidRPr="00FB4405">
          <w:rPr>
            <w:rStyle w:val="Hyperlink"/>
            <w:rFonts w:asciiTheme="minorBidi" w:hAnsiTheme="minorBidi" w:cstheme="minorBidi"/>
            <w:b/>
            <w:bCs/>
            <w:noProof/>
            <w:sz w:val="22"/>
            <w:szCs w:val="22"/>
          </w:rPr>
          <w:t>MRX Microplate Reader used to measure the pulp stem cells cytotoxicity</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_Toc361734284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228</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30" w:anchor="_Toc361734285" w:history="1">
        <w:r w:rsidR="00656B6A" w:rsidRPr="00FB4405">
          <w:rPr>
            <w:rStyle w:val="Hyperlink"/>
            <w:rFonts w:asciiTheme="minorBidi" w:hAnsiTheme="minorBidi" w:cstheme="minorBidi"/>
            <w:b/>
            <w:bCs/>
            <w:noProof/>
            <w:sz w:val="22"/>
            <w:szCs w:val="22"/>
          </w:rPr>
          <w:t>Figure 4.9 Shows a Flow cytometry used to test pulp cells cytotoxicity after antibiotics application.</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_Toc361734285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230</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w:anchor="_Toc361734286" w:history="1">
        <w:r w:rsidR="00656B6A" w:rsidRPr="00FB4405">
          <w:rPr>
            <w:rStyle w:val="Hyperlink"/>
            <w:rFonts w:asciiTheme="minorBidi" w:hAnsiTheme="minorBidi" w:cstheme="minorBidi"/>
            <w:b/>
            <w:bCs/>
            <w:noProof/>
            <w:sz w:val="22"/>
            <w:szCs w:val="22"/>
          </w:rPr>
          <w:t>Figure 4.10 Shows the percentage of survival pulp cells after 24 hours incubated with antibiotics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_Toc361734286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234</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31" w:anchor="_Toc361734287" w:history="1">
        <w:r w:rsidR="00656B6A" w:rsidRPr="00FB4405">
          <w:rPr>
            <w:rStyle w:val="Hyperlink"/>
            <w:rFonts w:asciiTheme="minorBidi" w:hAnsiTheme="minorBidi" w:cstheme="minorBidi"/>
            <w:b/>
            <w:bCs/>
            <w:noProof/>
            <w:sz w:val="22"/>
            <w:szCs w:val="22"/>
          </w:rPr>
          <w:t>Figure 4.11 Live cell count, dead cells and  percentage of pulp cell survival s after 24 hours incubation  with antibiotics</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_Toc361734287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236</w:t>
        </w:r>
        <w:r w:rsidR="00656B6A" w:rsidRPr="00FB4405">
          <w:rPr>
            <w:rFonts w:asciiTheme="minorBidi" w:hAnsiTheme="minorBidi" w:cstheme="minorBidi"/>
            <w:b/>
            <w:bCs/>
            <w:noProof/>
            <w:webHidden/>
            <w:sz w:val="22"/>
            <w:szCs w:val="22"/>
          </w:rPr>
          <w:fldChar w:fldCharType="end"/>
        </w:r>
      </w:hyperlink>
    </w:p>
    <w:p w:rsidR="00656B6A"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zh-CN"/>
        </w:rPr>
      </w:pPr>
      <w:hyperlink r:id="rId32" w:anchor="_Toc361734288" w:history="1">
        <w:r w:rsidR="00656B6A" w:rsidRPr="00FB4405">
          <w:rPr>
            <w:rStyle w:val="Hyperlink"/>
            <w:rFonts w:asciiTheme="minorBidi" w:hAnsiTheme="minorBidi" w:cstheme="minorBidi"/>
            <w:b/>
            <w:bCs/>
            <w:noProof/>
            <w:sz w:val="22"/>
            <w:szCs w:val="22"/>
          </w:rPr>
          <w:t xml:space="preserve">Figure 4.12 Showed the percentage of survival pulp cells after 24 hours incubated with antibiotics assessed by </w:t>
        </w:r>
        <w:r w:rsidR="00656B6A" w:rsidRPr="00FB4405">
          <w:rPr>
            <w:rStyle w:val="Hyperlink"/>
            <w:rFonts w:asciiTheme="minorBidi" w:hAnsiTheme="minorBidi" w:cstheme="minorBidi"/>
            <w:b/>
            <w:bCs/>
            <w:noProof/>
            <w:sz w:val="22"/>
            <w:szCs w:val="22"/>
            <w:lang w:eastAsia="en-GB"/>
          </w:rPr>
          <w:t>flow cytomitry.</w:t>
        </w:r>
        <w:r w:rsidR="00656B6A" w:rsidRPr="00FB4405">
          <w:rPr>
            <w:rFonts w:asciiTheme="minorBidi" w:hAnsiTheme="minorBidi" w:cstheme="minorBidi"/>
            <w:b/>
            <w:bCs/>
            <w:noProof/>
            <w:webHidden/>
            <w:sz w:val="22"/>
            <w:szCs w:val="22"/>
          </w:rPr>
          <w:tab/>
        </w:r>
        <w:r w:rsidR="00656B6A" w:rsidRPr="00FB4405">
          <w:rPr>
            <w:rFonts w:asciiTheme="minorBidi" w:hAnsiTheme="minorBidi" w:cstheme="minorBidi"/>
            <w:b/>
            <w:bCs/>
            <w:noProof/>
            <w:webHidden/>
            <w:sz w:val="22"/>
            <w:szCs w:val="22"/>
          </w:rPr>
          <w:fldChar w:fldCharType="begin"/>
        </w:r>
        <w:r w:rsidR="00656B6A" w:rsidRPr="00FB4405">
          <w:rPr>
            <w:rFonts w:asciiTheme="minorBidi" w:hAnsiTheme="minorBidi" w:cstheme="minorBidi"/>
            <w:b/>
            <w:bCs/>
            <w:noProof/>
            <w:webHidden/>
            <w:sz w:val="22"/>
            <w:szCs w:val="22"/>
          </w:rPr>
          <w:instrText xml:space="preserve"> PAGEREF _Toc361734288 \h </w:instrText>
        </w:r>
        <w:r w:rsidR="00656B6A" w:rsidRPr="00FB4405">
          <w:rPr>
            <w:rFonts w:asciiTheme="minorBidi" w:hAnsiTheme="minorBidi" w:cstheme="minorBidi"/>
            <w:b/>
            <w:bCs/>
            <w:noProof/>
            <w:webHidden/>
            <w:sz w:val="22"/>
            <w:szCs w:val="22"/>
          </w:rPr>
        </w:r>
        <w:r w:rsidR="00656B6A"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239</w:t>
        </w:r>
        <w:r w:rsidR="00656B6A" w:rsidRPr="00FB4405">
          <w:rPr>
            <w:rFonts w:asciiTheme="minorBidi" w:hAnsiTheme="minorBidi" w:cstheme="minorBidi"/>
            <w:b/>
            <w:bCs/>
            <w:noProof/>
            <w:webHidden/>
            <w:sz w:val="22"/>
            <w:szCs w:val="22"/>
          </w:rPr>
          <w:fldChar w:fldCharType="end"/>
        </w:r>
      </w:hyperlink>
    </w:p>
    <w:p w:rsidR="000D083C" w:rsidRPr="00FB4405" w:rsidRDefault="00252DE2">
      <w:pPr>
        <w:rPr>
          <w:rFonts w:eastAsiaTheme="majorEastAsia" w:cstheme="minorBidi"/>
          <w:b/>
          <w:bCs/>
          <w:spacing w:val="5"/>
          <w:kern w:val="28"/>
          <w:sz w:val="22"/>
          <w:szCs w:val="22"/>
        </w:rPr>
      </w:pPr>
      <w:r w:rsidRPr="00FB4405">
        <w:rPr>
          <w:rFonts w:eastAsiaTheme="majorEastAsia" w:cstheme="minorBidi"/>
          <w:b/>
          <w:bCs/>
          <w:smallCaps/>
          <w:spacing w:val="5"/>
          <w:kern w:val="28"/>
          <w:sz w:val="22"/>
          <w:szCs w:val="22"/>
        </w:rPr>
        <w:fldChar w:fldCharType="end"/>
      </w:r>
    </w:p>
    <w:p w:rsidR="000D083C" w:rsidRPr="00FB4405" w:rsidRDefault="000D083C">
      <w:pPr>
        <w:rPr>
          <w:rFonts w:eastAsiaTheme="majorEastAsia" w:cstheme="minorBidi"/>
          <w:b/>
          <w:bCs/>
          <w:spacing w:val="5"/>
          <w:kern w:val="28"/>
          <w:sz w:val="22"/>
          <w:szCs w:val="22"/>
        </w:rPr>
      </w:pPr>
      <w:r w:rsidRPr="00FB4405">
        <w:rPr>
          <w:rFonts w:eastAsiaTheme="majorEastAsia" w:cstheme="minorBidi"/>
          <w:b/>
          <w:bCs/>
          <w:spacing w:val="5"/>
          <w:kern w:val="28"/>
          <w:sz w:val="22"/>
          <w:szCs w:val="22"/>
        </w:rPr>
        <w:br w:type="page"/>
      </w:r>
    </w:p>
    <w:p w:rsidR="00FB4405" w:rsidRPr="00FB4405" w:rsidRDefault="000D083C" w:rsidP="00FB4405">
      <w:pPr>
        <w:jc w:val="center"/>
        <w:rPr>
          <w:rFonts w:cstheme="minorBidi"/>
          <w:b/>
          <w:bCs/>
          <w:noProof/>
          <w:sz w:val="22"/>
          <w:szCs w:val="22"/>
        </w:rPr>
      </w:pPr>
      <w:r w:rsidRPr="00FB4405">
        <w:rPr>
          <w:rFonts w:eastAsiaTheme="majorEastAsia" w:cstheme="minorBidi"/>
          <w:b/>
          <w:bCs/>
          <w:spacing w:val="5"/>
          <w:kern w:val="28"/>
          <w:sz w:val="22"/>
          <w:szCs w:val="22"/>
        </w:rPr>
        <w:lastRenderedPageBreak/>
        <w:t xml:space="preserve">List of </w:t>
      </w:r>
      <w:r w:rsidR="00F5474B" w:rsidRPr="00FB4405">
        <w:rPr>
          <w:rFonts w:eastAsiaTheme="majorEastAsia" w:cstheme="minorBidi"/>
          <w:b/>
          <w:bCs/>
          <w:spacing w:val="5"/>
          <w:kern w:val="28"/>
          <w:sz w:val="22"/>
          <w:szCs w:val="22"/>
        </w:rPr>
        <w:t>T</w:t>
      </w:r>
      <w:r w:rsidRPr="00FB4405">
        <w:rPr>
          <w:rFonts w:eastAsiaTheme="majorEastAsia" w:cstheme="minorBidi"/>
          <w:b/>
          <w:bCs/>
          <w:spacing w:val="5"/>
          <w:kern w:val="28"/>
          <w:sz w:val="22"/>
          <w:szCs w:val="22"/>
        </w:rPr>
        <w:t>able</w:t>
      </w:r>
      <w:r w:rsidR="00F5474B" w:rsidRPr="00FB4405">
        <w:rPr>
          <w:rFonts w:eastAsiaTheme="majorEastAsia" w:cstheme="minorBidi"/>
          <w:b/>
          <w:bCs/>
          <w:spacing w:val="5"/>
          <w:kern w:val="28"/>
          <w:sz w:val="22"/>
          <w:szCs w:val="22"/>
        </w:rPr>
        <w:t>s</w:t>
      </w:r>
      <w:r w:rsidR="00FB4405" w:rsidRPr="00FB4405">
        <w:rPr>
          <w:rFonts w:eastAsiaTheme="majorEastAsia" w:cstheme="minorBidi"/>
          <w:b/>
          <w:bCs/>
          <w:spacing w:val="5"/>
          <w:kern w:val="28"/>
          <w:sz w:val="22"/>
          <w:szCs w:val="22"/>
        </w:rPr>
        <w:fldChar w:fldCharType="begin"/>
      </w:r>
      <w:r w:rsidR="00FB4405" w:rsidRPr="00FB4405">
        <w:rPr>
          <w:rFonts w:eastAsiaTheme="majorEastAsia" w:cstheme="minorBidi"/>
          <w:b/>
          <w:bCs/>
          <w:spacing w:val="5"/>
          <w:kern w:val="28"/>
          <w:sz w:val="22"/>
          <w:szCs w:val="22"/>
        </w:rPr>
        <w:instrText xml:space="preserve"> TOC \h \z \t "Balloon Text" \c "Table" </w:instrText>
      </w:r>
      <w:r w:rsidR="00FB4405" w:rsidRPr="00FB4405">
        <w:rPr>
          <w:rFonts w:eastAsiaTheme="majorEastAsia" w:cstheme="minorBidi"/>
          <w:b/>
          <w:bCs/>
          <w:spacing w:val="5"/>
          <w:kern w:val="28"/>
          <w:sz w:val="22"/>
          <w:szCs w:val="22"/>
        </w:rPr>
        <w:fldChar w:fldCharType="separate"/>
      </w:r>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22"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 xml:space="preserve">1.1 </w:t>
        </w:r>
        <w:r w:rsidR="00FB4405" w:rsidRPr="00FB4405">
          <w:rPr>
            <w:rStyle w:val="Hyperlink"/>
            <w:rFonts w:asciiTheme="minorBidi" w:hAnsiTheme="minorBidi" w:cstheme="minorBidi"/>
            <w:b/>
            <w:bCs/>
            <w:noProof/>
            <w:sz w:val="22"/>
            <w:szCs w:val="22"/>
            <w:lang w:val="en-US"/>
          </w:rPr>
          <w:t>Characteristics of controlled clinical studies for calcium hydroxide [</w:t>
        </w:r>
        <w:r w:rsidR="00FB4405" w:rsidRPr="00FB4405">
          <w:rPr>
            <w:rStyle w:val="Hyperlink"/>
            <w:rFonts w:asciiTheme="minorBidi" w:hAnsiTheme="minorBidi" w:cstheme="minorBidi"/>
            <w:b/>
            <w:bCs/>
            <w:noProof/>
            <w:sz w:val="22"/>
            <w:szCs w:val="22"/>
          </w:rPr>
          <w:t>Ca(OH)</w:t>
        </w:r>
        <w:r w:rsidR="00FB4405" w:rsidRPr="00FB4405">
          <w:rPr>
            <w:rStyle w:val="Hyperlink"/>
            <w:rFonts w:asciiTheme="minorBidi" w:hAnsiTheme="minorBidi" w:cstheme="minorBidi"/>
            <w:b/>
            <w:bCs/>
            <w:noProof/>
            <w:sz w:val="22"/>
            <w:szCs w:val="22"/>
            <w:vertAlign w:val="subscript"/>
          </w:rPr>
          <w:t>2</w:t>
        </w:r>
        <w:r w:rsidR="00FB4405" w:rsidRPr="00FB4405">
          <w:rPr>
            <w:rStyle w:val="Hyperlink"/>
            <w:rFonts w:asciiTheme="minorBidi" w:hAnsiTheme="minorBidi" w:cstheme="minorBidi"/>
            <w:b/>
            <w:bCs/>
            <w:noProof/>
            <w:sz w:val="22"/>
            <w:szCs w:val="22"/>
          </w:rPr>
          <w:t>]</w:t>
        </w:r>
        <w:r w:rsidR="00FB4405" w:rsidRPr="00FB4405">
          <w:rPr>
            <w:rStyle w:val="Hyperlink"/>
            <w:rFonts w:asciiTheme="minorBidi" w:hAnsiTheme="minorBidi" w:cstheme="minorBidi"/>
            <w:b/>
            <w:bCs/>
            <w:noProof/>
            <w:sz w:val="22"/>
            <w:szCs w:val="22"/>
            <w:vertAlign w:val="subscript"/>
          </w:rPr>
          <w:t xml:space="preserve"> </w:t>
        </w:r>
        <w:r w:rsidR="00FB4405" w:rsidRPr="00FB4405">
          <w:rPr>
            <w:rStyle w:val="Hyperlink"/>
            <w:rFonts w:asciiTheme="minorBidi" w:hAnsiTheme="minorBidi" w:cstheme="minorBidi"/>
            <w:b/>
            <w:bCs/>
            <w:noProof/>
            <w:sz w:val="22"/>
            <w:szCs w:val="22"/>
            <w:lang w:val="en-US"/>
          </w:rPr>
          <w:t>apexification</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_Toc370511722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23</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23"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1.2</w:t>
        </w:r>
        <w:r w:rsidR="00FB4405" w:rsidRPr="00FB4405">
          <w:rPr>
            <w:rStyle w:val="Hyperlink"/>
            <w:rFonts w:asciiTheme="minorBidi" w:hAnsiTheme="minorBidi" w:cstheme="minorBidi"/>
            <w:b/>
            <w:bCs/>
            <w:noProof/>
            <w:sz w:val="22"/>
            <w:szCs w:val="22"/>
            <w:lang w:val="en-US"/>
          </w:rPr>
          <w:t xml:space="preserve"> Summary of validity assessment criteria applied to reviewed clinical trials for calcium hydroxide apexification</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_Toc370511723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24</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24"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1.3 Grading system for evidence based guidelines used by SIGN.</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_Toc370511724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27</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25"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1.5 Characteristics of clinical studies evaluating the use of MTA to facilitate obturation of root canals.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_Toc370511725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34</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26"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1.6 Characteristics of clinical studies evaluating the use of Regenerative Endodontic Technique (RET).</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_Toc370511726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43</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27"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2.1</w:t>
        </w:r>
        <w:r w:rsidR="00FB4405" w:rsidRPr="00FB4405">
          <w:rPr>
            <w:rStyle w:val="Hyperlink"/>
            <w:rFonts w:asciiTheme="minorBidi" w:hAnsiTheme="minorBidi" w:cstheme="minorBidi"/>
            <w:b/>
            <w:bCs/>
            <w:noProof/>
            <w:sz w:val="22"/>
            <w:szCs w:val="22"/>
            <w:lang w:val="en-US"/>
          </w:rPr>
          <w:t xml:space="preserve"> Test for normality using Shpiro-Wilk test of normality for hardness dentine</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_Toc370511727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91</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28"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2.2 Test for normality using Shapiro-Wilk test of normality for modulus of elasticity of dentine.</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_Toc370511728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92</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29"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2.3 Hardness of dentine slabs as evaluated with nanoindentation after three months of application of NSCH and MTA compared with control slabs.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_Toc370511729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94</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30"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2.4 Statistical analysis of the harndness data after three months for the experimental and control groups using</w:t>
        </w:r>
        <w:r w:rsidR="00FB4405" w:rsidRPr="00FB4405">
          <w:rPr>
            <w:rStyle w:val="Hyperlink"/>
            <w:rFonts w:asciiTheme="minorBidi" w:eastAsia="Calibri" w:hAnsiTheme="minorBidi" w:cstheme="minorBidi"/>
            <w:b/>
            <w:bCs/>
            <w:noProof/>
            <w:sz w:val="22"/>
            <w:szCs w:val="22"/>
          </w:rPr>
          <w:t xml:space="preserve"> non-parametric </w:t>
        </w:r>
        <w:r w:rsidR="00FB4405" w:rsidRPr="00FB4405">
          <w:rPr>
            <w:rStyle w:val="Hyperlink"/>
            <w:rFonts w:asciiTheme="minorBidi" w:hAnsiTheme="minorBidi" w:cstheme="minorBidi"/>
            <w:b/>
            <w:bCs/>
            <w:noProof/>
            <w:sz w:val="22"/>
            <w:szCs w:val="22"/>
          </w:rPr>
          <w:t>Mann-Whitney and Wilcoxon tests.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_Toc370511730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95</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31"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2.5 Modulus of elasticity of dentine slabs as evaluated with nanoindentation after three months of application of NSCH and MTA compared with control slabs.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_Toc370511731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96</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32"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 xml:space="preserve">2.6 Statistical analysis of the modulus of elasticity data after 3 months for the experimental and control groups using </w:t>
        </w:r>
        <w:r w:rsidR="00FB4405" w:rsidRPr="00FB4405">
          <w:rPr>
            <w:rStyle w:val="Hyperlink"/>
            <w:rFonts w:asciiTheme="minorBidi" w:eastAsia="Calibri" w:hAnsiTheme="minorBidi" w:cstheme="minorBidi"/>
            <w:b/>
            <w:bCs/>
            <w:noProof/>
            <w:sz w:val="22"/>
            <w:szCs w:val="22"/>
          </w:rPr>
          <w:t xml:space="preserve">nonparametric </w:t>
        </w:r>
        <w:r w:rsidR="00FB4405" w:rsidRPr="00FB4405">
          <w:rPr>
            <w:rStyle w:val="Hyperlink"/>
            <w:rFonts w:asciiTheme="minorBidi" w:hAnsiTheme="minorBidi" w:cstheme="minorBidi"/>
            <w:b/>
            <w:bCs/>
            <w:noProof/>
            <w:sz w:val="22"/>
            <w:szCs w:val="22"/>
          </w:rPr>
          <w:t>Mann-Whitney and Wilcoxon tests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_Toc370511732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97</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33"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2.7 Hardness of dentine slabs as evaluated with nano-indentation after eight months of application of NSCH and MTA compared with control slabs.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_Toc370511733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99</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34"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2.8 Statistical analysis of the harndness data after eight months for the experimental and control groups using non-parametric Mann-Whitney and Wilcoxon tests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_Toc370511734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100</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35"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2.9 Modulus of elasticity of dentine slabs as evaluated with nano-indentation after eight months of application of NSCH and MTA compared with control slabs.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_Toc370511735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101</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36"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 xml:space="preserve">2.10 Statistical analysis of the modulus of elasticity data after eight months for the experimental and control groups using </w:t>
        </w:r>
        <w:r w:rsidR="00FB4405" w:rsidRPr="00FB4405">
          <w:rPr>
            <w:rStyle w:val="Hyperlink"/>
            <w:rFonts w:asciiTheme="minorBidi" w:eastAsia="Calibri" w:hAnsiTheme="minorBidi" w:cstheme="minorBidi"/>
            <w:b/>
            <w:bCs/>
            <w:noProof/>
            <w:sz w:val="22"/>
            <w:szCs w:val="22"/>
          </w:rPr>
          <w:t xml:space="preserve">non-parametric </w:t>
        </w:r>
        <w:r w:rsidR="00FB4405" w:rsidRPr="00FB4405">
          <w:rPr>
            <w:rStyle w:val="Hyperlink"/>
            <w:rFonts w:asciiTheme="minorBidi" w:hAnsiTheme="minorBidi" w:cstheme="minorBidi"/>
            <w:b/>
            <w:bCs/>
            <w:noProof/>
            <w:sz w:val="22"/>
            <w:szCs w:val="22"/>
          </w:rPr>
          <w:t>Mann-Whitney and Wilcoxon tests.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_Toc370511736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102</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37"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3.1 Showings the anaerobic bacteria used in this study and the code.</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_Toc370511737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141</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38"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3.2 Showings</w:t>
        </w:r>
        <w:r w:rsidR="00FB4405" w:rsidRPr="00FB4405">
          <w:rPr>
            <w:rStyle w:val="Hyperlink"/>
            <w:rFonts w:asciiTheme="minorBidi" w:hAnsiTheme="minorBidi" w:cstheme="minorBidi"/>
            <w:b/>
            <w:bCs/>
            <w:noProof/>
            <w:sz w:val="22"/>
            <w:szCs w:val="22"/>
            <w:lang w:eastAsia="en-GB"/>
          </w:rPr>
          <w:t xml:space="preserve"> the aerobic bacteria used in this study and the code.</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_Toc370511738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142</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39"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3.3 Showing the composition of Columbia blood agar (CBA)</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_Toc370511739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143</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40"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3.4 Shows</w:t>
        </w:r>
        <w:r w:rsidR="00FB4405" w:rsidRPr="00FB4405">
          <w:rPr>
            <w:rStyle w:val="Hyperlink"/>
            <w:rFonts w:asciiTheme="minorBidi" w:hAnsiTheme="minorBidi" w:cstheme="minorBidi"/>
            <w:b/>
            <w:bCs/>
            <w:i/>
            <w:iCs/>
            <w:noProof/>
            <w:sz w:val="22"/>
            <w:szCs w:val="22"/>
          </w:rPr>
          <w:t xml:space="preserve"> E coli</w:t>
        </w:r>
        <w:r w:rsidR="00FB4405" w:rsidRPr="00FB4405">
          <w:rPr>
            <w:rStyle w:val="Hyperlink"/>
            <w:rFonts w:asciiTheme="minorBidi" w:hAnsiTheme="minorBidi" w:cstheme="minorBidi"/>
            <w:b/>
            <w:bCs/>
            <w:noProof/>
            <w:sz w:val="22"/>
            <w:szCs w:val="22"/>
          </w:rPr>
          <w:t xml:space="preserve"> (EC) (NCTC 11954) </w:t>
        </w:r>
        <w:r w:rsidR="00FB4405" w:rsidRPr="00FB4405">
          <w:rPr>
            <w:rStyle w:val="Hyperlink"/>
            <w:rFonts w:asciiTheme="minorBidi" w:hAnsiTheme="minorBidi" w:cstheme="minorBidi"/>
            <w:b/>
            <w:bCs/>
            <w:noProof/>
            <w:sz w:val="22"/>
            <w:szCs w:val="22"/>
            <w:lang w:eastAsia="en-GB"/>
          </w:rPr>
          <w:t>measured by OD</w:t>
        </w:r>
        <w:r w:rsidR="00FB4405" w:rsidRPr="00FB4405">
          <w:rPr>
            <w:rStyle w:val="Hyperlink"/>
            <w:rFonts w:asciiTheme="minorBidi" w:hAnsiTheme="minorBidi" w:cstheme="minorBidi"/>
            <w:b/>
            <w:bCs/>
            <w:noProof/>
            <w:sz w:val="22"/>
            <w:szCs w:val="22"/>
            <w:vertAlign w:val="subscript"/>
            <w:lang w:eastAsia="en-GB"/>
          </w:rPr>
          <w:t>450</w:t>
        </w:r>
        <w:r w:rsidR="00FB4405" w:rsidRPr="00FB4405">
          <w:rPr>
            <w:rStyle w:val="Hyperlink"/>
            <w:rFonts w:asciiTheme="minorBidi" w:hAnsiTheme="minorBidi" w:cstheme="minorBidi"/>
            <w:b/>
            <w:bCs/>
            <w:noProof/>
            <w:sz w:val="22"/>
            <w:szCs w:val="22"/>
            <w:lang w:eastAsia="en-GB"/>
          </w:rPr>
          <w:t xml:space="preserve"> against (CFU/ml)</w:t>
        </w:r>
        <w:r w:rsidR="00FB4405" w:rsidRPr="00FB4405">
          <w:rPr>
            <w:rStyle w:val="Hyperlink"/>
            <w:rFonts w:asciiTheme="minorBidi" w:hAnsiTheme="minorBidi" w:cstheme="minorBidi"/>
            <w:b/>
            <w:bCs/>
            <w:noProof/>
            <w:sz w:val="22"/>
            <w:szCs w:val="22"/>
          </w:rPr>
          <w:t>.</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_Toc370511740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158</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41"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3.5</w:t>
        </w:r>
        <w:r w:rsidR="00FB4405" w:rsidRPr="00FB4405">
          <w:rPr>
            <w:rStyle w:val="Hyperlink"/>
            <w:rFonts w:asciiTheme="minorBidi" w:eastAsia="Times New Roman" w:hAnsiTheme="minorBidi" w:cstheme="minorBidi"/>
            <w:b/>
            <w:bCs/>
            <w:noProof/>
            <w:sz w:val="22"/>
            <w:szCs w:val="22"/>
            <w:lang w:eastAsia="en-GB"/>
          </w:rPr>
          <w:t xml:space="preserve"> Shows </w:t>
        </w:r>
        <w:r w:rsidR="00FB4405" w:rsidRPr="00FB4405">
          <w:rPr>
            <w:rStyle w:val="Hyperlink"/>
            <w:rFonts w:asciiTheme="minorBidi" w:eastAsia="Times New Roman" w:hAnsiTheme="minorBidi" w:cstheme="minorBidi"/>
            <w:b/>
            <w:bCs/>
            <w:i/>
            <w:iCs/>
            <w:noProof/>
            <w:sz w:val="22"/>
            <w:szCs w:val="22"/>
            <w:lang w:eastAsia="en-GB"/>
          </w:rPr>
          <w:t>E faecalis</w:t>
        </w:r>
        <w:r w:rsidR="00FB4405" w:rsidRPr="00FB4405">
          <w:rPr>
            <w:rStyle w:val="Hyperlink"/>
            <w:rFonts w:asciiTheme="minorBidi" w:eastAsia="Times New Roman" w:hAnsiTheme="minorBidi" w:cstheme="minorBidi"/>
            <w:b/>
            <w:bCs/>
            <w:noProof/>
            <w:sz w:val="22"/>
            <w:szCs w:val="22"/>
            <w:lang w:eastAsia="en-GB"/>
          </w:rPr>
          <w:t xml:space="preserve"> (NCTC 755) </w:t>
        </w:r>
        <w:r w:rsidR="00FB4405" w:rsidRPr="00FB4405">
          <w:rPr>
            <w:rStyle w:val="Hyperlink"/>
            <w:rFonts w:asciiTheme="minorBidi" w:hAnsiTheme="minorBidi" w:cstheme="minorBidi"/>
            <w:b/>
            <w:bCs/>
            <w:noProof/>
            <w:sz w:val="22"/>
            <w:szCs w:val="22"/>
            <w:lang w:eastAsia="en-GB"/>
          </w:rPr>
          <w:t>measured by OD</w:t>
        </w:r>
        <w:r w:rsidR="00FB4405" w:rsidRPr="00FB4405">
          <w:rPr>
            <w:rStyle w:val="Hyperlink"/>
            <w:rFonts w:asciiTheme="minorBidi" w:hAnsiTheme="minorBidi" w:cstheme="minorBidi"/>
            <w:b/>
            <w:bCs/>
            <w:noProof/>
            <w:sz w:val="22"/>
            <w:szCs w:val="22"/>
            <w:vertAlign w:val="subscript"/>
            <w:lang w:eastAsia="en-GB"/>
          </w:rPr>
          <w:t>450</w:t>
        </w:r>
        <w:r w:rsidR="00FB4405" w:rsidRPr="00FB4405">
          <w:rPr>
            <w:rStyle w:val="Hyperlink"/>
            <w:rFonts w:asciiTheme="minorBidi" w:hAnsiTheme="minorBidi" w:cstheme="minorBidi"/>
            <w:b/>
            <w:bCs/>
            <w:noProof/>
            <w:sz w:val="22"/>
            <w:szCs w:val="22"/>
            <w:lang w:eastAsia="en-GB"/>
          </w:rPr>
          <w:t xml:space="preserve"> against (CFU/ml)</w:t>
        </w:r>
        <w:r w:rsidR="00FB4405" w:rsidRPr="00FB4405">
          <w:rPr>
            <w:rStyle w:val="Hyperlink"/>
            <w:rFonts w:asciiTheme="minorBidi" w:hAnsiTheme="minorBidi" w:cstheme="minorBidi"/>
            <w:b/>
            <w:bCs/>
            <w:noProof/>
            <w:sz w:val="22"/>
            <w:szCs w:val="22"/>
          </w:rPr>
          <w:t>.</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_Toc370511741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159</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42"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3.6</w:t>
        </w:r>
        <w:r w:rsidR="00FB4405" w:rsidRPr="00FB4405">
          <w:rPr>
            <w:rStyle w:val="Hyperlink"/>
            <w:rFonts w:asciiTheme="minorBidi" w:eastAsia="Times New Roman" w:hAnsiTheme="minorBidi" w:cstheme="minorBidi"/>
            <w:b/>
            <w:bCs/>
            <w:noProof/>
            <w:sz w:val="22"/>
            <w:szCs w:val="22"/>
            <w:lang w:eastAsia="en-GB"/>
          </w:rPr>
          <w:t xml:space="preserve"> Shows </w:t>
        </w:r>
        <w:r w:rsidR="00FB4405" w:rsidRPr="00FB4405">
          <w:rPr>
            <w:rStyle w:val="Hyperlink"/>
            <w:rFonts w:asciiTheme="minorBidi" w:eastAsia="Times New Roman" w:hAnsiTheme="minorBidi" w:cstheme="minorBidi"/>
            <w:b/>
            <w:bCs/>
            <w:i/>
            <w:iCs/>
            <w:noProof/>
            <w:sz w:val="22"/>
            <w:szCs w:val="22"/>
            <w:lang w:eastAsia="en-GB"/>
          </w:rPr>
          <w:t>P. gingivalis</w:t>
        </w:r>
        <w:r w:rsidR="00FB4405" w:rsidRPr="00FB4405">
          <w:rPr>
            <w:rStyle w:val="Hyperlink"/>
            <w:rFonts w:asciiTheme="minorBidi" w:eastAsia="Times New Roman" w:hAnsiTheme="minorBidi" w:cstheme="minorBidi"/>
            <w:b/>
            <w:bCs/>
            <w:noProof/>
            <w:sz w:val="22"/>
            <w:szCs w:val="22"/>
            <w:lang w:eastAsia="en-GB"/>
          </w:rPr>
          <w:t xml:space="preserve"> (W50) </w:t>
        </w:r>
        <w:r w:rsidR="00FB4405" w:rsidRPr="00FB4405">
          <w:rPr>
            <w:rStyle w:val="Hyperlink"/>
            <w:rFonts w:asciiTheme="minorBidi" w:hAnsiTheme="minorBidi" w:cstheme="minorBidi"/>
            <w:b/>
            <w:bCs/>
            <w:noProof/>
            <w:sz w:val="22"/>
            <w:szCs w:val="22"/>
            <w:lang w:eastAsia="en-GB"/>
          </w:rPr>
          <w:t>measured by OD</w:t>
        </w:r>
        <w:r w:rsidR="00FB4405" w:rsidRPr="00FB4405">
          <w:rPr>
            <w:rStyle w:val="Hyperlink"/>
            <w:rFonts w:asciiTheme="minorBidi" w:hAnsiTheme="minorBidi" w:cstheme="minorBidi"/>
            <w:b/>
            <w:bCs/>
            <w:noProof/>
            <w:sz w:val="22"/>
            <w:szCs w:val="22"/>
            <w:vertAlign w:val="subscript"/>
            <w:lang w:eastAsia="en-GB"/>
          </w:rPr>
          <w:t>450</w:t>
        </w:r>
        <w:r w:rsidR="00FB4405" w:rsidRPr="00FB4405">
          <w:rPr>
            <w:rStyle w:val="Hyperlink"/>
            <w:rFonts w:asciiTheme="minorBidi" w:hAnsiTheme="minorBidi" w:cstheme="minorBidi"/>
            <w:b/>
            <w:bCs/>
            <w:noProof/>
            <w:sz w:val="22"/>
            <w:szCs w:val="22"/>
            <w:lang w:eastAsia="en-GB"/>
          </w:rPr>
          <w:t xml:space="preserve"> against (CFU/ml)</w:t>
        </w:r>
        <w:r w:rsidR="00FB4405" w:rsidRPr="00FB4405">
          <w:rPr>
            <w:rStyle w:val="Hyperlink"/>
            <w:rFonts w:asciiTheme="minorBidi" w:hAnsiTheme="minorBidi" w:cstheme="minorBidi"/>
            <w:b/>
            <w:bCs/>
            <w:noProof/>
            <w:sz w:val="22"/>
            <w:szCs w:val="22"/>
          </w:rPr>
          <w:t>.</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_Toc370511742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160</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43"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3.7</w:t>
        </w:r>
        <w:r w:rsidR="00FB4405" w:rsidRPr="00FB4405">
          <w:rPr>
            <w:rStyle w:val="Hyperlink"/>
            <w:rFonts w:asciiTheme="minorBidi" w:hAnsiTheme="minorBidi" w:cstheme="minorBidi"/>
            <w:b/>
            <w:bCs/>
            <w:i/>
            <w:iCs/>
            <w:noProof/>
            <w:sz w:val="22"/>
            <w:szCs w:val="22"/>
          </w:rPr>
          <w:t xml:space="preserve"> F. nucleatum</w:t>
        </w:r>
        <w:r w:rsidR="00FB4405" w:rsidRPr="00FB4405">
          <w:rPr>
            <w:rStyle w:val="Hyperlink"/>
            <w:rFonts w:asciiTheme="minorBidi" w:hAnsiTheme="minorBidi" w:cstheme="minorBidi"/>
            <w:b/>
            <w:bCs/>
            <w:noProof/>
            <w:sz w:val="22"/>
            <w:szCs w:val="22"/>
          </w:rPr>
          <w:t xml:space="preserve"> (ACTC 10953) measured by OD</w:t>
        </w:r>
        <w:r w:rsidR="00FB4405" w:rsidRPr="00FB4405">
          <w:rPr>
            <w:rStyle w:val="Hyperlink"/>
            <w:rFonts w:asciiTheme="minorBidi" w:hAnsiTheme="minorBidi" w:cstheme="minorBidi"/>
            <w:b/>
            <w:bCs/>
            <w:noProof/>
            <w:sz w:val="22"/>
            <w:szCs w:val="22"/>
            <w:vertAlign w:val="subscript"/>
          </w:rPr>
          <w:t>450</w:t>
        </w:r>
        <w:r w:rsidR="00FB4405" w:rsidRPr="00FB4405">
          <w:rPr>
            <w:rStyle w:val="Hyperlink"/>
            <w:rFonts w:asciiTheme="minorBidi" w:hAnsiTheme="minorBidi" w:cstheme="minorBidi"/>
            <w:b/>
            <w:bCs/>
            <w:noProof/>
            <w:sz w:val="22"/>
            <w:szCs w:val="22"/>
          </w:rPr>
          <w:t xml:space="preserve"> against (CFU/ml).</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_Toc370511743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161</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44"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3.8</w:t>
        </w:r>
        <w:r w:rsidR="00FB4405" w:rsidRPr="00FB4405">
          <w:rPr>
            <w:rStyle w:val="Hyperlink"/>
            <w:rFonts w:asciiTheme="minorBidi" w:eastAsia="Times New Roman" w:hAnsiTheme="minorBidi" w:cstheme="minorBidi"/>
            <w:b/>
            <w:bCs/>
            <w:noProof/>
            <w:sz w:val="22"/>
            <w:szCs w:val="22"/>
            <w:lang w:eastAsia="en-GB"/>
          </w:rPr>
          <w:t xml:space="preserve"> Shows </w:t>
        </w:r>
        <w:r w:rsidR="00FB4405" w:rsidRPr="00FB4405">
          <w:rPr>
            <w:rStyle w:val="Hyperlink"/>
            <w:rFonts w:asciiTheme="minorBidi" w:eastAsia="Times New Roman" w:hAnsiTheme="minorBidi" w:cstheme="minorBidi"/>
            <w:b/>
            <w:bCs/>
            <w:i/>
            <w:iCs/>
            <w:noProof/>
            <w:sz w:val="22"/>
            <w:szCs w:val="22"/>
            <w:lang w:eastAsia="en-GB"/>
          </w:rPr>
          <w:t>A. odontolyticus</w:t>
        </w:r>
        <w:r w:rsidR="00FB4405" w:rsidRPr="00FB4405">
          <w:rPr>
            <w:rStyle w:val="Hyperlink"/>
            <w:rFonts w:asciiTheme="minorBidi" w:eastAsia="Times New Roman" w:hAnsiTheme="minorBidi" w:cstheme="minorBidi"/>
            <w:b/>
            <w:bCs/>
            <w:noProof/>
            <w:sz w:val="22"/>
            <w:szCs w:val="22"/>
            <w:lang w:eastAsia="en-GB"/>
          </w:rPr>
          <w:t xml:space="preserve"> (NCTC 9335) </w:t>
        </w:r>
        <w:r w:rsidR="00FB4405" w:rsidRPr="00FB4405">
          <w:rPr>
            <w:rStyle w:val="Hyperlink"/>
            <w:rFonts w:asciiTheme="minorBidi" w:hAnsiTheme="minorBidi" w:cstheme="minorBidi"/>
            <w:b/>
            <w:bCs/>
            <w:noProof/>
            <w:sz w:val="22"/>
            <w:szCs w:val="22"/>
            <w:lang w:eastAsia="en-GB"/>
          </w:rPr>
          <w:t>measured by OD</w:t>
        </w:r>
        <w:r w:rsidR="00FB4405" w:rsidRPr="00FB4405">
          <w:rPr>
            <w:rStyle w:val="Hyperlink"/>
            <w:rFonts w:asciiTheme="minorBidi" w:hAnsiTheme="minorBidi" w:cstheme="minorBidi"/>
            <w:b/>
            <w:bCs/>
            <w:noProof/>
            <w:sz w:val="22"/>
            <w:szCs w:val="22"/>
            <w:vertAlign w:val="subscript"/>
            <w:lang w:eastAsia="en-GB"/>
          </w:rPr>
          <w:t>450</w:t>
        </w:r>
        <w:r w:rsidR="00FB4405" w:rsidRPr="00FB4405">
          <w:rPr>
            <w:rStyle w:val="Hyperlink"/>
            <w:rFonts w:asciiTheme="minorBidi" w:hAnsiTheme="minorBidi" w:cstheme="minorBidi"/>
            <w:b/>
            <w:bCs/>
            <w:noProof/>
            <w:sz w:val="22"/>
            <w:szCs w:val="22"/>
            <w:lang w:eastAsia="en-GB"/>
          </w:rPr>
          <w:t xml:space="preserve"> against (CFU/ml)</w:t>
        </w:r>
        <w:r w:rsidR="00FB4405" w:rsidRPr="00FB4405">
          <w:rPr>
            <w:rStyle w:val="Hyperlink"/>
            <w:rFonts w:asciiTheme="minorBidi" w:hAnsiTheme="minorBidi" w:cstheme="minorBidi"/>
            <w:b/>
            <w:bCs/>
            <w:noProof/>
            <w:sz w:val="22"/>
            <w:szCs w:val="22"/>
          </w:rPr>
          <w:t>.</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_Toc370511744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162</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45"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3.9 Shapiro-Wilk showing the test for normality for all bacteria which was inconclusive with regards to normality of the data.</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_Toc370511745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163</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46"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 xml:space="preserve">3.10 Shows results for the inhibition zone (mm) for </w:t>
        </w:r>
        <w:r w:rsidR="00FB4405" w:rsidRPr="00FB4405">
          <w:rPr>
            <w:rStyle w:val="Hyperlink"/>
            <w:rFonts w:asciiTheme="minorBidi" w:hAnsiTheme="minorBidi" w:cstheme="minorBidi"/>
            <w:b/>
            <w:bCs/>
            <w:i/>
            <w:iCs/>
            <w:noProof/>
            <w:sz w:val="22"/>
            <w:szCs w:val="22"/>
          </w:rPr>
          <w:t>E. coli</w:t>
        </w:r>
        <w:r w:rsidR="00FB4405" w:rsidRPr="00FB4405">
          <w:rPr>
            <w:rStyle w:val="Hyperlink"/>
            <w:rFonts w:asciiTheme="minorBidi" w:hAnsiTheme="minorBidi" w:cstheme="minorBidi"/>
            <w:b/>
            <w:bCs/>
            <w:noProof/>
            <w:sz w:val="22"/>
            <w:szCs w:val="22"/>
          </w:rPr>
          <w:t xml:space="preserve"> with all the test materials.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_Toc370511746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164</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47"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 xml:space="preserve">3.11 Comparison of antibacterial effectiveness of different materials, NSCH, MTA, Minocycline, Ciprofloxacin and Metronidazole </w:t>
        </w:r>
        <w:r w:rsidR="00FB4405" w:rsidRPr="00FB4405">
          <w:rPr>
            <w:rStyle w:val="Hyperlink"/>
            <w:rFonts w:asciiTheme="minorBidi" w:hAnsiTheme="minorBidi" w:cstheme="minorBidi"/>
            <w:b/>
            <w:bCs/>
            <w:i/>
            <w:iCs/>
            <w:noProof/>
            <w:sz w:val="22"/>
            <w:szCs w:val="22"/>
          </w:rPr>
          <w:t>on E. coli.</w:t>
        </w:r>
        <w:r w:rsidR="00FB4405" w:rsidRPr="00FB4405">
          <w:rPr>
            <w:rStyle w:val="Hyperlink"/>
            <w:rFonts w:asciiTheme="minorBidi" w:eastAsia="Calibri" w:hAnsiTheme="minorBidi" w:cstheme="minorBidi"/>
            <w:b/>
            <w:bCs/>
            <w:noProof/>
            <w:sz w:val="22"/>
            <w:szCs w:val="22"/>
          </w:rPr>
          <w:t>(I) Treatment</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_Toc370511747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166</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48"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 xml:space="preserve">3.12 Shows results for the inhibition zone (mm) for </w:t>
        </w:r>
        <w:r w:rsidR="00FB4405" w:rsidRPr="00FB4405">
          <w:rPr>
            <w:rStyle w:val="Hyperlink"/>
            <w:rFonts w:asciiTheme="minorBidi" w:eastAsia="Times New Roman" w:hAnsiTheme="minorBidi" w:cstheme="minorBidi"/>
            <w:b/>
            <w:bCs/>
            <w:i/>
            <w:iCs/>
            <w:noProof/>
            <w:sz w:val="22"/>
            <w:szCs w:val="22"/>
            <w:lang w:eastAsia="en-GB"/>
          </w:rPr>
          <w:t>E. faecalis</w:t>
        </w:r>
        <w:r w:rsidR="00FB4405" w:rsidRPr="00FB4405">
          <w:rPr>
            <w:rStyle w:val="Hyperlink"/>
            <w:rFonts w:asciiTheme="minorBidi" w:eastAsia="Times New Roman" w:hAnsiTheme="minorBidi" w:cstheme="minorBidi"/>
            <w:b/>
            <w:bCs/>
            <w:noProof/>
            <w:sz w:val="22"/>
            <w:szCs w:val="22"/>
            <w:lang w:eastAsia="en-GB"/>
          </w:rPr>
          <w:t xml:space="preserve"> </w:t>
        </w:r>
        <w:r w:rsidR="00FB4405" w:rsidRPr="00FB4405">
          <w:rPr>
            <w:rStyle w:val="Hyperlink"/>
            <w:rFonts w:asciiTheme="minorBidi" w:hAnsiTheme="minorBidi" w:cstheme="minorBidi"/>
            <w:b/>
            <w:bCs/>
            <w:noProof/>
            <w:sz w:val="22"/>
            <w:szCs w:val="22"/>
          </w:rPr>
          <w:t>with all the test materials.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_Toc370511748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167</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49"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3.13 Comparison of antibacterial effectiveness of different material NSCH, MTA, Minocycline, Ciprofloxacin and Metronidazole, on</w:t>
        </w:r>
        <w:r w:rsidR="00FB4405" w:rsidRPr="00FB4405">
          <w:rPr>
            <w:rStyle w:val="Hyperlink"/>
            <w:rFonts w:asciiTheme="minorBidi" w:hAnsiTheme="minorBidi" w:cstheme="minorBidi"/>
            <w:b/>
            <w:bCs/>
            <w:i/>
            <w:iCs/>
            <w:noProof/>
            <w:sz w:val="22"/>
            <w:szCs w:val="22"/>
          </w:rPr>
          <w:t xml:space="preserve"> E  faecalis.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_Toc370511749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169</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50"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 xml:space="preserve">3.14 Results for the inhibition zone (mm) for </w:t>
        </w:r>
        <w:r w:rsidR="00FB4405" w:rsidRPr="00FB4405">
          <w:rPr>
            <w:rStyle w:val="Hyperlink"/>
            <w:rFonts w:asciiTheme="minorBidi" w:eastAsia="Times New Roman" w:hAnsiTheme="minorBidi" w:cstheme="minorBidi"/>
            <w:b/>
            <w:bCs/>
            <w:i/>
            <w:iCs/>
            <w:noProof/>
            <w:sz w:val="22"/>
            <w:szCs w:val="22"/>
            <w:lang w:eastAsia="en-GB"/>
          </w:rPr>
          <w:t>P.gingivalis</w:t>
        </w:r>
        <w:r w:rsidR="00FB4405" w:rsidRPr="00FB4405">
          <w:rPr>
            <w:rStyle w:val="Hyperlink"/>
            <w:rFonts w:asciiTheme="minorBidi" w:eastAsia="Times New Roman" w:hAnsiTheme="minorBidi" w:cstheme="minorBidi"/>
            <w:b/>
            <w:bCs/>
            <w:noProof/>
            <w:sz w:val="22"/>
            <w:szCs w:val="22"/>
            <w:lang w:eastAsia="en-GB"/>
          </w:rPr>
          <w:t xml:space="preserve"> </w:t>
        </w:r>
        <w:r w:rsidR="00FB4405" w:rsidRPr="00FB4405">
          <w:rPr>
            <w:rStyle w:val="Hyperlink"/>
            <w:rFonts w:asciiTheme="minorBidi" w:hAnsiTheme="minorBidi" w:cstheme="minorBidi"/>
            <w:b/>
            <w:bCs/>
            <w:noProof/>
            <w:sz w:val="22"/>
            <w:szCs w:val="22"/>
          </w:rPr>
          <w:t>with all the test materials.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_Toc370511750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170</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51"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3.15 Comparison of antibacterial effectiveness of different material NSCH, MTA,  Minocycline, Ciprofloxacin and Metronidazole, on</w:t>
        </w:r>
        <w:r w:rsidR="00FB4405" w:rsidRPr="00FB4405">
          <w:rPr>
            <w:rStyle w:val="Hyperlink"/>
            <w:rFonts w:asciiTheme="minorBidi" w:hAnsiTheme="minorBidi" w:cstheme="minorBidi"/>
            <w:b/>
            <w:bCs/>
            <w:i/>
            <w:iCs/>
            <w:noProof/>
            <w:sz w:val="22"/>
            <w:szCs w:val="22"/>
          </w:rPr>
          <w:t xml:space="preserve"> </w:t>
        </w:r>
        <w:r w:rsidR="00FB4405" w:rsidRPr="00FB4405">
          <w:rPr>
            <w:rStyle w:val="Hyperlink"/>
            <w:rFonts w:asciiTheme="minorBidi" w:hAnsiTheme="minorBidi" w:cstheme="minorBidi"/>
            <w:b/>
            <w:bCs/>
            <w:i/>
            <w:iCs/>
            <w:noProof/>
            <w:sz w:val="22"/>
            <w:szCs w:val="22"/>
            <w:lang w:val="en-US"/>
          </w:rPr>
          <w:t>P. gingivalis</w:t>
        </w:r>
        <w:r w:rsidR="00FB4405" w:rsidRPr="00FB4405">
          <w:rPr>
            <w:rStyle w:val="Hyperlink"/>
            <w:rFonts w:asciiTheme="minorBidi" w:eastAsia="Calibri" w:hAnsiTheme="minorBidi" w:cstheme="minorBidi"/>
            <w:b/>
            <w:bCs/>
            <w:i/>
            <w:iCs/>
            <w:noProof/>
            <w:sz w:val="22"/>
            <w:szCs w:val="22"/>
          </w:rPr>
          <w:t>.</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_Toc370511751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172</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52"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 xml:space="preserve">3.16 Results for the inhibition zone (mm) for </w:t>
        </w:r>
        <w:r w:rsidR="00FB4405" w:rsidRPr="00FB4405">
          <w:rPr>
            <w:rStyle w:val="Hyperlink"/>
            <w:rFonts w:asciiTheme="minorBidi" w:eastAsia="Times New Roman" w:hAnsiTheme="minorBidi" w:cstheme="minorBidi"/>
            <w:b/>
            <w:bCs/>
            <w:i/>
            <w:iCs/>
            <w:noProof/>
            <w:sz w:val="22"/>
            <w:szCs w:val="22"/>
            <w:lang w:eastAsia="en-GB"/>
          </w:rPr>
          <w:t>F.nucleatum</w:t>
        </w:r>
        <w:r w:rsidR="00FB4405" w:rsidRPr="00FB4405">
          <w:rPr>
            <w:rStyle w:val="Hyperlink"/>
            <w:rFonts w:asciiTheme="minorBidi" w:eastAsia="Times New Roman" w:hAnsiTheme="minorBidi" w:cstheme="minorBidi"/>
            <w:b/>
            <w:bCs/>
            <w:noProof/>
            <w:sz w:val="22"/>
            <w:szCs w:val="22"/>
            <w:lang w:eastAsia="en-GB"/>
          </w:rPr>
          <w:t xml:space="preserve"> </w:t>
        </w:r>
        <w:r w:rsidR="00FB4405" w:rsidRPr="00FB4405">
          <w:rPr>
            <w:rStyle w:val="Hyperlink"/>
            <w:rFonts w:asciiTheme="minorBidi" w:hAnsiTheme="minorBidi" w:cstheme="minorBidi"/>
            <w:b/>
            <w:bCs/>
            <w:noProof/>
            <w:sz w:val="22"/>
            <w:szCs w:val="22"/>
          </w:rPr>
          <w:t>with all the test materials.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_Toc370511752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173</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53"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3.17 Comparison</w:t>
        </w:r>
        <w:r w:rsidR="00FB4405" w:rsidRPr="00FB4405">
          <w:rPr>
            <w:rStyle w:val="Hyperlink"/>
            <w:rFonts w:asciiTheme="minorBidi" w:eastAsia="Times New Roman" w:hAnsiTheme="minorBidi" w:cstheme="minorBidi"/>
            <w:b/>
            <w:bCs/>
            <w:noProof/>
            <w:sz w:val="22"/>
            <w:szCs w:val="22"/>
            <w:lang w:eastAsia="en-GB"/>
          </w:rPr>
          <w:t xml:space="preserve"> of antibacterial effectiveness of different material NSCH, MTA,</w:t>
        </w:r>
        <w:r w:rsidR="00FB4405" w:rsidRPr="00FB4405">
          <w:rPr>
            <w:rStyle w:val="Hyperlink"/>
            <w:rFonts w:asciiTheme="minorBidi" w:hAnsiTheme="minorBidi" w:cstheme="minorBidi"/>
            <w:b/>
            <w:bCs/>
            <w:noProof/>
            <w:sz w:val="22"/>
            <w:szCs w:val="22"/>
          </w:rPr>
          <w:t xml:space="preserve"> </w:t>
        </w:r>
        <w:r w:rsidR="00FB4405" w:rsidRPr="00FB4405">
          <w:rPr>
            <w:rStyle w:val="Hyperlink"/>
            <w:rFonts w:asciiTheme="minorBidi" w:eastAsia="Times New Roman" w:hAnsiTheme="minorBidi" w:cstheme="minorBidi"/>
            <w:b/>
            <w:bCs/>
            <w:noProof/>
            <w:sz w:val="22"/>
            <w:szCs w:val="22"/>
            <w:lang w:eastAsia="en-GB"/>
          </w:rPr>
          <w:t>Minocycline,</w:t>
        </w:r>
        <w:r w:rsidR="00FB4405" w:rsidRPr="00FB4405">
          <w:rPr>
            <w:rStyle w:val="Hyperlink"/>
            <w:rFonts w:asciiTheme="minorBidi" w:hAnsiTheme="minorBidi" w:cstheme="minorBidi"/>
            <w:b/>
            <w:bCs/>
            <w:noProof/>
            <w:sz w:val="22"/>
            <w:szCs w:val="22"/>
          </w:rPr>
          <w:t xml:space="preserve"> </w:t>
        </w:r>
        <w:r w:rsidR="00FB4405" w:rsidRPr="00FB4405">
          <w:rPr>
            <w:rStyle w:val="Hyperlink"/>
            <w:rFonts w:asciiTheme="minorBidi" w:eastAsia="Times New Roman" w:hAnsiTheme="minorBidi" w:cstheme="minorBidi"/>
            <w:b/>
            <w:bCs/>
            <w:noProof/>
            <w:sz w:val="22"/>
            <w:szCs w:val="22"/>
            <w:lang w:eastAsia="en-GB"/>
          </w:rPr>
          <w:t>Ciprofloxacin and Metronidazole, on</w:t>
        </w:r>
        <w:r w:rsidR="00FB4405" w:rsidRPr="00FB4405">
          <w:rPr>
            <w:rStyle w:val="Hyperlink"/>
            <w:rFonts w:asciiTheme="minorBidi" w:eastAsia="Times New Roman" w:hAnsiTheme="minorBidi" w:cstheme="minorBidi"/>
            <w:b/>
            <w:bCs/>
            <w:i/>
            <w:iCs/>
            <w:noProof/>
            <w:sz w:val="22"/>
            <w:szCs w:val="22"/>
            <w:lang w:eastAsia="en-GB"/>
          </w:rPr>
          <w:t xml:space="preserve"> F. nucleatu.</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_Toc370511753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175</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54"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 xml:space="preserve">3.18 Results for the inhibition zone (mm) for </w:t>
        </w:r>
        <w:r w:rsidR="00FB4405" w:rsidRPr="00FB4405">
          <w:rPr>
            <w:rStyle w:val="Hyperlink"/>
            <w:rFonts w:asciiTheme="minorBidi" w:eastAsia="Times New Roman" w:hAnsiTheme="minorBidi" w:cstheme="minorBidi"/>
            <w:b/>
            <w:bCs/>
            <w:i/>
            <w:iCs/>
            <w:noProof/>
            <w:sz w:val="22"/>
            <w:szCs w:val="22"/>
            <w:lang w:eastAsia="en-GB"/>
          </w:rPr>
          <w:t>A. odontolyticus</w:t>
        </w:r>
        <w:r w:rsidR="00FB4405" w:rsidRPr="00FB4405">
          <w:rPr>
            <w:rStyle w:val="Hyperlink"/>
            <w:rFonts w:asciiTheme="minorBidi" w:eastAsia="Times New Roman" w:hAnsiTheme="minorBidi" w:cstheme="minorBidi"/>
            <w:b/>
            <w:bCs/>
            <w:noProof/>
            <w:sz w:val="22"/>
            <w:szCs w:val="22"/>
            <w:lang w:eastAsia="en-GB"/>
          </w:rPr>
          <w:t xml:space="preserve"> </w:t>
        </w:r>
        <w:r w:rsidR="00FB4405" w:rsidRPr="00FB4405">
          <w:rPr>
            <w:rStyle w:val="Hyperlink"/>
            <w:rFonts w:asciiTheme="minorBidi" w:hAnsiTheme="minorBidi" w:cstheme="minorBidi"/>
            <w:b/>
            <w:bCs/>
            <w:noProof/>
            <w:sz w:val="22"/>
            <w:szCs w:val="22"/>
          </w:rPr>
          <w:t>with all the test materials.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_Toc370511754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176</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55"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3.19 Comparison</w:t>
        </w:r>
        <w:r w:rsidR="00FB4405" w:rsidRPr="00FB4405">
          <w:rPr>
            <w:rStyle w:val="Hyperlink"/>
            <w:rFonts w:asciiTheme="minorBidi" w:eastAsia="Times New Roman" w:hAnsiTheme="minorBidi" w:cstheme="minorBidi"/>
            <w:b/>
            <w:bCs/>
            <w:noProof/>
            <w:sz w:val="22"/>
            <w:szCs w:val="22"/>
            <w:lang w:eastAsia="en-GB"/>
          </w:rPr>
          <w:t xml:space="preserve"> of antibacterial effectiveness of different material NSCH, MTA,</w:t>
        </w:r>
        <w:r w:rsidR="00FB4405" w:rsidRPr="00FB4405">
          <w:rPr>
            <w:rStyle w:val="Hyperlink"/>
            <w:rFonts w:asciiTheme="minorBidi" w:hAnsiTheme="minorBidi" w:cstheme="minorBidi"/>
            <w:b/>
            <w:bCs/>
            <w:noProof/>
            <w:sz w:val="22"/>
            <w:szCs w:val="22"/>
          </w:rPr>
          <w:t xml:space="preserve"> </w:t>
        </w:r>
        <w:r w:rsidR="00FB4405" w:rsidRPr="00FB4405">
          <w:rPr>
            <w:rStyle w:val="Hyperlink"/>
            <w:rFonts w:asciiTheme="minorBidi" w:eastAsia="Times New Roman" w:hAnsiTheme="minorBidi" w:cstheme="minorBidi"/>
            <w:b/>
            <w:bCs/>
            <w:noProof/>
            <w:sz w:val="22"/>
            <w:szCs w:val="22"/>
            <w:lang w:eastAsia="en-GB"/>
          </w:rPr>
          <w:t>Minocycline,</w:t>
        </w:r>
        <w:r w:rsidR="00FB4405" w:rsidRPr="00FB4405">
          <w:rPr>
            <w:rStyle w:val="Hyperlink"/>
            <w:rFonts w:asciiTheme="minorBidi" w:hAnsiTheme="minorBidi" w:cstheme="minorBidi"/>
            <w:b/>
            <w:bCs/>
            <w:noProof/>
            <w:sz w:val="22"/>
            <w:szCs w:val="22"/>
          </w:rPr>
          <w:t xml:space="preserve"> </w:t>
        </w:r>
        <w:r w:rsidR="00FB4405" w:rsidRPr="00FB4405">
          <w:rPr>
            <w:rStyle w:val="Hyperlink"/>
            <w:rFonts w:asciiTheme="minorBidi" w:eastAsia="Times New Roman" w:hAnsiTheme="minorBidi" w:cstheme="minorBidi"/>
            <w:b/>
            <w:bCs/>
            <w:noProof/>
            <w:sz w:val="22"/>
            <w:szCs w:val="22"/>
            <w:lang w:eastAsia="en-GB"/>
          </w:rPr>
          <w:t>Ciprofloxacin and Metronidazole, on</w:t>
        </w:r>
        <w:r w:rsidR="00FB4405" w:rsidRPr="00FB4405">
          <w:rPr>
            <w:rStyle w:val="Hyperlink"/>
            <w:rFonts w:asciiTheme="minorBidi" w:eastAsia="Times New Roman" w:hAnsiTheme="minorBidi" w:cstheme="minorBidi"/>
            <w:b/>
            <w:bCs/>
            <w:i/>
            <w:iCs/>
            <w:noProof/>
            <w:sz w:val="22"/>
            <w:szCs w:val="22"/>
            <w:lang w:eastAsia="en-GB"/>
          </w:rPr>
          <w:t xml:space="preserve"> </w:t>
        </w:r>
        <w:r w:rsidR="00FB4405" w:rsidRPr="00FB4405">
          <w:rPr>
            <w:rStyle w:val="Hyperlink"/>
            <w:rFonts w:asciiTheme="minorBidi" w:hAnsiTheme="minorBidi" w:cstheme="minorBidi"/>
            <w:b/>
            <w:bCs/>
            <w:i/>
            <w:iCs/>
            <w:noProof/>
            <w:sz w:val="22"/>
            <w:szCs w:val="22"/>
            <w:lang w:val="en-US"/>
          </w:rPr>
          <w:t>A</w:t>
        </w:r>
        <w:r w:rsidR="00FB4405" w:rsidRPr="00FB4405">
          <w:rPr>
            <w:rStyle w:val="Hyperlink"/>
            <w:rFonts w:asciiTheme="minorBidi" w:eastAsia="Times New Roman" w:hAnsiTheme="minorBidi" w:cstheme="minorBidi"/>
            <w:b/>
            <w:bCs/>
            <w:i/>
            <w:iCs/>
            <w:noProof/>
            <w:sz w:val="22"/>
            <w:szCs w:val="22"/>
            <w:lang w:eastAsia="en-GB"/>
          </w:rPr>
          <w:t xml:space="preserve"> odontolyticus</w:t>
        </w:r>
        <w:r w:rsidR="00FB4405" w:rsidRPr="00FB4405">
          <w:rPr>
            <w:rStyle w:val="Hyperlink"/>
            <w:rFonts w:asciiTheme="minorBidi" w:eastAsia="Calibri" w:hAnsiTheme="minorBidi" w:cstheme="minorBidi"/>
            <w:b/>
            <w:bCs/>
            <w:noProof/>
            <w:sz w:val="22"/>
            <w:szCs w:val="22"/>
          </w:rPr>
          <w:t xml:space="preserve"> bacteria</w:t>
        </w:r>
        <w:r w:rsidR="00FB4405" w:rsidRPr="00FB4405">
          <w:rPr>
            <w:rStyle w:val="Hyperlink"/>
            <w:rFonts w:asciiTheme="minorBidi" w:eastAsia="Calibri" w:hAnsiTheme="minorBidi" w:cstheme="minorBidi"/>
            <w:b/>
            <w:bCs/>
            <w:i/>
            <w:iCs/>
            <w:noProof/>
            <w:sz w:val="22"/>
            <w:szCs w:val="22"/>
          </w:rPr>
          <w:t>.</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_Toc370511755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178</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56"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4.1 This table Shows the a live cells count and death cells also the percentage of survival pulp cells after 24 hours incubated with antibiotics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_Toc370511756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234</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57"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4.2 Percentage of pulp cells death after 24 hours incubation with antibiotics.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_Toc370511757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235</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58"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4.3 Shows</w:t>
        </w:r>
        <w:r w:rsidR="00FB4405" w:rsidRPr="00FB4405">
          <w:rPr>
            <w:rStyle w:val="Hyperlink"/>
            <w:rFonts w:asciiTheme="minorBidi" w:eastAsia="Calibri" w:hAnsiTheme="minorBidi" w:cstheme="minorBidi"/>
            <w:b/>
            <w:bCs/>
            <w:noProof/>
            <w:sz w:val="22"/>
            <w:szCs w:val="22"/>
          </w:rPr>
          <w:t xml:space="preserve"> live, apoptosis necrotic death </w:t>
        </w:r>
        <w:r w:rsidR="00FB4405" w:rsidRPr="00FB4405">
          <w:rPr>
            <w:rStyle w:val="Hyperlink"/>
            <w:rFonts w:asciiTheme="minorBidi" w:eastAsia="Times New Roman" w:hAnsiTheme="minorBidi" w:cstheme="minorBidi"/>
            <w:b/>
            <w:bCs/>
            <w:noProof/>
            <w:sz w:val="22"/>
            <w:szCs w:val="22"/>
            <w:lang w:eastAsia="en-GB"/>
          </w:rPr>
          <w:t>pulp cells after 24 hours incubated with antibiotics.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_Toc370511758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238</w:t>
        </w:r>
        <w:r w:rsidR="00FB4405" w:rsidRPr="00FB4405">
          <w:rPr>
            <w:rFonts w:asciiTheme="minorBidi" w:hAnsiTheme="minorBidi" w:cstheme="minorBidi"/>
            <w:b/>
            <w:bCs/>
            <w:noProof/>
            <w:webHidden/>
            <w:sz w:val="22"/>
            <w:szCs w:val="22"/>
          </w:rPr>
          <w:fldChar w:fldCharType="end"/>
        </w:r>
      </w:hyperlink>
    </w:p>
    <w:p w:rsidR="00FB4405" w:rsidRPr="00FB4405" w:rsidRDefault="00A9701A">
      <w:pPr>
        <w:pStyle w:val="TableofFigures"/>
        <w:tabs>
          <w:tab w:val="right" w:leader="dot" w:pos="8330"/>
        </w:tabs>
        <w:rPr>
          <w:rFonts w:asciiTheme="minorBidi" w:eastAsiaTheme="minorEastAsia" w:hAnsiTheme="minorBidi" w:cstheme="minorBidi"/>
          <w:b/>
          <w:bCs/>
          <w:smallCaps w:val="0"/>
          <w:noProof/>
          <w:sz w:val="22"/>
          <w:szCs w:val="22"/>
          <w:lang w:eastAsia="en-GB"/>
        </w:rPr>
      </w:pPr>
      <w:hyperlink w:anchor="_Toc370511759" w:history="1">
        <w:r w:rsidR="00FB4405" w:rsidRPr="00FB4405">
          <w:rPr>
            <w:rStyle w:val="Hyperlink"/>
            <w:rFonts w:asciiTheme="minorBidi" w:hAnsiTheme="minorBidi" w:cstheme="minorBidi"/>
            <w:b/>
            <w:bCs/>
            <w:noProof/>
            <w:sz w:val="22"/>
            <w:szCs w:val="22"/>
          </w:rPr>
          <w:t xml:space="preserve">Table </w:t>
        </w:r>
        <w:r w:rsidR="00FB4405" w:rsidRPr="00FB4405">
          <w:rPr>
            <w:rStyle w:val="Hyperlink"/>
            <w:rFonts w:asciiTheme="minorBidi" w:hAnsiTheme="minorBidi" w:cstheme="minorBidi"/>
            <w:b/>
            <w:bCs/>
            <w:noProof/>
            <w:sz w:val="22"/>
            <w:szCs w:val="22"/>
            <w:cs/>
          </w:rPr>
          <w:t>‎</w:t>
        </w:r>
        <w:r w:rsidR="00FB4405" w:rsidRPr="00FB4405">
          <w:rPr>
            <w:rStyle w:val="Hyperlink"/>
            <w:rFonts w:asciiTheme="minorBidi" w:hAnsiTheme="minorBidi" w:cstheme="minorBidi"/>
            <w:b/>
            <w:bCs/>
            <w:noProof/>
            <w:sz w:val="22"/>
            <w:szCs w:val="22"/>
          </w:rPr>
          <w:t>4.4 Summary of cell survival after incubation for 24 houres with antibiotics.</w:t>
        </w:r>
        <w:r w:rsidR="00FB4405" w:rsidRPr="00FB4405">
          <w:rPr>
            <w:rFonts w:asciiTheme="minorBidi" w:hAnsiTheme="minorBidi" w:cstheme="minorBidi"/>
            <w:b/>
            <w:bCs/>
            <w:noProof/>
            <w:webHidden/>
            <w:sz w:val="22"/>
            <w:szCs w:val="22"/>
          </w:rPr>
          <w:tab/>
        </w:r>
        <w:r w:rsidR="00FB4405" w:rsidRPr="00FB4405">
          <w:rPr>
            <w:rFonts w:asciiTheme="minorBidi" w:hAnsiTheme="minorBidi" w:cstheme="minorBidi"/>
            <w:b/>
            <w:bCs/>
            <w:noProof/>
            <w:webHidden/>
            <w:sz w:val="22"/>
            <w:szCs w:val="22"/>
          </w:rPr>
          <w:fldChar w:fldCharType="begin"/>
        </w:r>
        <w:r w:rsidR="00FB4405" w:rsidRPr="00FB4405">
          <w:rPr>
            <w:rFonts w:asciiTheme="minorBidi" w:hAnsiTheme="minorBidi" w:cstheme="minorBidi"/>
            <w:b/>
            <w:bCs/>
            <w:noProof/>
            <w:webHidden/>
            <w:sz w:val="22"/>
            <w:szCs w:val="22"/>
          </w:rPr>
          <w:instrText xml:space="preserve"> PAGEREF _Toc370511759 \h </w:instrText>
        </w:r>
        <w:r w:rsidR="00FB4405" w:rsidRPr="00FB4405">
          <w:rPr>
            <w:rFonts w:asciiTheme="minorBidi" w:hAnsiTheme="minorBidi" w:cstheme="minorBidi"/>
            <w:b/>
            <w:bCs/>
            <w:noProof/>
            <w:webHidden/>
            <w:sz w:val="22"/>
            <w:szCs w:val="22"/>
          </w:rPr>
        </w:r>
        <w:r w:rsidR="00FB4405" w:rsidRPr="00FB4405">
          <w:rPr>
            <w:rFonts w:asciiTheme="minorBidi" w:hAnsiTheme="minorBidi" w:cstheme="minorBidi"/>
            <w:b/>
            <w:bCs/>
            <w:noProof/>
            <w:webHidden/>
            <w:sz w:val="22"/>
            <w:szCs w:val="22"/>
          </w:rPr>
          <w:fldChar w:fldCharType="separate"/>
        </w:r>
        <w:r w:rsidR="00374B77">
          <w:rPr>
            <w:rFonts w:asciiTheme="minorBidi" w:hAnsiTheme="minorBidi" w:cstheme="minorBidi"/>
            <w:b/>
            <w:bCs/>
            <w:noProof/>
            <w:webHidden/>
            <w:sz w:val="22"/>
            <w:szCs w:val="22"/>
          </w:rPr>
          <w:t>239</w:t>
        </w:r>
        <w:r w:rsidR="00FB4405" w:rsidRPr="00FB4405">
          <w:rPr>
            <w:rFonts w:asciiTheme="minorBidi" w:hAnsiTheme="minorBidi" w:cstheme="minorBidi"/>
            <w:b/>
            <w:bCs/>
            <w:noProof/>
            <w:webHidden/>
            <w:sz w:val="22"/>
            <w:szCs w:val="22"/>
          </w:rPr>
          <w:fldChar w:fldCharType="end"/>
        </w:r>
      </w:hyperlink>
    </w:p>
    <w:p w:rsidR="000D083C" w:rsidRPr="00C50D79" w:rsidRDefault="00FB4405" w:rsidP="00FB4405">
      <w:pPr>
        <w:jc w:val="center"/>
        <w:rPr>
          <w:rFonts w:eastAsiaTheme="majorEastAsia" w:cstheme="minorBidi"/>
          <w:bCs/>
          <w:spacing w:val="5"/>
          <w:kern w:val="28"/>
          <w:szCs w:val="24"/>
        </w:rPr>
      </w:pPr>
      <w:r w:rsidRPr="00FB4405">
        <w:rPr>
          <w:rFonts w:eastAsiaTheme="majorEastAsia" w:cstheme="minorBidi"/>
          <w:b/>
          <w:bCs/>
          <w:spacing w:val="5"/>
          <w:kern w:val="28"/>
          <w:sz w:val="22"/>
          <w:szCs w:val="22"/>
        </w:rPr>
        <w:fldChar w:fldCharType="end"/>
      </w:r>
    </w:p>
    <w:p w:rsidR="00EA76A0" w:rsidRDefault="000D083C" w:rsidP="00EA76A0">
      <w:pPr>
        <w:rPr>
          <w:rFonts w:eastAsiaTheme="majorEastAsia" w:cstheme="majorBidi"/>
          <w:b/>
          <w:spacing w:val="5"/>
          <w:kern w:val="28"/>
          <w:sz w:val="40"/>
          <w:szCs w:val="52"/>
        </w:rPr>
        <w:sectPr w:rsidR="00EA76A0" w:rsidSect="00F74712">
          <w:headerReference w:type="default" r:id="rId33"/>
          <w:pgSz w:w="11906" w:h="16838"/>
          <w:pgMar w:top="1440" w:right="1298" w:bottom="1151" w:left="2268" w:header="709" w:footer="709" w:gutter="0"/>
          <w:pgNumType w:fmt="upperRoman" w:start="2"/>
          <w:cols w:space="708"/>
          <w:docGrid w:linePitch="360"/>
        </w:sectPr>
      </w:pPr>
      <w:r w:rsidRPr="009754BE">
        <w:rPr>
          <w:rFonts w:eastAsiaTheme="majorEastAsia" w:cstheme="minorBidi"/>
          <w:bCs/>
          <w:spacing w:val="5"/>
          <w:kern w:val="28"/>
          <w:szCs w:val="24"/>
        </w:rPr>
        <w:br w:type="page"/>
      </w:r>
    </w:p>
    <w:p w:rsidR="000D083C" w:rsidRDefault="000D083C" w:rsidP="00EA76A0">
      <w:pPr>
        <w:rPr>
          <w:rFonts w:eastAsiaTheme="majorEastAsia" w:cstheme="majorBidi"/>
          <w:b/>
          <w:spacing w:val="5"/>
          <w:kern w:val="28"/>
          <w:sz w:val="40"/>
          <w:szCs w:val="52"/>
        </w:rPr>
      </w:pPr>
    </w:p>
    <w:p w:rsidR="00D914DD" w:rsidRPr="00B013ED" w:rsidRDefault="0066306D" w:rsidP="00F177FE">
      <w:pPr>
        <w:pStyle w:val="Heading1"/>
        <w:numPr>
          <w:ilvl w:val="0"/>
          <w:numId w:val="87"/>
        </w:numPr>
        <w:pBdr>
          <w:bottom w:val="single" w:sz="4" w:space="1" w:color="auto"/>
        </w:pBdr>
        <w:jc w:val="center"/>
      </w:pPr>
      <w:bookmarkStart w:id="3" w:name="_Toc370819173"/>
      <w:r w:rsidRPr="00B013ED">
        <w:t>Chapter 1</w:t>
      </w:r>
      <w:bookmarkEnd w:id="3"/>
    </w:p>
    <w:p w:rsidR="00575CDA" w:rsidRPr="00926B29" w:rsidRDefault="00575CDA" w:rsidP="002B54A2">
      <w:pPr>
        <w:pStyle w:val="Heading2"/>
      </w:pPr>
      <w:bookmarkStart w:id="4" w:name="_Toc370819174"/>
      <w:r w:rsidRPr="00926B29">
        <w:t>INTRODUCTION</w:t>
      </w:r>
      <w:bookmarkEnd w:id="4"/>
      <w:r w:rsidRPr="00926B29">
        <w:t xml:space="preserve"> </w:t>
      </w:r>
    </w:p>
    <w:p w:rsidR="00886AD7" w:rsidRPr="00B013ED" w:rsidRDefault="00886AD7" w:rsidP="007B05A8">
      <w:pPr>
        <w:spacing w:line="480" w:lineRule="auto"/>
        <w:jc w:val="both"/>
        <w:rPr>
          <w:rFonts w:cstheme="minorBidi"/>
          <w:szCs w:val="24"/>
        </w:rPr>
      </w:pPr>
      <w:r w:rsidRPr="00B013ED">
        <w:rPr>
          <w:rFonts w:cstheme="minorBidi"/>
          <w:szCs w:val="24"/>
        </w:rPr>
        <w:t xml:space="preserve">Dental trauma is common in young children often leading to pulp death.  The dental health survey in England and Wales (Chadwick and Pendry, 2004) found that 11% of 12 year olds and 13% of 15 years olds had accidental damage to their permanent teeth. Children up to 6 years of age had as much as 18% of all injuries (Andreasen </w:t>
      </w:r>
      <w:r w:rsidRPr="00B013ED">
        <w:rPr>
          <w:rFonts w:cstheme="minorBidi"/>
          <w:i/>
          <w:iCs/>
          <w:szCs w:val="24"/>
        </w:rPr>
        <w:t>et al.,</w:t>
      </w:r>
      <w:r w:rsidRPr="00B013ED">
        <w:rPr>
          <w:rFonts w:cstheme="minorBidi"/>
          <w:szCs w:val="24"/>
        </w:rPr>
        <w:t xml:space="preserve"> 2007). Most injuries occur in the age range of 7 to 10 years and over 16% of these affect the anterior permanent teeth </w:t>
      </w:r>
      <w:r w:rsidR="007B05A8" w:rsidRPr="00B013ED">
        <w:rPr>
          <w:rFonts w:cstheme="minorBidi"/>
          <w:szCs w:val="24"/>
        </w:rPr>
        <w:t xml:space="preserve">(Andreasen </w:t>
      </w:r>
      <w:r w:rsidR="007B05A8" w:rsidRPr="00B013ED">
        <w:rPr>
          <w:rFonts w:cstheme="minorBidi"/>
          <w:i/>
          <w:iCs/>
          <w:szCs w:val="24"/>
        </w:rPr>
        <w:t>et al.,</w:t>
      </w:r>
      <w:r w:rsidR="007B05A8" w:rsidRPr="00B013ED">
        <w:rPr>
          <w:rFonts w:cstheme="minorBidi"/>
          <w:szCs w:val="24"/>
        </w:rPr>
        <w:t xml:space="preserve"> 2007)</w:t>
      </w:r>
      <w:r w:rsidR="00F5474B">
        <w:rPr>
          <w:rFonts w:cstheme="minorBidi"/>
          <w:szCs w:val="24"/>
        </w:rPr>
        <w:t>.</w:t>
      </w:r>
    </w:p>
    <w:p w:rsidR="00886AD7" w:rsidRPr="00B013ED" w:rsidRDefault="00886AD7" w:rsidP="00042A43">
      <w:pPr>
        <w:spacing w:line="480" w:lineRule="auto"/>
        <w:jc w:val="both"/>
        <w:rPr>
          <w:rFonts w:cstheme="minorBidi"/>
          <w:szCs w:val="24"/>
        </w:rPr>
      </w:pPr>
      <w:r w:rsidRPr="00B013ED">
        <w:rPr>
          <w:rFonts w:cstheme="minorBidi"/>
          <w:szCs w:val="24"/>
        </w:rPr>
        <w:t>The high permeability of dentine in children plays an important role in the ingress of bacteria from the oral environment to the pulp, leading to pulpal necrosis. Given that the root development of young permanent teeth is usually incomplete.</w:t>
      </w:r>
    </w:p>
    <w:p w:rsidR="00886AD7" w:rsidRPr="00B013ED" w:rsidRDefault="00886AD7" w:rsidP="00042A43">
      <w:pPr>
        <w:spacing w:line="480" w:lineRule="auto"/>
        <w:jc w:val="both"/>
        <w:rPr>
          <w:rFonts w:cstheme="minorBidi"/>
          <w:szCs w:val="24"/>
        </w:rPr>
      </w:pPr>
      <w:r w:rsidRPr="00B013ED">
        <w:rPr>
          <w:rFonts w:cstheme="minorBidi"/>
          <w:szCs w:val="24"/>
        </w:rPr>
        <w:t xml:space="preserve">Clinicians face a big challenge in the endodontic management of these teeth. Thin dentine walls are liable to fracture under physiological forces and a wide open apex makes obturation difficult.  Treatment requires complete elimination of bacteria, necrotic pulp, tissue debris, remaining inflamed pulp and the use of a suitable material to induce or create apical barrier formation. The use of calcium hydroxide was introduced as early as 1920, (Hermann, 1920).  It has been suggested very early on that this material mixed with camphorated parachlorophenol (CMCP) would induce a calcified barrier across the apex (Kaiser, 1964).  This material became popular when it was observed that </w:t>
      </w:r>
      <w:r w:rsidRPr="00B013ED">
        <w:rPr>
          <w:rFonts w:cstheme="minorBidi"/>
          <w:szCs w:val="24"/>
        </w:rPr>
        <w:lastRenderedPageBreak/>
        <w:t>calcium hydroxide also reduced bacterial contamination of the root canals (Frank, 1966).</w:t>
      </w:r>
    </w:p>
    <w:p w:rsidR="00886AD7" w:rsidRPr="00B013ED" w:rsidRDefault="00886AD7" w:rsidP="007B05A8">
      <w:pPr>
        <w:spacing w:line="480" w:lineRule="auto"/>
        <w:jc w:val="both"/>
        <w:rPr>
          <w:rFonts w:cstheme="minorBidi"/>
          <w:szCs w:val="24"/>
        </w:rPr>
      </w:pPr>
      <w:r w:rsidRPr="00B013ED">
        <w:rPr>
          <w:rFonts w:cstheme="minorBidi"/>
          <w:szCs w:val="24"/>
        </w:rPr>
        <w:t>One of the disadvantages of using calcium hydroxide for formation of a hard tissue barrier to facilitate obturation is the length of time it takes to obtain this barrier. The mean time of barrier detection has been reported as nine months (</w:t>
      </w:r>
      <w:r w:rsidRPr="007B6AF6">
        <w:rPr>
          <w:rFonts w:cstheme="minorBidi"/>
          <w:szCs w:val="24"/>
        </w:rPr>
        <w:t>Kinirons</w:t>
      </w:r>
      <w:r w:rsidRPr="00B013ED">
        <w:rPr>
          <w:rFonts w:cstheme="minorBidi"/>
          <w:szCs w:val="24"/>
        </w:rPr>
        <w:t xml:space="preserve"> </w:t>
      </w:r>
      <w:r w:rsidRPr="00B013ED">
        <w:rPr>
          <w:rFonts w:cstheme="minorBidi"/>
          <w:i/>
          <w:iCs/>
          <w:szCs w:val="24"/>
        </w:rPr>
        <w:t>et al.,</w:t>
      </w:r>
      <w:r w:rsidRPr="00B013ED">
        <w:rPr>
          <w:rFonts w:cstheme="minorBidi"/>
          <w:szCs w:val="24"/>
        </w:rPr>
        <w:t xml:space="preserve"> 2001, Dominguez-Reyes </w:t>
      </w:r>
      <w:r w:rsidRPr="00B013ED">
        <w:rPr>
          <w:rFonts w:cstheme="minorBidi"/>
          <w:i/>
          <w:iCs/>
          <w:szCs w:val="24"/>
        </w:rPr>
        <w:t>et al.,</w:t>
      </w:r>
      <w:r w:rsidRPr="00B013ED">
        <w:rPr>
          <w:rFonts w:cstheme="minorBidi"/>
          <w:szCs w:val="24"/>
        </w:rPr>
        <w:t xml:space="preserve"> 2005) However, it has been pointed out that long term placement of calcium hydroxide in root canals might lead to a weakening of the dentine structure due to degradation of proteins (Andreasen </w:t>
      </w:r>
      <w:r w:rsidRPr="00B013ED">
        <w:rPr>
          <w:rFonts w:cstheme="minorBidi"/>
          <w:i/>
          <w:iCs/>
          <w:szCs w:val="24"/>
        </w:rPr>
        <w:t>et al.,</w:t>
      </w:r>
      <w:r w:rsidRPr="00B013ED">
        <w:rPr>
          <w:rFonts w:cstheme="minorBidi"/>
          <w:szCs w:val="24"/>
        </w:rPr>
        <w:t xml:space="preserve"> 2002). This would make the dentine more brittle and susceptible to fracture.  High incidences of root fractures have been reported for immature permanent incisors that have been managed endodontically, particularly with calcium hydroxide (Cvek, 1992</w:t>
      </w:r>
      <w:r w:rsidR="00F5474B">
        <w:rPr>
          <w:rFonts w:cstheme="minorBidi"/>
          <w:szCs w:val="24"/>
        </w:rPr>
        <w:t xml:space="preserve">; </w:t>
      </w:r>
      <w:r w:rsidR="00F5474B" w:rsidRPr="00B013ED">
        <w:rPr>
          <w:rFonts w:cstheme="minorBidi"/>
          <w:szCs w:val="24"/>
        </w:rPr>
        <w:t xml:space="preserve">Al-Jundi, </w:t>
      </w:r>
      <w:proofErr w:type="gramStart"/>
      <w:r w:rsidR="00F5474B" w:rsidRPr="00B013ED">
        <w:rPr>
          <w:rFonts w:cstheme="minorBidi"/>
          <w:szCs w:val="24"/>
        </w:rPr>
        <w:t>2004;</w:t>
      </w:r>
      <w:proofErr w:type="gramEnd"/>
      <w:r w:rsidRPr="00B013ED">
        <w:rPr>
          <w:rFonts w:cstheme="minorBidi"/>
          <w:szCs w:val="24"/>
        </w:rPr>
        <w:t xml:space="preserve">).  In a more recent study (Rosenberg </w:t>
      </w:r>
      <w:r w:rsidRPr="00B013ED">
        <w:rPr>
          <w:rFonts w:cstheme="minorBidi"/>
          <w:i/>
          <w:iCs/>
          <w:szCs w:val="24"/>
        </w:rPr>
        <w:t>et al.,</w:t>
      </w:r>
      <w:r w:rsidRPr="00B013ED">
        <w:rPr>
          <w:rFonts w:cstheme="minorBidi"/>
          <w:szCs w:val="24"/>
        </w:rPr>
        <w:t xml:space="preserve"> 2007)</w:t>
      </w:r>
      <w:proofErr w:type="gramStart"/>
      <w:r w:rsidRPr="00B013ED">
        <w:rPr>
          <w:rFonts w:cstheme="minorBidi"/>
          <w:szCs w:val="24"/>
        </w:rPr>
        <w:t>,</w:t>
      </w:r>
      <w:proofErr w:type="gramEnd"/>
      <w:r w:rsidRPr="00B013ED">
        <w:rPr>
          <w:rFonts w:cstheme="minorBidi"/>
          <w:szCs w:val="24"/>
        </w:rPr>
        <w:t xml:space="preserve"> have shown a significant reduction in the mean tensile fracture strength (MTFS) of dentine with prolonged use of calcium hydroxide. Twati </w:t>
      </w:r>
      <w:r w:rsidRPr="00B013ED">
        <w:rPr>
          <w:rFonts w:cstheme="minorBidi"/>
          <w:i/>
          <w:iCs/>
          <w:szCs w:val="24"/>
        </w:rPr>
        <w:t>et al.,</w:t>
      </w:r>
      <w:r w:rsidRPr="00B013ED">
        <w:rPr>
          <w:rFonts w:cstheme="minorBidi"/>
          <w:szCs w:val="24"/>
        </w:rPr>
        <w:t xml:space="preserve"> (200</w:t>
      </w:r>
      <w:r w:rsidR="007B05A8">
        <w:rPr>
          <w:rFonts w:cstheme="minorBidi"/>
          <w:szCs w:val="24"/>
        </w:rPr>
        <w:t>9</w:t>
      </w:r>
      <w:r w:rsidRPr="00B013ED">
        <w:rPr>
          <w:rFonts w:cstheme="minorBidi"/>
          <w:szCs w:val="24"/>
        </w:rPr>
        <w:t xml:space="preserve">) showed that </w:t>
      </w:r>
      <w:r w:rsidR="00F5474B">
        <w:rPr>
          <w:rFonts w:cstheme="minorBidi"/>
          <w:szCs w:val="24"/>
        </w:rPr>
        <w:t>non-setting calcium hydroxide</w:t>
      </w:r>
      <w:r w:rsidRPr="00B013ED">
        <w:rPr>
          <w:rFonts w:cstheme="minorBidi"/>
          <w:szCs w:val="24"/>
        </w:rPr>
        <w:t xml:space="preserve"> </w:t>
      </w:r>
      <w:r w:rsidR="00FC1F0B">
        <w:rPr>
          <w:rFonts w:cstheme="minorBidi"/>
          <w:szCs w:val="24"/>
        </w:rPr>
        <w:t>(</w:t>
      </w:r>
      <w:r w:rsidRPr="00B013ED">
        <w:rPr>
          <w:rFonts w:cstheme="minorBidi"/>
          <w:szCs w:val="24"/>
        </w:rPr>
        <w:t>NSCH</w:t>
      </w:r>
      <w:r w:rsidR="00FC1F0B">
        <w:rPr>
          <w:rFonts w:cstheme="minorBidi"/>
          <w:szCs w:val="24"/>
        </w:rPr>
        <w:t>)</w:t>
      </w:r>
      <w:r w:rsidRPr="00B013ED">
        <w:rPr>
          <w:rFonts w:cstheme="minorBidi"/>
          <w:szCs w:val="24"/>
        </w:rPr>
        <w:t xml:space="preserve"> has </w:t>
      </w:r>
      <w:r w:rsidR="00F5474B">
        <w:rPr>
          <w:rFonts w:cstheme="minorBidi"/>
          <w:szCs w:val="24"/>
        </w:rPr>
        <w:t xml:space="preserve">a </w:t>
      </w:r>
      <w:r w:rsidRPr="00B013ED">
        <w:rPr>
          <w:rFonts w:cstheme="minorBidi"/>
          <w:szCs w:val="24"/>
        </w:rPr>
        <w:t>negative effect on hardness and modulus of elasti</w:t>
      </w:r>
      <w:r w:rsidR="007E65EA" w:rsidRPr="00B013ED">
        <w:rPr>
          <w:rFonts w:cstheme="minorBidi"/>
          <w:szCs w:val="24"/>
        </w:rPr>
        <w:t>city after six months.</w:t>
      </w:r>
    </w:p>
    <w:p w:rsidR="00886AD7" w:rsidRPr="00B013ED" w:rsidRDefault="00886AD7" w:rsidP="007E65EA">
      <w:pPr>
        <w:spacing w:line="480" w:lineRule="auto"/>
        <w:jc w:val="both"/>
        <w:rPr>
          <w:rFonts w:cstheme="minorBidi"/>
          <w:szCs w:val="24"/>
        </w:rPr>
      </w:pPr>
      <w:r w:rsidRPr="00B013ED">
        <w:rPr>
          <w:rFonts w:cstheme="minorBidi"/>
          <w:szCs w:val="24"/>
        </w:rPr>
        <w:t xml:space="preserve"> Many materials have been suggested, as an alternative to NSCH.  Mineral Trioxide Aggregate (MTA) has come to be the most popular. MTA has </w:t>
      </w:r>
      <w:r w:rsidR="00F5474B">
        <w:rPr>
          <w:rFonts w:cstheme="minorBidi"/>
          <w:szCs w:val="24"/>
        </w:rPr>
        <w:t xml:space="preserve">a </w:t>
      </w:r>
      <w:r w:rsidRPr="00B013ED">
        <w:rPr>
          <w:rFonts w:cstheme="minorBidi"/>
          <w:szCs w:val="24"/>
        </w:rPr>
        <w:t xml:space="preserve">similar chemical composition as ordinary Portland cement; which is 65% calcium hydroxide with </w:t>
      </w:r>
      <w:r w:rsidR="00F5474B">
        <w:rPr>
          <w:rFonts w:cstheme="minorBidi"/>
          <w:szCs w:val="24"/>
        </w:rPr>
        <w:t xml:space="preserve">a </w:t>
      </w:r>
      <w:r w:rsidRPr="00B013ED">
        <w:rPr>
          <w:rFonts w:cstheme="minorBidi"/>
          <w:szCs w:val="24"/>
        </w:rPr>
        <w:t xml:space="preserve">mixture of oxides. The </w:t>
      </w:r>
      <w:r w:rsidR="007A123C" w:rsidRPr="00B013ED">
        <w:rPr>
          <w:rFonts w:cstheme="minorBidi"/>
          <w:szCs w:val="24"/>
        </w:rPr>
        <w:t>choice of</w:t>
      </w:r>
      <w:r w:rsidRPr="00B013ED">
        <w:rPr>
          <w:rFonts w:cstheme="minorBidi"/>
          <w:szCs w:val="24"/>
        </w:rPr>
        <w:t xml:space="preserve"> this material is based on its compatibility to human apical tissues (Sousa </w:t>
      </w:r>
      <w:r w:rsidRPr="00B013ED">
        <w:rPr>
          <w:rFonts w:cstheme="minorBidi"/>
          <w:i/>
          <w:iCs/>
          <w:szCs w:val="24"/>
        </w:rPr>
        <w:t>et al.,</w:t>
      </w:r>
      <w:r w:rsidRPr="00B013ED">
        <w:rPr>
          <w:rFonts w:cstheme="minorBidi"/>
          <w:szCs w:val="24"/>
        </w:rPr>
        <w:t xml:space="preserve"> 2004), lower toxicity and reduce</w:t>
      </w:r>
      <w:r w:rsidR="00F5474B">
        <w:rPr>
          <w:rFonts w:cstheme="minorBidi"/>
          <w:szCs w:val="24"/>
        </w:rPr>
        <w:t>d</w:t>
      </w:r>
      <w:r w:rsidRPr="00B013ED">
        <w:rPr>
          <w:rFonts w:cstheme="minorBidi"/>
          <w:szCs w:val="24"/>
        </w:rPr>
        <w:t xml:space="preserve"> number of clinical visits for treatment completion.    Although MTA has been used for more </w:t>
      </w:r>
      <w:r w:rsidR="00C60D15">
        <w:rPr>
          <w:rFonts w:cstheme="minorBidi"/>
          <w:szCs w:val="24"/>
        </w:rPr>
        <w:t xml:space="preserve">than </w:t>
      </w:r>
      <w:r w:rsidRPr="00B013ED">
        <w:rPr>
          <w:rFonts w:cstheme="minorBidi"/>
          <w:szCs w:val="24"/>
        </w:rPr>
        <w:t xml:space="preserve">25 years there are no long term data </w:t>
      </w:r>
      <w:r w:rsidR="007A123C" w:rsidRPr="00B013ED">
        <w:rPr>
          <w:rFonts w:cstheme="minorBidi"/>
          <w:szCs w:val="24"/>
        </w:rPr>
        <w:t>from randomised</w:t>
      </w:r>
      <w:r w:rsidRPr="00B013ED">
        <w:rPr>
          <w:rFonts w:cstheme="minorBidi"/>
          <w:szCs w:val="24"/>
        </w:rPr>
        <w:t xml:space="preserve"> clinical trials that show its efficacy. Also MTA has </w:t>
      </w:r>
      <w:r w:rsidRPr="00B013ED">
        <w:rPr>
          <w:rFonts w:cstheme="minorBidi"/>
          <w:szCs w:val="24"/>
        </w:rPr>
        <w:lastRenderedPageBreak/>
        <w:t xml:space="preserve">almost the same alkalinity as NSCH (Duarte </w:t>
      </w:r>
      <w:r w:rsidRPr="00B013ED">
        <w:rPr>
          <w:rFonts w:cstheme="minorBidi"/>
          <w:i/>
          <w:iCs/>
          <w:szCs w:val="24"/>
        </w:rPr>
        <w:t>et al.,</w:t>
      </w:r>
      <w:r w:rsidRPr="00B013ED">
        <w:rPr>
          <w:rFonts w:cstheme="minorBidi"/>
          <w:szCs w:val="24"/>
        </w:rPr>
        <w:t xml:space="preserve"> 2003).  Therefore it was considered important to study and compare the effects of NSCH and MTA on the structural integrity</w:t>
      </w:r>
      <w:r w:rsidR="00C60D15">
        <w:rPr>
          <w:rFonts w:cstheme="minorBidi"/>
          <w:szCs w:val="24"/>
        </w:rPr>
        <w:t xml:space="preserve"> of</w:t>
      </w:r>
      <w:r w:rsidRPr="00B013ED">
        <w:rPr>
          <w:rFonts w:cstheme="minorBidi"/>
          <w:szCs w:val="24"/>
        </w:rPr>
        <w:t xml:space="preserve"> human dentine. Although, MTA remains the treatment of choice for many </w:t>
      </w:r>
      <w:r w:rsidR="004B3418">
        <w:rPr>
          <w:rFonts w:cstheme="minorBidi"/>
          <w:szCs w:val="24"/>
        </w:rPr>
        <w:t>non-vital</w:t>
      </w:r>
      <w:r w:rsidRPr="00B013ED">
        <w:rPr>
          <w:rFonts w:cstheme="minorBidi"/>
          <w:szCs w:val="24"/>
        </w:rPr>
        <w:t xml:space="preserve"> immature incisors, the quest for more biological treatments is ongoing.  </w:t>
      </w:r>
    </w:p>
    <w:p w:rsidR="002559E1" w:rsidRPr="00B013ED" w:rsidRDefault="00886AD7" w:rsidP="00042A43">
      <w:pPr>
        <w:spacing w:line="480" w:lineRule="auto"/>
        <w:jc w:val="both"/>
        <w:rPr>
          <w:rFonts w:cstheme="minorBidi"/>
          <w:szCs w:val="24"/>
        </w:rPr>
      </w:pPr>
      <w:r w:rsidRPr="00B013ED">
        <w:rPr>
          <w:rFonts w:cstheme="minorBidi"/>
          <w:szCs w:val="24"/>
        </w:rPr>
        <w:t xml:space="preserve">One such biological treatment proposed has been </w:t>
      </w:r>
      <w:r w:rsidR="00C60D15">
        <w:rPr>
          <w:rFonts w:cstheme="minorBidi"/>
          <w:szCs w:val="24"/>
        </w:rPr>
        <w:t>r</w:t>
      </w:r>
      <w:r w:rsidRPr="00B013ED">
        <w:rPr>
          <w:rFonts w:cstheme="minorBidi"/>
          <w:szCs w:val="24"/>
        </w:rPr>
        <w:t xml:space="preserve">egenerative </w:t>
      </w:r>
      <w:r w:rsidR="00C60D15">
        <w:rPr>
          <w:rFonts w:cstheme="minorBidi"/>
          <w:szCs w:val="24"/>
        </w:rPr>
        <w:t>e</w:t>
      </w:r>
      <w:r w:rsidRPr="00B013ED">
        <w:rPr>
          <w:rFonts w:cstheme="minorBidi"/>
          <w:szCs w:val="24"/>
        </w:rPr>
        <w:t xml:space="preserve">ndodontic </w:t>
      </w:r>
      <w:r w:rsidR="00C60D15">
        <w:rPr>
          <w:rFonts w:cstheme="minorBidi"/>
          <w:szCs w:val="24"/>
        </w:rPr>
        <w:t>t</w:t>
      </w:r>
      <w:r w:rsidRPr="00B013ED">
        <w:rPr>
          <w:rFonts w:cstheme="minorBidi"/>
          <w:szCs w:val="24"/>
        </w:rPr>
        <w:t xml:space="preserve">herapy.  </w:t>
      </w:r>
      <w:proofErr w:type="gramStart"/>
      <w:r w:rsidRPr="00B013ED">
        <w:rPr>
          <w:rFonts w:cstheme="minorBidi"/>
          <w:szCs w:val="24"/>
        </w:rPr>
        <w:t xml:space="preserve">Reports of possible revascularisation of </w:t>
      </w:r>
      <w:r w:rsidR="004B3418">
        <w:rPr>
          <w:rFonts w:cstheme="minorBidi"/>
          <w:szCs w:val="24"/>
        </w:rPr>
        <w:t>non-vital</w:t>
      </w:r>
      <w:r w:rsidRPr="00B013ED">
        <w:rPr>
          <w:rFonts w:cstheme="minorBidi"/>
          <w:szCs w:val="24"/>
        </w:rPr>
        <w:t xml:space="preserve"> immature teeth dates back to 1961 (Ostby, 1961).</w:t>
      </w:r>
      <w:proofErr w:type="gramEnd"/>
      <w:r w:rsidRPr="00B013ED">
        <w:rPr>
          <w:rFonts w:cstheme="minorBidi"/>
          <w:szCs w:val="24"/>
        </w:rPr>
        <w:t xml:space="preserve">  There are many case reports in the last decade (Iwaya </w:t>
      </w:r>
      <w:r w:rsidRPr="00B013ED">
        <w:rPr>
          <w:rFonts w:cstheme="minorBidi"/>
          <w:i/>
          <w:iCs/>
          <w:szCs w:val="24"/>
        </w:rPr>
        <w:t>et al.,</w:t>
      </w:r>
      <w:r w:rsidRPr="00B013ED">
        <w:rPr>
          <w:rFonts w:cstheme="minorBidi"/>
          <w:szCs w:val="24"/>
        </w:rPr>
        <w:t xml:space="preserve"> 2001; </w:t>
      </w:r>
      <w:r w:rsidR="00C60D15" w:rsidRPr="00B013ED">
        <w:rPr>
          <w:rFonts w:cstheme="minorBidi"/>
          <w:szCs w:val="24"/>
        </w:rPr>
        <w:t xml:space="preserve">Banchs </w:t>
      </w:r>
      <w:r w:rsidR="00C60D15" w:rsidRPr="00B013ED">
        <w:rPr>
          <w:rFonts w:cstheme="minorBidi"/>
          <w:i/>
          <w:iCs/>
          <w:szCs w:val="24"/>
        </w:rPr>
        <w:t>et al.,</w:t>
      </w:r>
      <w:r w:rsidR="00C60D15" w:rsidRPr="00B013ED">
        <w:rPr>
          <w:rFonts w:cstheme="minorBidi"/>
          <w:szCs w:val="24"/>
        </w:rPr>
        <w:t xml:space="preserve"> 2004</w:t>
      </w:r>
      <w:r w:rsidR="00C60D15">
        <w:rPr>
          <w:rFonts w:cstheme="minorBidi"/>
          <w:szCs w:val="24"/>
        </w:rPr>
        <w:t xml:space="preserve">; </w:t>
      </w:r>
      <w:r w:rsidRPr="00B013ED">
        <w:rPr>
          <w:rFonts w:cstheme="minorBidi"/>
          <w:szCs w:val="24"/>
        </w:rPr>
        <w:t xml:space="preserve">Chueh and Huang, 2006; George </w:t>
      </w:r>
      <w:r w:rsidRPr="00B013ED">
        <w:rPr>
          <w:rFonts w:cstheme="minorBidi"/>
          <w:i/>
          <w:iCs/>
          <w:szCs w:val="24"/>
        </w:rPr>
        <w:t>et al.,</w:t>
      </w:r>
      <w:r w:rsidRPr="00B013ED">
        <w:rPr>
          <w:rFonts w:cstheme="minorBidi"/>
          <w:szCs w:val="24"/>
        </w:rPr>
        <w:t xml:space="preserve"> 2008). Some clinical pilot studies are also available (</w:t>
      </w:r>
      <w:r w:rsidR="00C60D15">
        <w:rPr>
          <w:rFonts w:cstheme="minorBidi"/>
          <w:szCs w:val="24"/>
        </w:rPr>
        <w:t>S</w:t>
      </w:r>
      <w:r w:rsidRPr="00B013ED">
        <w:rPr>
          <w:rFonts w:cstheme="minorBidi"/>
          <w:szCs w:val="24"/>
        </w:rPr>
        <w:t xml:space="preserve">hah </w:t>
      </w:r>
      <w:r w:rsidRPr="00B013ED">
        <w:rPr>
          <w:rFonts w:cstheme="minorBidi"/>
          <w:i/>
          <w:iCs/>
          <w:szCs w:val="24"/>
        </w:rPr>
        <w:t>et al.,</w:t>
      </w:r>
      <w:r w:rsidRPr="00B013ED">
        <w:rPr>
          <w:rFonts w:cstheme="minorBidi"/>
          <w:szCs w:val="24"/>
        </w:rPr>
        <w:t xml:space="preserve"> 2008), which indicate a high success rate with better prognosis.   However, many questions related to this proposed method remain unresolved.  One of the mainstays of the regenerative technique is that it requires the use of </w:t>
      </w:r>
      <w:r w:rsidR="004B3418">
        <w:rPr>
          <w:rFonts w:cstheme="minorBidi"/>
          <w:szCs w:val="24"/>
        </w:rPr>
        <w:t>intra-canal</w:t>
      </w:r>
      <w:r w:rsidRPr="00B013ED">
        <w:rPr>
          <w:rFonts w:cstheme="minorBidi"/>
          <w:szCs w:val="24"/>
        </w:rPr>
        <w:t xml:space="preserve"> antibiotics in various mixtures that have been proposed.  However, the effect of these mixtures on commonly encountered </w:t>
      </w:r>
      <w:r w:rsidR="004B3418">
        <w:rPr>
          <w:rFonts w:cstheme="minorBidi"/>
          <w:szCs w:val="24"/>
        </w:rPr>
        <w:t>intra-canal</w:t>
      </w:r>
      <w:r w:rsidRPr="00B013ED">
        <w:rPr>
          <w:rFonts w:cstheme="minorBidi"/>
          <w:szCs w:val="24"/>
        </w:rPr>
        <w:t xml:space="preserve"> microbes has never been shown convincingly.  Also, some of the constituent antibiotics, in particular </w:t>
      </w:r>
      <w:r w:rsidR="00C60D15">
        <w:rPr>
          <w:rFonts w:cstheme="minorBidi"/>
          <w:szCs w:val="24"/>
        </w:rPr>
        <w:t>m</w:t>
      </w:r>
      <w:r w:rsidRPr="00B013ED">
        <w:rPr>
          <w:rFonts w:cstheme="minorBidi"/>
          <w:szCs w:val="24"/>
        </w:rPr>
        <w:t>inocycline, causes discolouration of the tooth crown</w:t>
      </w:r>
      <w:r w:rsidR="00455C3E">
        <w:rPr>
          <w:rFonts w:cstheme="minorBidi"/>
          <w:szCs w:val="24"/>
        </w:rPr>
        <w:t xml:space="preserve"> </w:t>
      </w:r>
      <w:r w:rsidR="00455C3E" w:rsidRPr="00B013ED">
        <w:t>(</w:t>
      </w:r>
      <w:r w:rsidR="00455C3E" w:rsidRPr="00B013ED">
        <w:rPr>
          <w:rFonts w:eastAsia="Times New Roman"/>
          <w:lang w:eastAsia="en-GB"/>
        </w:rPr>
        <w:t xml:space="preserve">Kim </w:t>
      </w:r>
      <w:r w:rsidR="00455C3E" w:rsidRPr="00B013ED">
        <w:rPr>
          <w:rFonts w:eastAsia="Times New Roman"/>
          <w:i/>
          <w:lang w:eastAsia="en-GB"/>
        </w:rPr>
        <w:t>et al.,</w:t>
      </w:r>
      <w:r w:rsidR="00455C3E" w:rsidRPr="00B013ED">
        <w:rPr>
          <w:rFonts w:eastAsia="Times New Roman"/>
          <w:lang w:eastAsia="en-GB"/>
        </w:rPr>
        <w:t xml:space="preserve"> 2010).</w:t>
      </w:r>
      <w:r w:rsidRPr="00B013ED">
        <w:rPr>
          <w:rFonts w:cstheme="minorBidi"/>
          <w:szCs w:val="24"/>
        </w:rPr>
        <w:t xml:space="preserve"> Therefore it was considered prudent to study this aspect and to see what combination of antibiotics provided the best antimicrobial efficacy while reducing the effect on the colour of the crown.  As the regenerative technique requires viable stem cells located within the apical region it was also considered important to investigate the effect that these antibiotics may have on the</w:t>
      </w:r>
      <w:r w:rsidR="00497C4B">
        <w:rPr>
          <w:rFonts w:cstheme="minorBidi"/>
          <w:szCs w:val="24"/>
        </w:rPr>
        <w:t xml:space="preserve"> viability of some cell lines.</w:t>
      </w:r>
    </w:p>
    <w:p w:rsidR="00497C4B" w:rsidRDefault="00497C4B">
      <w:pPr>
        <w:rPr>
          <w:rFonts w:eastAsiaTheme="majorEastAsia"/>
          <w:b/>
          <w:bCs/>
          <w:sz w:val="32"/>
          <w:szCs w:val="26"/>
        </w:rPr>
      </w:pPr>
      <w:r>
        <w:br w:type="page"/>
      </w:r>
    </w:p>
    <w:p w:rsidR="002559E1" w:rsidRPr="00B013ED" w:rsidRDefault="00575CDA" w:rsidP="002B54A2">
      <w:pPr>
        <w:pStyle w:val="Heading2"/>
      </w:pPr>
      <w:bookmarkStart w:id="5" w:name="_Toc370819175"/>
      <w:r w:rsidRPr="00B013ED">
        <w:lastRenderedPageBreak/>
        <w:t>Literature Review</w:t>
      </w:r>
      <w:bookmarkEnd w:id="5"/>
    </w:p>
    <w:p w:rsidR="00575CDA" w:rsidRPr="00B013ED" w:rsidRDefault="00575CDA" w:rsidP="00527C84">
      <w:pPr>
        <w:spacing w:line="480" w:lineRule="auto"/>
        <w:jc w:val="both"/>
        <w:rPr>
          <w:rFonts w:cstheme="minorBidi"/>
          <w:szCs w:val="24"/>
        </w:rPr>
      </w:pPr>
      <w:r w:rsidRPr="00B013ED">
        <w:rPr>
          <w:rFonts w:cstheme="minorBidi"/>
          <w:szCs w:val="24"/>
        </w:rPr>
        <w:t xml:space="preserve">Traumatic dental injuries to the permanent dentition are common in children. Literature has demonstrated that the evidence of trauma to the permanent dentition, especially the permanent incisors varies in different </w:t>
      </w:r>
      <w:r w:rsidR="00FC1F0B" w:rsidRPr="00B013ED">
        <w:rPr>
          <w:rFonts w:cstheme="minorBidi"/>
          <w:szCs w:val="24"/>
        </w:rPr>
        <w:t>countries (</w:t>
      </w:r>
      <w:hyperlink r:id="rId34" w:history="1">
        <w:r w:rsidR="00527C84" w:rsidRPr="00620F69">
          <w:rPr>
            <w:rFonts w:ascii="Arial" w:hAnsi="Arial" w:cs="Arial"/>
            <w:szCs w:val="24"/>
            <w:u w:val="single"/>
          </w:rPr>
          <w:t>Bastone</w:t>
        </w:r>
      </w:hyperlink>
      <w:r w:rsidRPr="00527C84">
        <w:rPr>
          <w:rFonts w:cstheme="minorBidi"/>
          <w:szCs w:val="24"/>
        </w:rPr>
        <w:t xml:space="preserve"> </w:t>
      </w:r>
      <w:r w:rsidRPr="00B013ED">
        <w:rPr>
          <w:rFonts w:cstheme="minorBidi"/>
          <w:i/>
          <w:iCs/>
          <w:szCs w:val="24"/>
        </w:rPr>
        <w:t>et al</w:t>
      </w:r>
      <w:proofErr w:type="gramStart"/>
      <w:r w:rsidRPr="00B013ED">
        <w:rPr>
          <w:rFonts w:cstheme="minorBidi"/>
          <w:i/>
          <w:iCs/>
          <w:szCs w:val="24"/>
        </w:rPr>
        <w:t>,</w:t>
      </w:r>
      <w:r w:rsidRPr="00B013ED">
        <w:rPr>
          <w:rFonts w:cstheme="minorBidi"/>
          <w:szCs w:val="24"/>
        </w:rPr>
        <w:t>.</w:t>
      </w:r>
      <w:proofErr w:type="gramEnd"/>
      <w:r w:rsidRPr="00B013ED">
        <w:rPr>
          <w:rFonts w:cstheme="minorBidi"/>
          <w:szCs w:val="24"/>
        </w:rPr>
        <w:t xml:space="preserve"> 2000). The frequency of all type</w:t>
      </w:r>
      <w:r w:rsidR="00C60D15">
        <w:rPr>
          <w:rFonts w:cstheme="minorBidi"/>
          <w:szCs w:val="24"/>
        </w:rPr>
        <w:t>s</w:t>
      </w:r>
      <w:r w:rsidRPr="00B013ED">
        <w:rPr>
          <w:rFonts w:cstheme="minorBidi"/>
          <w:szCs w:val="24"/>
        </w:rPr>
        <w:t xml:space="preserve"> of dental trauma in high school children ranged between 6% in an Australian study </w:t>
      </w:r>
      <w:r w:rsidR="004B3418">
        <w:rPr>
          <w:rFonts w:cstheme="minorBidi"/>
          <w:szCs w:val="24"/>
        </w:rPr>
        <w:t>(</w:t>
      </w:r>
      <w:r w:rsidRPr="00B013ED">
        <w:rPr>
          <w:rFonts w:cstheme="minorBidi"/>
          <w:szCs w:val="24"/>
        </w:rPr>
        <w:t xml:space="preserve">Burton </w:t>
      </w:r>
      <w:r w:rsidRPr="00B013ED">
        <w:rPr>
          <w:rFonts w:cstheme="minorBidi"/>
          <w:i/>
          <w:iCs/>
          <w:szCs w:val="24"/>
        </w:rPr>
        <w:t>et al</w:t>
      </w:r>
      <w:r w:rsidRPr="00B013ED">
        <w:rPr>
          <w:rFonts w:cstheme="minorBidi"/>
          <w:szCs w:val="24"/>
        </w:rPr>
        <w:t>., 1985</w:t>
      </w:r>
      <w:r w:rsidR="004B3418">
        <w:rPr>
          <w:rFonts w:cstheme="minorBidi"/>
          <w:szCs w:val="24"/>
        </w:rPr>
        <w:t>)</w:t>
      </w:r>
      <w:r w:rsidRPr="00B013ED">
        <w:rPr>
          <w:rFonts w:cstheme="minorBidi"/>
          <w:szCs w:val="24"/>
        </w:rPr>
        <w:t xml:space="preserve"> to 34% In a UK study </w:t>
      </w:r>
      <w:r w:rsidR="00C60D15">
        <w:rPr>
          <w:rFonts w:cstheme="minorBidi"/>
          <w:szCs w:val="24"/>
        </w:rPr>
        <w:t>(</w:t>
      </w:r>
      <w:r w:rsidRPr="00B013ED">
        <w:rPr>
          <w:rFonts w:cstheme="minorBidi"/>
          <w:szCs w:val="24"/>
        </w:rPr>
        <w:t xml:space="preserve">Hamilton </w:t>
      </w:r>
      <w:r w:rsidRPr="00B013ED">
        <w:rPr>
          <w:rFonts w:cstheme="minorBidi"/>
          <w:i/>
          <w:iCs/>
          <w:szCs w:val="24"/>
        </w:rPr>
        <w:t>et al</w:t>
      </w:r>
      <w:r w:rsidRPr="00B013ED">
        <w:rPr>
          <w:rFonts w:cstheme="minorBidi"/>
          <w:szCs w:val="24"/>
        </w:rPr>
        <w:t>., 1997</w:t>
      </w:r>
      <w:r w:rsidR="00C60D15">
        <w:rPr>
          <w:rFonts w:cstheme="minorBidi"/>
          <w:szCs w:val="24"/>
        </w:rPr>
        <w:t>).</w:t>
      </w:r>
      <w:r w:rsidRPr="00B013ED">
        <w:rPr>
          <w:rFonts w:cstheme="minorBidi"/>
          <w:szCs w:val="24"/>
        </w:rPr>
        <w:t xml:space="preserve"> </w:t>
      </w:r>
      <w:r w:rsidR="00772130">
        <w:rPr>
          <w:rFonts w:cstheme="minorBidi"/>
          <w:szCs w:val="24"/>
        </w:rPr>
        <w:t xml:space="preserve"> </w:t>
      </w:r>
      <w:r w:rsidRPr="00B013ED">
        <w:rPr>
          <w:rFonts w:cstheme="minorBidi"/>
          <w:szCs w:val="24"/>
        </w:rPr>
        <w:t xml:space="preserve">Another Swedish study (Forsberg and Tedestam, 1990) concluded the prevalence of </w:t>
      </w:r>
      <w:r w:rsidR="00C60D15">
        <w:rPr>
          <w:rFonts w:cstheme="minorBidi"/>
          <w:szCs w:val="24"/>
        </w:rPr>
        <w:t>traumatised</w:t>
      </w:r>
      <w:r w:rsidRPr="00B013ED">
        <w:rPr>
          <w:rFonts w:cstheme="minorBidi"/>
          <w:szCs w:val="24"/>
        </w:rPr>
        <w:t xml:space="preserve"> teeth in children aged 7-15 years </w:t>
      </w:r>
      <w:r w:rsidR="00C60D15">
        <w:rPr>
          <w:rFonts w:cstheme="minorBidi"/>
          <w:szCs w:val="24"/>
        </w:rPr>
        <w:t>wa</w:t>
      </w:r>
      <w:r w:rsidRPr="00B013ED">
        <w:rPr>
          <w:rFonts w:cstheme="minorBidi"/>
          <w:szCs w:val="24"/>
        </w:rPr>
        <w:t>s 30%, while a Swiss study (Kaba and Marechauxr, 1989) revealed a prevalence of trauma to permanent teeth in children aged 6-18 years to be 11%. The more recent study stated that the incidence of dental injuries in children range</w:t>
      </w:r>
      <w:r w:rsidR="00C60D15">
        <w:rPr>
          <w:rFonts w:cstheme="minorBidi"/>
          <w:szCs w:val="24"/>
        </w:rPr>
        <w:t>d</w:t>
      </w:r>
      <w:r w:rsidRPr="00B013ED">
        <w:rPr>
          <w:rFonts w:cstheme="minorBidi"/>
          <w:szCs w:val="24"/>
        </w:rPr>
        <w:t xml:space="preserve"> between1–3% (Andreasen </w:t>
      </w:r>
      <w:r w:rsidRPr="00B013ED">
        <w:rPr>
          <w:rFonts w:cstheme="minorBidi"/>
          <w:i/>
          <w:szCs w:val="24"/>
        </w:rPr>
        <w:t>et al</w:t>
      </w:r>
      <w:r w:rsidRPr="00B013ED">
        <w:rPr>
          <w:rFonts w:cstheme="minorBidi"/>
          <w:szCs w:val="24"/>
        </w:rPr>
        <w:t xml:space="preserve">., 2007). Also 20% of children had trauma in </w:t>
      </w:r>
      <w:r w:rsidR="00C60D15">
        <w:rPr>
          <w:rFonts w:cstheme="minorBidi"/>
          <w:szCs w:val="24"/>
        </w:rPr>
        <w:t xml:space="preserve">the </w:t>
      </w:r>
      <w:r w:rsidRPr="00B013ED">
        <w:rPr>
          <w:rFonts w:cstheme="minorBidi"/>
          <w:szCs w:val="24"/>
        </w:rPr>
        <w:t xml:space="preserve">permanent dentition (Andersson </w:t>
      </w:r>
      <w:r w:rsidRPr="00B013ED">
        <w:rPr>
          <w:rFonts w:cstheme="minorBidi"/>
          <w:i/>
          <w:iCs/>
          <w:szCs w:val="24"/>
        </w:rPr>
        <w:t>et al.,</w:t>
      </w:r>
      <w:r w:rsidRPr="00B013ED">
        <w:rPr>
          <w:rFonts w:cstheme="minorBidi"/>
          <w:szCs w:val="24"/>
        </w:rPr>
        <w:t xml:space="preserve"> 2013).</w:t>
      </w:r>
    </w:p>
    <w:p w:rsidR="00575CDA" w:rsidRPr="00B013ED" w:rsidRDefault="00575CDA" w:rsidP="00804C22">
      <w:pPr>
        <w:spacing w:line="480" w:lineRule="auto"/>
        <w:jc w:val="both"/>
        <w:rPr>
          <w:rFonts w:cstheme="minorBidi"/>
          <w:szCs w:val="24"/>
        </w:rPr>
      </w:pPr>
      <w:r w:rsidRPr="00B013ED">
        <w:rPr>
          <w:rFonts w:cstheme="minorBidi"/>
          <w:szCs w:val="24"/>
        </w:rPr>
        <w:t xml:space="preserve">Management of dental injuries is an evolving science. Some traditional treatment options have stood the test of time and are still valid to this day. As new science and new materials evolve, this will prove, disprove or facilitate approaches to the management of these injuries. </w:t>
      </w:r>
      <w:r w:rsidR="00804C22">
        <w:rPr>
          <w:rFonts w:cstheme="minorBidi"/>
          <w:szCs w:val="24"/>
        </w:rPr>
        <w:t xml:space="preserve">In </w:t>
      </w:r>
      <w:r w:rsidR="00C60D15">
        <w:rPr>
          <w:rFonts w:cstheme="minorBidi"/>
          <w:szCs w:val="24"/>
        </w:rPr>
        <w:t>s</w:t>
      </w:r>
      <w:r w:rsidRPr="00B013ED">
        <w:rPr>
          <w:rFonts w:cstheme="minorBidi"/>
          <w:szCs w:val="24"/>
        </w:rPr>
        <w:t xml:space="preserve">ome </w:t>
      </w:r>
      <w:r w:rsidR="00C60D15">
        <w:rPr>
          <w:rFonts w:cstheme="minorBidi"/>
          <w:szCs w:val="24"/>
        </w:rPr>
        <w:t xml:space="preserve">forms </w:t>
      </w:r>
      <w:r w:rsidRPr="00B013ED">
        <w:rPr>
          <w:rFonts w:cstheme="minorBidi"/>
          <w:szCs w:val="24"/>
        </w:rPr>
        <w:t xml:space="preserve">of </w:t>
      </w:r>
      <w:r w:rsidR="00696BB5" w:rsidRPr="00B013ED">
        <w:rPr>
          <w:rFonts w:cstheme="minorBidi"/>
          <w:szCs w:val="24"/>
        </w:rPr>
        <w:t>trauma</w:t>
      </w:r>
      <w:r w:rsidRPr="00B013ED">
        <w:rPr>
          <w:rFonts w:cstheme="minorBidi"/>
          <w:szCs w:val="24"/>
        </w:rPr>
        <w:t xml:space="preserve">, </w:t>
      </w:r>
      <w:r w:rsidR="00C60D15">
        <w:rPr>
          <w:rFonts w:cstheme="minorBidi"/>
          <w:szCs w:val="24"/>
        </w:rPr>
        <w:t xml:space="preserve">the </w:t>
      </w:r>
      <w:r w:rsidRPr="00B013ED">
        <w:rPr>
          <w:rFonts w:cstheme="minorBidi"/>
          <w:szCs w:val="24"/>
        </w:rPr>
        <w:t>dental pulp w</w:t>
      </w:r>
      <w:r w:rsidR="00C60D15">
        <w:rPr>
          <w:rFonts w:cstheme="minorBidi"/>
          <w:szCs w:val="24"/>
        </w:rPr>
        <w:t>as</w:t>
      </w:r>
      <w:r w:rsidRPr="00B013ED">
        <w:rPr>
          <w:rFonts w:cstheme="minorBidi"/>
          <w:szCs w:val="24"/>
        </w:rPr>
        <w:t xml:space="preserve"> injured or insulted by physical or chemical material</w:t>
      </w:r>
      <w:r w:rsidR="00C60D15">
        <w:rPr>
          <w:rFonts w:cstheme="minorBidi"/>
          <w:szCs w:val="24"/>
        </w:rPr>
        <w:t>s</w:t>
      </w:r>
      <w:r w:rsidRPr="00B013ED">
        <w:rPr>
          <w:rFonts w:cstheme="minorBidi"/>
          <w:szCs w:val="24"/>
        </w:rPr>
        <w:t xml:space="preserve"> which could lead in many cases to los</w:t>
      </w:r>
      <w:r w:rsidR="00C60D15">
        <w:rPr>
          <w:rFonts w:cstheme="minorBidi"/>
          <w:szCs w:val="24"/>
        </w:rPr>
        <w:t>s of</w:t>
      </w:r>
      <w:r w:rsidRPr="00B013ED">
        <w:rPr>
          <w:rFonts w:cstheme="minorBidi"/>
          <w:szCs w:val="24"/>
        </w:rPr>
        <w:t xml:space="preserve"> vitality. Pulp necrosis in permanent immature teeth implies the interruption of the root formation and apical closure.  If this happens then it is necessary to implement one of the several treatments that are available such as apexification with calcium hydroxide, use of MTA or the newer treatment modality of regenerative endodontic therapy.</w:t>
      </w:r>
    </w:p>
    <w:p w:rsidR="007D689C" w:rsidRPr="00B013ED" w:rsidRDefault="00575CDA" w:rsidP="00497C4B">
      <w:pPr>
        <w:spacing w:line="480" w:lineRule="auto"/>
        <w:jc w:val="both"/>
        <w:rPr>
          <w:rFonts w:cstheme="minorBidi"/>
          <w:szCs w:val="24"/>
        </w:rPr>
      </w:pPr>
      <w:r w:rsidRPr="00B013ED">
        <w:rPr>
          <w:rFonts w:cstheme="minorBidi"/>
          <w:szCs w:val="24"/>
        </w:rPr>
        <w:lastRenderedPageBreak/>
        <w:t xml:space="preserve">For the purposes of this review of </w:t>
      </w:r>
      <w:r w:rsidR="005F27B3">
        <w:rPr>
          <w:rFonts w:cstheme="minorBidi"/>
          <w:szCs w:val="24"/>
        </w:rPr>
        <w:t xml:space="preserve">the </w:t>
      </w:r>
      <w:r w:rsidRPr="00B013ED">
        <w:rPr>
          <w:rFonts w:cstheme="minorBidi"/>
          <w:szCs w:val="24"/>
        </w:rPr>
        <w:t xml:space="preserve">literature it was felt that rather than carry out a traditional review, much of which has been repeatedly carried out over the years by several authors, it would be prudent to undertake a systematic review of the literature.  This was carried out for the three techniques, namely, apexification with calcium hydroxide, use of MTA and </w:t>
      </w:r>
      <w:r w:rsidR="005F27B3">
        <w:rPr>
          <w:rFonts w:cstheme="minorBidi"/>
          <w:szCs w:val="24"/>
        </w:rPr>
        <w:t>the r</w:t>
      </w:r>
      <w:r w:rsidRPr="00B013ED">
        <w:rPr>
          <w:rFonts w:cstheme="minorBidi"/>
          <w:szCs w:val="24"/>
        </w:rPr>
        <w:t xml:space="preserve">egenerative </w:t>
      </w:r>
      <w:r w:rsidR="005F27B3">
        <w:rPr>
          <w:rFonts w:cstheme="minorBidi"/>
          <w:szCs w:val="24"/>
        </w:rPr>
        <w:t>e</w:t>
      </w:r>
      <w:r w:rsidRPr="00B013ED">
        <w:rPr>
          <w:rFonts w:cstheme="minorBidi"/>
          <w:szCs w:val="24"/>
        </w:rPr>
        <w:t xml:space="preserve">ndodontic </w:t>
      </w:r>
      <w:r w:rsidR="005F27B3">
        <w:rPr>
          <w:rFonts w:cstheme="minorBidi"/>
          <w:szCs w:val="24"/>
        </w:rPr>
        <w:t>t</w:t>
      </w:r>
      <w:r w:rsidRPr="00B013ED">
        <w:rPr>
          <w:rFonts w:cstheme="minorBidi"/>
          <w:szCs w:val="24"/>
        </w:rPr>
        <w:t xml:space="preserve">echnique. The methods proposed by the Scottish Intercollegiate Guideline Network (SIGN), in 2009 were used for the systematic review.  However, there are some aspects of the literature that are required to be reviewed for the work presented here that fall outside the scope of a systematic review.  Therefore, such literature is reviewed at the start of each relevant chapter.  </w:t>
      </w:r>
    </w:p>
    <w:p w:rsidR="007D689C" w:rsidRPr="000664D4" w:rsidRDefault="007D689C" w:rsidP="000664D4">
      <w:pPr>
        <w:jc w:val="center"/>
        <w:rPr>
          <w:b/>
          <w:bCs/>
          <w:sz w:val="28"/>
        </w:rPr>
      </w:pPr>
      <w:proofErr w:type="gramStart"/>
      <w:r w:rsidRPr="000664D4">
        <w:rPr>
          <w:b/>
          <w:bCs/>
          <w:sz w:val="28"/>
        </w:rPr>
        <w:t xml:space="preserve">Interventions for the Endodontic Management of </w:t>
      </w:r>
      <w:r w:rsidR="004B3418">
        <w:rPr>
          <w:b/>
          <w:bCs/>
          <w:sz w:val="28"/>
        </w:rPr>
        <w:t>Non-vital</w:t>
      </w:r>
      <w:r w:rsidRPr="000664D4">
        <w:rPr>
          <w:b/>
          <w:bCs/>
          <w:sz w:val="28"/>
        </w:rPr>
        <w:t xml:space="preserve"> Traumatised Immature Anterior Teeth in Children and Adolescents</w:t>
      </w:r>
      <w:r w:rsidR="00620F69">
        <w:rPr>
          <w:b/>
          <w:bCs/>
          <w:sz w:val="28"/>
        </w:rPr>
        <w:t xml:space="preserve"> </w:t>
      </w:r>
      <w:r w:rsidRPr="000664D4">
        <w:rPr>
          <w:b/>
          <w:bCs/>
          <w:sz w:val="28"/>
        </w:rPr>
        <w:t>-</w:t>
      </w:r>
      <w:r w:rsidR="00620F69">
        <w:rPr>
          <w:b/>
          <w:bCs/>
          <w:sz w:val="28"/>
        </w:rPr>
        <w:t xml:space="preserve"> </w:t>
      </w:r>
      <w:r w:rsidRPr="000664D4">
        <w:rPr>
          <w:b/>
          <w:bCs/>
          <w:sz w:val="28"/>
        </w:rPr>
        <w:t>Calcium Hydroxide Apexification, Use of MTA and Regenerative Endodontic Technique.</w:t>
      </w:r>
      <w:proofErr w:type="gramEnd"/>
    </w:p>
    <w:p w:rsidR="00D914DD" w:rsidRPr="00B013ED" w:rsidRDefault="007D689C" w:rsidP="002B54A2">
      <w:pPr>
        <w:pStyle w:val="Heading2"/>
      </w:pPr>
      <w:bookmarkStart w:id="6" w:name="_Toc370819176"/>
      <w:proofErr w:type="gramStart"/>
      <w:r w:rsidRPr="00B013ED">
        <w:t>A Systematic Review of the Evidence.</w:t>
      </w:r>
      <w:bookmarkEnd w:id="6"/>
      <w:proofErr w:type="gramEnd"/>
    </w:p>
    <w:p w:rsidR="007D689C" w:rsidRPr="00B013ED" w:rsidRDefault="007D689C" w:rsidP="00DD6655">
      <w:pPr>
        <w:pStyle w:val="Heading3"/>
        <w:spacing w:line="480" w:lineRule="auto"/>
      </w:pPr>
      <w:bookmarkStart w:id="7" w:name="_Toc370819177"/>
      <w:r w:rsidRPr="00B013ED">
        <w:t>INTRODUCTION</w:t>
      </w:r>
      <w:bookmarkEnd w:id="7"/>
    </w:p>
    <w:p w:rsidR="007D689C" w:rsidRPr="00B013ED" w:rsidRDefault="007D689C" w:rsidP="003E6B30">
      <w:pPr>
        <w:spacing w:line="480" w:lineRule="auto"/>
        <w:jc w:val="both"/>
        <w:rPr>
          <w:rFonts w:cstheme="minorBidi"/>
          <w:szCs w:val="24"/>
        </w:rPr>
      </w:pPr>
      <w:r w:rsidRPr="00B013ED">
        <w:rPr>
          <w:rFonts w:cstheme="minorBidi"/>
          <w:szCs w:val="24"/>
        </w:rPr>
        <w:t xml:space="preserve">Dental trauma is common in young children and is the most frequent cause of </w:t>
      </w:r>
      <w:r w:rsidR="0092205F">
        <w:rPr>
          <w:rFonts w:cstheme="minorBidi"/>
          <w:szCs w:val="24"/>
        </w:rPr>
        <w:t>pulp necrosis</w:t>
      </w:r>
      <w:r w:rsidRPr="00B013ED">
        <w:rPr>
          <w:rFonts w:cstheme="minorBidi"/>
          <w:szCs w:val="24"/>
        </w:rPr>
        <w:t xml:space="preserve"> in immature permanent incisors. The 2003 Children's Dental Health Survey in England and Wales (Chadwick and Pendry 2004) found 11% of 12 year olds and 13% of 15 year olds had sustained accidental damage to their permanent teeth.  At all ages the majority of injuries remained untreated. The highest levels of treatment were at age 15</w:t>
      </w:r>
      <w:r w:rsidR="0092205F">
        <w:rPr>
          <w:rFonts w:cstheme="minorBidi"/>
          <w:szCs w:val="24"/>
        </w:rPr>
        <w:t xml:space="preserve"> years</w:t>
      </w:r>
      <w:r w:rsidRPr="00B013ED">
        <w:rPr>
          <w:rFonts w:cstheme="minorBidi"/>
          <w:szCs w:val="24"/>
        </w:rPr>
        <w:t>, when only 27% of damaged incisors had had any treatment provided.</w:t>
      </w:r>
    </w:p>
    <w:p w:rsidR="007D689C" w:rsidRPr="00B013ED" w:rsidRDefault="007D689C" w:rsidP="009F2E3E">
      <w:pPr>
        <w:spacing w:line="480" w:lineRule="auto"/>
        <w:jc w:val="both"/>
        <w:rPr>
          <w:rFonts w:cstheme="minorBidi"/>
          <w:szCs w:val="24"/>
        </w:rPr>
      </w:pPr>
      <w:r w:rsidRPr="00B013ED">
        <w:rPr>
          <w:rFonts w:cstheme="minorBidi"/>
          <w:szCs w:val="24"/>
        </w:rPr>
        <w:lastRenderedPageBreak/>
        <w:t>In immature teeth where there is death of the pulp</w:t>
      </w:r>
      <w:r w:rsidR="00620F69">
        <w:rPr>
          <w:rFonts w:cstheme="minorBidi"/>
          <w:szCs w:val="24"/>
        </w:rPr>
        <w:t>,</w:t>
      </w:r>
      <w:r w:rsidRPr="00B013ED">
        <w:rPr>
          <w:rFonts w:cstheme="minorBidi"/>
          <w:szCs w:val="24"/>
        </w:rPr>
        <w:t xml:space="preserve"> clinicians face a challenge.  Because there is no further root development, the root has thin dentine walls liable to fracture under physiological forces and a wide, open apex which is time consuming and technically difficult to treat. The treatment first requires the elimination of bacterial infection from the root canal and the prevention of re-infection of this space. Disinfection of the root canal space is straight forward for most cases; however, there is no natural apical constriction or stop against which a suitable root filling material can be placed to prevent re-infection of this space.  Traditionally the treatment has been aimed at producing a barrier, against which a root canal filling material can be placed thereby preventing the extrusion of material into the surrounding tissues.  This has usually and most commonly been achieved with prolonged dressing of the root canal with calcium hydroxide to achieve “apexification”.  Although this technique has been reliable and has consistently allowed clinicians to successfully achieve root canal obturation, there have been recent concerns about the long term use of calcium hydroxide in root canals.  It is thought that calcium hydroxide might, through the desiccation of dentinal proteins, make dentine more brittle and more predisposed to root fractures.  Indeed, an increased prevalence of root fractures has been reported for teeth that have been treated with this technique (Cvek, 1992).</w:t>
      </w:r>
    </w:p>
    <w:p w:rsidR="007D689C" w:rsidRPr="00B013ED" w:rsidRDefault="007D689C" w:rsidP="009F2E3E">
      <w:pPr>
        <w:spacing w:line="480" w:lineRule="auto"/>
        <w:jc w:val="both"/>
        <w:rPr>
          <w:rFonts w:cstheme="minorBidi"/>
          <w:szCs w:val="24"/>
        </w:rPr>
      </w:pPr>
      <w:r w:rsidRPr="00B013ED">
        <w:rPr>
          <w:rFonts w:cstheme="minorBidi"/>
          <w:szCs w:val="24"/>
        </w:rPr>
        <w:t xml:space="preserve">In the last decade the introduction of </w:t>
      </w:r>
      <w:r w:rsidR="0092205F" w:rsidRPr="00B013ED">
        <w:rPr>
          <w:rFonts w:cstheme="minorBidi"/>
          <w:szCs w:val="24"/>
        </w:rPr>
        <w:t xml:space="preserve">mineral trioxide aggregate </w:t>
      </w:r>
      <w:r w:rsidRPr="00B013ED">
        <w:rPr>
          <w:rFonts w:cstheme="minorBidi"/>
          <w:szCs w:val="24"/>
        </w:rPr>
        <w:t>(MTA) has meant that a plug can be created immediately by dentists, which allows immediate obturation of the root canal (</w:t>
      </w:r>
      <w:r w:rsidRPr="007B6AF6">
        <w:rPr>
          <w:rFonts w:cstheme="minorBidi"/>
          <w:szCs w:val="24"/>
        </w:rPr>
        <w:t>Pradhan</w:t>
      </w:r>
      <w:r w:rsidRPr="00B013ED">
        <w:rPr>
          <w:rFonts w:cstheme="minorBidi"/>
          <w:szCs w:val="24"/>
        </w:rPr>
        <w:t>, 2006).   However, it remains expensive and there are few long</w:t>
      </w:r>
      <w:r w:rsidR="00111424">
        <w:rPr>
          <w:rFonts w:cstheme="minorBidi"/>
          <w:szCs w:val="24"/>
        </w:rPr>
        <w:t xml:space="preserve"> term studies on its success.  </w:t>
      </w:r>
      <w:r w:rsidRPr="00B013ED">
        <w:rPr>
          <w:rFonts w:cstheme="minorBidi"/>
          <w:szCs w:val="24"/>
        </w:rPr>
        <w:t xml:space="preserve">Also there are </w:t>
      </w:r>
      <w:r w:rsidRPr="00B013ED">
        <w:rPr>
          <w:rFonts w:cstheme="minorBidi"/>
          <w:szCs w:val="24"/>
        </w:rPr>
        <w:lastRenderedPageBreak/>
        <w:t xml:space="preserve">some indications that MTA might also have a weakening effect on the dentine (Twati </w:t>
      </w:r>
      <w:r w:rsidRPr="00B013ED">
        <w:rPr>
          <w:rFonts w:cstheme="minorBidi"/>
          <w:i/>
          <w:iCs/>
          <w:szCs w:val="24"/>
        </w:rPr>
        <w:t>et al</w:t>
      </w:r>
      <w:r w:rsidR="0092205F">
        <w:rPr>
          <w:rFonts w:cstheme="minorBidi"/>
          <w:i/>
          <w:iCs/>
          <w:szCs w:val="24"/>
        </w:rPr>
        <w:t>.</w:t>
      </w:r>
      <w:r w:rsidRPr="00B013ED">
        <w:rPr>
          <w:rFonts w:cstheme="minorBidi"/>
          <w:i/>
          <w:iCs/>
          <w:szCs w:val="24"/>
        </w:rPr>
        <w:t>,</w:t>
      </w:r>
      <w:r w:rsidR="00163CC6">
        <w:rPr>
          <w:rFonts w:cstheme="minorBidi"/>
          <w:szCs w:val="24"/>
        </w:rPr>
        <w:t xml:space="preserve"> 2011).</w:t>
      </w:r>
    </w:p>
    <w:p w:rsidR="007D689C" w:rsidRPr="00B013ED" w:rsidRDefault="007D689C" w:rsidP="009F2E3E">
      <w:pPr>
        <w:spacing w:line="480" w:lineRule="auto"/>
        <w:jc w:val="both"/>
        <w:rPr>
          <w:rFonts w:cstheme="minorBidi"/>
          <w:szCs w:val="24"/>
        </w:rPr>
      </w:pPr>
      <w:r w:rsidRPr="00B013ED">
        <w:rPr>
          <w:rFonts w:cstheme="minorBidi"/>
          <w:szCs w:val="24"/>
        </w:rPr>
        <w:t xml:space="preserve">Recently there has been a paradigm shift in the proposed treatment for such teeth.  Techniques have been put forward which might harness the stem cells at the apical area of immature incisors, thereby allowing the root canal to be repopulated with vital tissue, which might then allow the continued deposition of hard tissue, even further root development (Banchs and </w:t>
      </w:r>
      <w:r w:rsidR="00407C8F" w:rsidRPr="00B013ED">
        <w:rPr>
          <w:rFonts w:cstheme="minorBidi"/>
          <w:szCs w:val="24"/>
        </w:rPr>
        <w:t>Trope</w:t>
      </w:r>
      <w:r w:rsidR="0092205F">
        <w:rPr>
          <w:rFonts w:cstheme="minorBidi"/>
          <w:szCs w:val="24"/>
        </w:rPr>
        <w:t>,</w:t>
      </w:r>
      <w:r w:rsidR="007B6AF6">
        <w:rPr>
          <w:rFonts w:cstheme="minorBidi"/>
          <w:szCs w:val="24"/>
        </w:rPr>
        <w:t xml:space="preserve"> </w:t>
      </w:r>
      <w:r w:rsidR="00111424">
        <w:rPr>
          <w:rFonts w:cstheme="minorBidi"/>
          <w:szCs w:val="24"/>
        </w:rPr>
        <w:t xml:space="preserve">2004). </w:t>
      </w:r>
      <w:r w:rsidRPr="00B013ED">
        <w:rPr>
          <w:rFonts w:cstheme="minorBidi"/>
          <w:szCs w:val="24"/>
        </w:rPr>
        <w:t xml:space="preserve">This technique is widely referred to as </w:t>
      </w:r>
      <w:r w:rsidR="0092205F" w:rsidRPr="00B013ED">
        <w:rPr>
          <w:rFonts w:cstheme="minorBidi"/>
          <w:szCs w:val="24"/>
        </w:rPr>
        <w:t xml:space="preserve">regenerative endodontic technique </w:t>
      </w:r>
      <w:r w:rsidRPr="00B013ED">
        <w:rPr>
          <w:rFonts w:cstheme="minorBidi"/>
          <w:szCs w:val="24"/>
        </w:rPr>
        <w:t>(RET).</w:t>
      </w:r>
    </w:p>
    <w:p w:rsidR="00497C4B" w:rsidRDefault="007D689C" w:rsidP="009F2E3E">
      <w:pPr>
        <w:spacing w:line="480" w:lineRule="auto"/>
        <w:jc w:val="both"/>
        <w:rPr>
          <w:rFonts w:cstheme="minorBidi"/>
          <w:szCs w:val="24"/>
        </w:rPr>
      </w:pPr>
      <w:r w:rsidRPr="00B013ED">
        <w:rPr>
          <w:rFonts w:cstheme="minorBidi"/>
          <w:szCs w:val="24"/>
        </w:rPr>
        <w:t xml:space="preserve">This systematic review attempts to establish where the effects of interventions for treating traumatised immature permanent front teeth using these techniques; apical plug techniques are consistent and where they may vary significantly. This was </w:t>
      </w:r>
      <w:r w:rsidR="0092205F">
        <w:rPr>
          <w:rFonts w:cstheme="minorBidi"/>
          <w:szCs w:val="24"/>
        </w:rPr>
        <w:t>performed</w:t>
      </w:r>
      <w:r w:rsidRPr="00B013ED">
        <w:rPr>
          <w:rFonts w:cstheme="minorBidi"/>
          <w:szCs w:val="24"/>
        </w:rPr>
        <w:t xml:space="preserve"> by evaluating the evidence from research in this field using explicit, systematic methods to limit bias (systematic errors) and reduce chance effects, hoping to provide more reliable results upon which conclusions can be drawn and decisions can be made.  In drawing conclusions and making recommendations the authors are very mindful of the fact that there are a very few RCT’s in these areas which stand up to rigorous scrutiny that is normally applied to such studies.</w:t>
      </w:r>
    </w:p>
    <w:p w:rsidR="00497C4B" w:rsidRDefault="00497C4B">
      <w:pPr>
        <w:rPr>
          <w:rFonts w:cstheme="minorBidi"/>
          <w:szCs w:val="24"/>
        </w:rPr>
      </w:pPr>
      <w:r>
        <w:rPr>
          <w:rFonts w:cstheme="minorBidi"/>
          <w:szCs w:val="24"/>
        </w:rPr>
        <w:br w:type="page"/>
      </w:r>
    </w:p>
    <w:p w:rsidR="007D689C" w:rsidRPr="00B013ED" w:rsidRDefault="007D689C" w:rsidP="009F2E3E">
      <w:pPr>
        <w:spacing w:line="480" w:lineRule="auto"/>
        <w:jc w:val="both"/>
        <w:rPr>
          <w:rFonts w:cstheme="minorBidi"/>
          <w:szCs w:val="24"/>
        </w:rPr>
      </w:pPr>
    </w:p>
    <w:p w:rsidR="007D689C" w:rsidRPr="00B013ED" w:rsidRDefault="007D689C" w:rsidP="00DD6655">
      <w:pPr>
        <w:pStyle w:val="Heading3"/>
        <w:spacing w:line="480" w:lineRule="auto"/>
      </w:pPr>
      <w:bookmarkStart w:id="8" w:name="_Toc370819178"/>
      <w:r w:rsidRPr="00B013ED">
        <w:t>OBJECTIVES OF THE REVIEW</w:t>
      </w:r>
      <w:bookmarkEnd w:id="8"/>
    </w:p>
    <w:p w:rsidR="007D689C" w:rsidRPr="00B013ED" w:rsidRDefault="007D689C" w:rsidP="007D689C">
      <w:pPr>
        <w:spacing w:line="480" w:lineRule="auto"/>
        <w:rPr>
          <w:rFonts w:cstheme="minorBidi"/>
          <w:szCs w:val="24"/>
        </w:rPr>
      </w:pPr>
      <w:r w:rsidRPr="00B013ED">
        <w:rPr>
          <w:rFonts w:cstheme="minorBidi"/>
          <w:szCs w:val="24"/>
        </w:rPr>
        <w:t>To evaluate the relative effectiveness of the following interventions for treating traumatised non-vital immature permanent front teeth:</w:t>
      </w:r>
    </w:p>
    <w:p w:rsidR="007D689C" w:rsidRPr="00B013ED" w:rsidRDefault="007D689C" w:rsidP="007D689C">
      <w:pPr>
        <w:spacing w:line="480" w:lineRule="auto"/>
        <w:rPr>
          <w:rFonts w:cstheme="minorBidi"/>
          <w:szCs w:val="24"/>
        </w:rPr>
      </w:pPr>
      <w:r w:rsidRPr="00B013ED">
        <w:rPr>
          <w:rFonts w:cstheme="minorBidi"/>
          <w:szCs w:val="24"/>
        </w:rPr>
        <w:t xml:space="preserve">     (a) Apexification techniques;</w:t>
      </w:r>
    </w:p>
    <w:p w:rsidR="007D689C" w:rsidRPr="00B013ED" w:rsidRDefault="007D689C" w:rsidP="007D689C">
      <w:pPr>
        <w:spacing w:line="480" w:lineRule="auto"/>
        <w:rPr>
          <w:rFonts w:cstheme="minorBidi"/>
          <w:szCs w:val="24"/>
        </w:rPr>
      </w:pPr>
      <w:r w:rsidRPr="00B013ED">
        <w:rPr>
          <w:rFonts w:cstheme="minorBidi"/>
          <w:szCs w:val="24"/>
        </w:rPr>
        <w:t xml:space="preserve">     (b) Apical plug technique using MTA;</w:t>
      </w:r>
    </w:p>
    <w:p w:rsidR="007D689C" w:rsidRPr="00B013ED" w:rsidRDefault="007D689C" w:rsidP="007D689C">
      <w:pPr>
        <w:spacing w:line="480" w:lineRule="auto"/>
        <w:rPr>
          <w:rFonts w:cstheme="minorBidi"/>
          <w:szCs w:val="24"/>
        </w:rPr>
      </w:pPr>
      <w:r w:rsidRPr="00B013ED">
        <w:rPr>
          <w:rFonts w:cstheme="minorBidi"/>
          <w:szCs w:val="24"/>
        </w:rPr>
        <w:t xml:space="preserve">     (c) Regenerative </w:t>
      </w:r>
      <w:r w:rsidR="00E81B08" w:rsidRPr="00B013ED">
        <w:rPr>
          <w:rFonts w:cstheme="minorBidi"/>
          <w:szCs w:val="24"/>
        </w:rPr>
        <w:t>endodontic technique</w:t>
      </w:r>
    </w:p>
    <w:p w:rsidR="00BC2990" w:rsidRPr="00B013ED" w:rsidRDefault="007D689C" w:rsidP="009F2E3E">
      <w:pPr>
        <w:spacing w:line="480" w:lineRule="auto"/>
        <w:jc w:val="both"/>
        <w:rPr>
          <w:rFonts w:cstheme="minorBidi"/>
          <w:szCs w:val="24"/>
        </w:rPr>
      </w:pPr>
      <w:r w:rsidRPr="00B013ED">
        <w:rPr>
          <w:rFonts w:cstheme="minorBidi"/>
          <w:szCs w:val="24"/>
        </w:rPr>
        <w:t>To evaluate any immediate and/or long-term side effects and limitations for the materials and techniques used</w:t>
      </w:r>
      <w:r w:rsidR="00BC2990" w:rsidRPr="00B013ED">
        <w:rPr>
          <w:rFonts w:cstheme="minorBidi"/>
          <w:szCs w:val="24"/>
        </w:rPr>
        <w:t>.</w:t>
      </w:r>
    </w:p>
    <w:p w:rsidR="00BC2990" w:rsidRPr="00B013ED" w:rsidRDefault="00BC2990">
      <w:pPr>
        <w:rPr>
          <w:rFonts w:eastAsiaTheme="majorEastAsia"/>
          <w:b/>
          <w:bCs/>
          <w:sz w:val="32"/>
        </w:rPr>
      </w:pPr>
      <w:r w:rsidRPr="00B013ED">
        <w:br w:type="page"/>
      </w:r>
    </w:p>
    <w:p w:rsidR="00BC2990" w:rsidRPr="00B013ED" w:rsidRDefault="00BC2990" w:rsidP="002B54A2">
      <w:pPr>
        <w:pStyle w:val="Heading2"/>
      </w:pPr>
      <w:bookmarkStart w:id="9" w:name="_Toc370819179"/>
      <w:proofErr w:type="gramStart"/>
      <w:r w:rsidRPr="00B013ED">
        <w:lastRenderedPageBreak/>
        <w:t>METHODOLOGY</w:t>
      </w:r>
      <w:r w:rsidR="009142AE" w:rsidRPr="00B013ED">
        <w:t>.</w:t>
      </w:r>
      <w:bookmarkEnd w:id="9"/>
      <w:proofErr w:type="gramEnd"/>
    </w:p>
    <w:p w:rsidR="00BC2990" w:rsidRPr="00B013ED" w:rsidRDefault="00BC2990" w:rsidP="000F105B">
      <w:pPr>
        <w:pStyle w:val="Heading3"/>
        <w:spacing w:line="480" w:lineRule="auto"/>
      </w:pPr>
      <w:bookmarkStart w:id="10" w:name="_Toc370819180"/>
      <w:r w:rsidRPr="00B013ED">
        <w:t>Search strategy for identification of studies</w:t>
      </w:r>
      <w:r w:rsidR="009142AE" w:rsidRPr="00B013ED">
        <w:t>.</w:t>
      </w:r>
      <w:bookmarkEnd w:id="10"/>
    </w:p>
    <w:p w:rsidR="00BC2990" w:rsidRPr="00B013ED" w:rsidRDefault="00BC2990" w:rsidP="00497C4B">
      <w:pPr>
        <w:spacing w:line="480" w:lineRule="auto"/>
        <w:jc w:val="both"/>
        <w:rPr>
          <w:rFonts w:cstheme="minorBidi"/>
          <w:szCs w:val="24"/>
        </w:rPr>
      </w:pPr>
      <w:r w:rsidRPr="00B013ED">
        <w:rPr>
          <w:rFonts w:cstheme="minorBidi"/>
          <w:szCs w:val="24"/>
        </w:rPr>
        <w:t xml:space="preserve">A comprehensive search was developed for ensuring that as many studies as possible </w:t>
      </w:r>
      <w:r w:rsidR="009E6C42">
        <w:rPr>
          <w:rFonts w:cstheme="minorBidi"/>
          <w:szCs w:val="24"/>
        </w:rPr>
        <w:t>we</w:t>
      </w:r>
      <w:r w:rsidRPr="00B013ED">
        <w:rPr>
          <w:rFonts w:cstheme="minorBidi"/>
          <w:szCs w:val="24"/>
        </w:rPr>
        <w:t xml:space="preserve">re identified through a structured electronic search, hand search, and personal contacts. </w:t>
      </w:r>
    </w:p>
    <w:p w:rsidR="00BC2990" w:rsidRPr="00B013ED" w:rsidRDefault="00BC2990" w:rsidP="00497C4B">
      <w:pPr>
        <w:pStyle w:val="Heading3"/>
        <w:spacing w:line="480" w:lineRule="auto"/>
        <w:jc w:val="both"/>
      </w:pPr>
      <w:bookmarkStart w:id="11" w:name="_Toc370819181"/>
      <w:proofErr w:type="gramStart"/>
      <w:r w:rsidRPr="00B013ED">
        <w:t>Electronic Search strategy</w:t>
      </w:r>
      <w:r w:rsidR="009142AE" w:rsidRPr="00B013ED">
        <w:t>.</w:t>
      </w:r>
      <w:bookmarkEnd w:id="11"/>
      <w:proofErr w:type="gramEnd"/>
    </w:p>
    <w:p w:rsidR="00BC2990" w:rsidRPr="00B013ED" w:rsidRDefault="00BC2990" w:rsidP="00497C4B">
      <w:pPr>
        <w:spacing w:line="480" w:lineRule="auto"/>
        <w:jc w:val="both"/>
        <w:rPr>
          <w:rFonts w:cstheme="minorBidi"/>
          <w:szCs w:val="24"/>
        </w:rPr>
      </w:pPr>
      <w:r w:rsidRPr="00B013ED">
        <w:rPr>
          <w:rFonts w:cstheme="minorBidi"/>
          <w:szCs w:val="24"/>
        </w:rPr>
        <w:t>A search for relevant studies began with OVID electronic bibliographic databases using a structured search strategy that was developed by the Trials Search Co-ordinator of the UK Cochrane Oral Health Group to determine an article’s relevance to this review based on the title and abstract.</w:t>
      </w:r>
    </w:p>
    <w:p w:rsidR="00BC2990" w:rsidRPr="00B013ED" w:rsidRDefault="00BC2990" w:rsidP="00497C4B">
      <w:pPr>
        <w:pStyle w:val="Heading3"/>
        <w:spacing w:line="480" w:lineRule="auto"/>
        <w:jc w:val="both"/>
      </w:pPr>
      <w:bookmarkStart w:id="12" w:name="_Toc370819182"/>
      <w:proofErr w:type="gramStart"/>
      <w:r w:rsidRPr="00B013ED">
        <w:t>Subject search strategy for MEDLINE via OVID</w:t>
      </w:r>
      <w:r w:rsidR="009142AE" w:rsidRPr="00B013ED">
        <w:t>.</w:t>
      </w:r>
      <w:bookmarkEnd w:id="12"/>
      <w:proofErr w:type="gramEnd"/>
    </w:p>
    <w:p w:rsidR="00BC2990" w:rsidRPr="00B013ED" w:rsidRDefault="00BC2990" w:rsidP="00497C4B">
      <w:pPr>
        <w:spacing w:line="480" w:lineRule="auto"/>
        <w:jc w:val="both"/>
        <w:rPr>
          <w:rFonts w:cstheme="minorBidi"/>
          <w:szCs w:val="24"/>
        </w:rPr>
      </w:pPr>
      <w:r w:rsidRPr="00B013ED">
        <w:rPr>
          <w:rFonts w:cstheme="minorBidi"/>
          <w:szCs w:val="24"/>
        </w:rPr>
        <w:t>The subject search used a combination of controlled vocabulary and free text terms.  There was no restriction on the language of publication.</w:t>
      </w:r>
    </w:p>
    <w:p w:rsidR="00BC2990" w:rsidRPr="00B013ED" w:rsidRDefault="00BC2990" w:rsidP="00497C4B">
      <w:pPr>
        <w:spacing w:line="480" w:lineRule="auto"/>
        <w:jc w:val="both"/>
        <w:rPr>
          <w:rFonts w:cstheme="minorBidi"/>
          <w:szCs w:val="24"/>
        </w:rPr>
      </w:pPr>
      <w:r w:rsidRPr="00B013ED">
        <w:rPr>
          <w:rFonts w:cstheme="minorBidi"/>
          <w:szCs w:val="24"/>
        </w:rPr>
        <w:t>An example of the search strategy for apexification procedure is given below.</w:t>
      </w:r>
    </w:p>
    <w:p w:rsidR="00BF6349" w:rsidRDefault="00BF6349" w:rsidP="00497C4B">
      <w:pPr>
        <w:jc w:val="both"/>
        <w:rPr>
          <w:rFonts w:eastAsiaTheme="majorEastAsia"/>
          <w:b/>
          <w:bCs/>
          <w:sz w:val="28"/>
        </w:rPr>
      </w:pPr>
      <w:r>
        <w:br w:type="page"/>
      </w:r>
    </w:p>
    <w:p w:rsidR="009142AE" w:rsidRPr="00B013ED" w:rsidRDefault="00313233" w:rsidP="001A70AA">
      <w:pPr>
        <w:pStyle w:val="Heading3"/>
        <w:spacing w:line="480" w:lineRule="auto"/>
      </w:pPr>
      <w:bookmarkStart w:id="13" w:name="_Toc370819183"/>
      <w:proofErr w:type="gramStart"/>
      <w:r>
        <w:lastRenderedPageBreak/>
        <w:t xml:space="preserve">Subject search </w:t>
      </w:r>
      <w:r w:rsidR="009142AE" w:rsidRPr="00B013ED">
        <w:t>strategy for MEDLINE via OVID.</w:t>
      </w:r>
      <w:bookmarkEnd w:id="13"/>
      <w:proofErr w:type="gramEnd"/>
    </w:p>
    <w:tbl>
      <w:tblPr>
        <w:tblW w:w="9263" w:type="dxa"/>
        <w:tblBorders>
          <w:insideH w:val="single" w:sz="18" w:space="0" w:color="FFFFFF"/>
          <w:insideV w:val="single" w:sz="18" w:space="0" w:color="FFFFFF"/>
        </w:tblBorders>
        <w:tblLook w:val="0140" w:firstRow="0" w:lastRow="1" w:firstColumn="0" w:lastColumn="1" w:noHBand="0" w:noVBand="0"/>
      </w:tblPr>
      <w:tblGrid>
        <w:gridCol w:w="9263"/>
      </w:tblGrid>
      <w:tr w:rsidR="009142AE" w:rsidRPr="00D072AB" w:rsidTr="001E5C4A">
        <w:tc>
          <w:tcPr>
            <w:tcW w:w="9263" w:type="dxa"/>
            <w:tcBorders>
              <w:bottom w:val="single" w:sz="18" w:space="0" w:color="FFFFFF"/>
            </w:tcBorders>
            <w:shd w:val="pct5" w:color="000000" w:fill="FFFFFF"/>
          </w:tcPr>
          <w:p w:rsidR="009142AE" w:rsidRPr="00D072AB" w:rsidRDefault="009142AE" w:rsidP="00D072AB">
            <w:pPr>
              <w:spacing w:line="240" w:lineRule="auto"/>
              <w:jc w:val="both"/>
              <w:rPr>
                <w:rFonts w:cstheme="minorBidi"/>
                <w:sz w:val="20"/>
                <w:szCs w:val="20"/>
              </w:rPr>
            </w:pPr>
            <w:r w:rsidRPr="00D072AB">
              <w:rPr>
                <w:rFonts w:cstheme="minorBidi"/>
                <w:sz w:val="20"/>
                <w:szCs w:val="20"/>
              </w:rPr>
              <w:t>1. exp Tooth Injuries/</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line="240" w:lineRule="auto"/>
              <w:jc w:val="both"/>
              <w:rPr>
                <w:rFonts w:cstheme="minorBidi"/>
                <w:sz w:val="20"/>
                <w:szCs w:val="20"/>
              </w:rPr>
            </w:pPr>
            <w:r w:rsidRPr="00D072AB">
              <w:rPr>
                <w:rFonts w:cstheme="minorBidi"/>
                <w:sz w:val="20"/>
                <w:szCs w:val="20"/>
              </w:rPr>
              <w:t>2. Tooth, Nonvital/</w:t>
            </w:r>
          </w:p>
        </w:tc>
      </w:tr>
      <w:tr w:rsidR="009142AE" w:rsidRPr="00D072AB" w:rsidTr="001E5C4A">
        <w:tc>
          <w:tcPr>
            <w:tcW w:w="9263" w:type="dxa"/>
            <w:tcBorders>
              <w:top w:val="single" w:sz="18" w:space="0" w:color="FFFFFF"/>
              <w:bottom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3. (tooth adj3 rupture$).mp.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4. (teeth adj3 rupture$).mp.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5. (</w:t>
            </w:r>
            <w:proofErr w:type="gramStart"/>
            <w:r w:rsidRPr="00D072AB">
              <w:rPr>
                <w:rFonts w:cstheme="minorBidi"/>
                <w:sz w:val="20"/>
                <w:szCs w:val="20"/>
              </w:rPr>
              <w:t>tooth</w:t>
            </w:r>
            <w:proofErr w:type="gramEnd"/>
            <w:r w:rsidRPr="00D072AB">
              <w:rPr>
                <w:rFonts w:cstheme="minorBidi"/>
                <w:sz w:val="20"/>
                <w:szCs w:val="20"/>
              </w:rPr>
              <w:t xml:space="preserve"> adj4 nonvital).mp.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6. (</w:t>
            </w:r>
            <w:proofErr w:type="gramStart"/>
            <w:r w:rsidRPr="00D072AB">
              <w:rPr>
                <w:rFonts w:cstheme="minorBidi"/>
                <w:sz w:val="20"/>
                <w:szCs w:val="20"/>
              </w:rPr>
              <w:t>teeth</w:t>
            </w:r>
            <w:proofErr w:type="gramEnd"/>
            <w:r w:rsidRPr="00D072AB">
              <w:rPr>
                <w:rFonts w:cstheme="minorBidi"/>
                <w:sz w:val="20"/>
                <w:szCs w:val="20"/>
              </w:rPr>
              <w:t xml:space="preserve"> adj4 nonvital).mp.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7. (</w:t>
            </w:r>
            <w:proofErr w:type="gramStart"/>
            <w:r w:rsidRPr="00D072AB">
              <w:rPr>
                <w:rFonts w:cstheme="minorBidi"/>
                <w:sz w:val="20"/>
                <w:szCs w:val="20"/>
              </w:rPr>
              <w:t>tooth</w:t>
            </w:r>
            <w:proofErr w:type="gramEnd"/>
            <w:r w:rsidRPr="00D072AB">
              <w:rPr>
                <w:rFonts w:cstheme="minorBidi"/>
                <w:sz w:val="20"/>
                <w:szCs w:val="20"/>
              </w:rPr>
              <w:t xml:space="preserve"> adj4 nonvital).mp.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8. (</w:t>
            </w:r>
            <w:proofErr w:type="gramStart"/>
            <w:r w:rsidRPr="00D072AB">
              <w:rPr>
                <w:rFonts w:cstheme="minorBidi"/>
                <w:sz w:val="20"/>
                <w:szCs w:val="20"/>
              </w:rPr>
              <w:t>teeth</w:t>
            </w:r>
            <w:proofErr w:type="gramEnd"/>
            <w:r w:rsidRPr="00D072AB">
              <w:rPr>
                <w:rFonts w:cstheme="minorBidi"/>
                <w:sz w:val="20"/>
                <w:szCs w:val="20"/>
              </w:rPr>
              <w:t xml:space="preserve"> adj4 nonvital).mp.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9. (</w:t>
            </w:r>
            <w:proofErr w:type="gramStart"/>
            <w:r w:rsidRPr="00D072AB">
              <w:rPr>
                <w:rFonts w:cstheme="minorBidi"/>
                <w:sz w:val="20"/>
                <w:szCs w:val="20"/>
              </w:rPr>
              <w:t>tooth</w:t>
            </w:r>
            <w:proofErr w:type="gramEnd"/>
            <w:r w:rsidRPr="00D072AB">
              <w:rPr>
                <w:rFonts w:cstheme="minorBidi"/>
                <w:sz w:val="20"/>
                <w:szCs w:val="20"/>
              </w:rPr>
              <w:t xml:space="preserve"> adj4 dead).mp.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10. (</w:t>
            </w:r>
            <w:proofErr w:type="gramStart"/>
            <w:r w:rsidRPr="00D072AB">
              <w:rPr>
                <w:rFonts w:cstheme="minorBidi"/>
                <w:sz w:val="20"/>
                <w:szCs w:val="20"/>
              </w:rPr>
              <w:t>teeth</w:t>
            </w:r>
            <w:proofErr w:type="gramEnd"/>
            <w:r w:rsidRPr="00D072AB">
              <w:rPr>
                <w:rFonts w:cstheme="minorBidi"/>
                <w:sz w:val="20"/>
                <w:szCs w:val="20"/>
              </w:rPr>
              <w:t xml:space="preserve"> adj4 dead).mp.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11. ((tooth or teeth) and trauma$).mp.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12. ((tooth or teeth) and injur$).mp.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13. (tooth adj4 damag$).mp.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14. ((teeth adj4 damag$) or (open adj apex) or (open adj apices)).mp.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15. or/1-14</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16. Incisor/</w:t>
            </w:r>
          </w:p>
        </w:tc>
      </w:tr>
      <w:tr w:rsidR="009142AE" w:rsidRPr="00D072AB" w:rsidTr="001E5C4A">
        <w:tc>
          <w:tcPr>
            <w:tcW w:w="9263" w:type="dxa"/>
            <w:tcBorders>
              <w:top w:val="single" w:sz="18" w:space="0" w:color="FFFFFF"/>
              <w:bottom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 xml:space="preserve">17. </w:t>
            </w:r>
            <w:proofErr w:type="gramStart"/>
            <w:r w:rsidRPr="00D072AB">
              <w:rPr>
                <w:rFonts w:cstheme="minorBidi"/>
                <w:sz w:val="20"/>
                <w:szCs w:val="20"/>
              </w:rPr>
              <w:t>incisor</w:t>
            </w:r>
            <w:proofErr w:type="gramEnd"/>
            <w:r w:rsidRPr="00D072AB">
              <w:rPr>
                <w:rFonts w:cstheme="minorBidi"/>
                <w:sz w:val="20"/>
                <w:szCs w:val="20"/>
              </w:rPr>
              <w:t>$.mp.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18. (</w:t>
            </w:r>
            <w:proofErr w:type="gramStart"/>
            <w:r w:rsidRPr="00D072AB">
              <w:rPr>
                <w:rFonts w:cstheme="minorBidi"/>
                <w:sz w:val="20"/>
                <w:szCs w:val="20"/>
              </w:rPr>
              <w:t>anterior</w:t>
            </w:r>
            <w:proofErr w:type="gramEnd"/>
            <w:r w:rsidRPr="00D072AB">
              <w:rPr>
                <w:rFonts w:cstheme="minorBidi"/>
                <w:sz w:val="20"/>
                <w:szCs w:val="20"/>
              </w:rPr>
              <w:t>$ adj4 tooth).mp.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19. (</w:t>
            </w:r>
            <w:proofErr w:type="gramStart"/>
            <w:r w:rsidRPr="00D072AB">
              <w:rPr>
                <w:rFonts w:cstheme="minorBidi"/>
                <w:sz w:val="20"/>
                <w:szCs w:val="20"/>
              </w:rPr>
              <w:t>anterior</w:t>
            </w:r>
            <w:proofErr w:type="gramEnd"/>
            <w:r w:rsidRPr="00D072AB">
              <w:rPr>
                <w:rFonts w:cstheme="minorBidi"/>
                <w:sz w:val="20"/>
                <w:szCs w:val="20"/>
              </w:rPr>
              <w:t xml:space="preserve"> adj4 teeth).mp.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20. (</w:t>
            </w:r>
            <w:proofErr w:type="gramStart"/>
            <w:r w:rsidRPr="00D072AB">
              <w:rPr>
                <w:rFonts w:cstheme="minorBidi"/>
                <w:sz w:val="20"/>
                <w:szCs w:val="20"/>
              </w:rPr>
              <w:t>front</w:t>
            </w:r>
            <w:proofErr w:type="gramEnd"/>
            <w:r w:rsidRPr="00D072AB">
              <w:rPr>
                <w:rFonts w:cstheme="minorBidi"/>
                <w:sz w:val="20"/>
                <w:szCs w:val="20"/>
              </w:rPr>
              <w:t xml:space="preserve"> adj3 teeth).mp.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21. (</w:t>
            </w:r>
            <w:proofErr w:type="gramStart"/>
            <w:r w:rsidRPr="00D072AB">
              <w:rPr>
                <w:rFonts w:cstheme="minorBidi"/>
                <w:sz w:val="20"/>
                <w:szCs w:val="20"/>
              </w:rPr>
              <w:t>front</w:t>
            </w:r>
            <w:proofErr w:type="gramEnd"/>
            <w:r w:rsidRPr="00D072AB">
              <w:rPr>
                <w:rFonts w:cstheme="minorBidi"/>
                <w:sz w:val="20"/>
                <w:szCs w:val="20"/>
              </w:rPr>
              <w:t xml:space="preserve"> adj3 tooth).mp.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22. or/16-21</w:t>
            </w:r>
          </w:p>
        </w:tc>
      </w:tr>
      <w:tr w:rsidR="009142AE" w:rsidRPr="00D072AB" w:rsidTr="001E5C4A">
        <w:tc>
          <w:tcPr>
            <w:tcW w:w="9263" w:type="dxa"/>
            <w:tcBorders>
              <w:top w:val="single" w:sz="18" w:space="0" w:color="FFFFFF"/>
              <w:bottom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 xml:space="preserve">23. </w:t>
            </w:r>
            <w:proofErr w:type="gramStart"/>
            <w:r w:rsidRPr="00D072AB">
              <w:rPr>
                <w:rFonts w:cstheme="minorBidi"/>
                <w:sz w:val="20"/>
                <w:szCs w:val="20"/>
              </w:rPr>
              <w:t>apexification.mp</w:t>
            </w:r>
            <w:proofErr w:type="gramEnd"/>
            <w:r w:rsidRPr="00D072AB">
              <w:rPr>
                <w:rFonts w:cstheme="minorBidi"/>
                <w:sz w:val="20"/>
                <w:szCs w:val="20"/>
              </w:rPr>
              <w:t>.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 xml:space="preserve">24. (apical$ adj3 barrier$).mp. [mp=title, original title, abstract, name of substance word, subject </w:t>
            </w:r>
            <w:r w:rsidRPr="00D072AB">
              <w:rPr>
                <w:rFonts w:cstheme="minorBidi"/>
                <w:sz w:val="20"/>
                <w:szCs w:val="20"/>
              </w:rPr>
              <w:lastRenderedPageBreak/>
              <w:t>heading word]</w:t>
            </w:r>
          </w:p>
        </w:tc>
      </w:tr>
      <w:tr w:rsidR="009142AE" w:rsidRPr="00D072AB" w:rsidTr="001E5C4A">
        <w:tc>
          <w:tcPr>
            <w:tcW w:w="9263" w:type="dxa"/>
            <w:tcBorders>
              <w:top w:val="single" w:sz="18" w:space="0" w:color="FFFFFF"/>
              <w:bottom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lastRenderedPageBreak/>
              <w:t>25. (apex adj3 barrier$).mp.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26. (root$ adj3 strengthen$).mp.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 xml:space="preserve">27. </w:t>
            </w:r>
            <w:proofErr w:type="gramStart"/>
            <w:r w:rsidRPr="00D072AB">
              <w:rPr>
                <w:rFonts w:cstheme="minorBidi"/>
                <w:sz w:val="20"/>
                <w:szCs w:val="20"/>
              </w:rPr>
              <w:t>root-</w:t>
            </w:r>
            <w:proofErr w:type="gramEnd"/>
            <w:r w:rsidRPr="00D072AB">
              <w:rPr>
                <w:rFonts w:cstheme="minorBidi"/>
                <w:sz w:val="20"/>
                <w:szCs w:val="20"/>
              </w:rPr>
              <w:t>strengthen$.mp. [mp=title, original title, abstract, name of substance word, subject heading word]</w:t>
            </w:r>
          </w:p>
        </w:tc>
      </w:tr>
      <w:tr w:rsidR="009142AE" w:rsidRPr="00D072AB" w:rsidTr="001E5C4A">
        <w:tc>
          <w:tcPr>
            <w:tcW w:w="9263" w:type="dxa"/>
            <w:tcBorders>
              <w:top w:val="single" w:sz="18" w:space="0" w:color="FFFFFF"/>
              <w:bottom w:val="single" w:sz="18" w:space="0" w:color="FFFFFF"/>
            </w:tcBorders>
            <w:shd w:val="pct20"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28. or/23-27</w:t>
            </w:r>
          </w:p>
        </w:tc>
      </w:tr>
      <w:tr w:rsidR="009142AE" w:rsidRPr="00D072AB" w:rsidTr="001E5C4A">
        <w:tc>
          <w:tcPr>
            <w:tcW w:w="9263" w:type="dxa"/>
            <w:tcBorders>
              <w:top w:val="single" w:sz="18" w:space="0" w:color="FFFFFF"/>
            </w:tcBorders>
            <w:shd w:val="pct5" w:color="000000" w:fill="FFFFFF"/>
          </w:tcPr>
          <w:p w:rsidR="009142AE" w:rsidRPr="00D072AB" w:rsidRDefault="009142AE" w:rsidP="00D072AB">
            <w:pPr>
              <w:spacing w:after="120" w:line="240" w:lineRule="auto"/>
              <w:jc w:val="both"/>
              <w:rPr>
                <w:rFonts w:cstheme="minorBidi"/>
                <w:sz w:val="20"/>
                <w:szCs w:val="20"/>
              </w:rPr>
            </w:pPr>
            <w:r w:rsidRPr="00D072AB">
              <w:rPr>
                <w:rFonts w:cstheme="minorBidi"/>
                <w:sz w:val="20"/>
                <w:szCs w:val="20"/>
              </w:rPr>
              <w:t>29. 15 and 22 and 28</w:t>
            </w:r>
          </w:p>
          <w:p w:rsidR="009142AE" w:rsidRPr="00D072AB" w:rsidRDefault="009142AE" w:rsidP="00D072AB">
            <w:pPr>
              <w:spacing w:line="240" w:lineRule="auto"/>
              <w:jc w:val="both"/>
              <w:rPr>
                <w:rFonts w:cstheme="minorBidi"/>
                <w:sz w:val="20"/>
                <w:szCs w:val="20"/>
              </w:rPr>
            </w:pPr>
          </w:p>
        </w:tc>
      </w:tr>
    </w:tbl>
    <w:p w:rsidR="001A70AA" w:rsidRDefault="001A70AA">
      <w:pPr>
        <w:rPr>
          <w:rFonts w:eastAsiaTheme="majorEastAsia"/>
          <w:b/>
          <w:bCs/>
          <w:sz w:val="28"/>
        </w:rPr>
      </w:pPr>
      <w:bookmarkStart w:id="14" w:name="_Toc359995727"/>
    </w:p>
    <w:p w:rsidR="009142AE" w:rsidRPr="00B013ED" w:rsidRDefault="009142AE" w:rsidP="001A70AA">
      <w:pPr>
        <w:pStyle w:val="Heading3"/>
        <w:spacing w:line="480" w:lineRule="auto"/>
      </w:pPr>
      <w:bookmarkStart w:id="15" w:name="_Toc370819184"/>
      <w:r w:rsidRPr="00B013ED">
        <w:t>Databases searched</w:t>
      </w:r>
      <w:bookmarkEnd w:id="14"/>
      <w:bookmarkEnd w:id="15"/>
    </w:p>
    <w:p w:rsidR="009142AE" w:rsidRPr="00B013ED" w:rsidRDefault="009142AE" w:rsidP="005F2E98">
      <w:pPr>
        <w:tabs>
          <w:tab w:val="left" w:pos="540"/>
          <w:tab w:val="right" w:pos="8505"/>
        </w:tabs>
        <w:spacing w:line="480" w:lineRule="auto"/>
        <w:jc w:val="both"/>
        <w:rPr>
          <w:rFonts w:cstheme="minorBidi"/>
        </w:rPr>
      </w:pPr>
      <w:r w:rsidRPr="00B013ED">
        <w:rPr>
          <w:rFonts w:cstheme="minorBidi"/>
        </w:rPr>
        <w:t>The following databases were searched via OVID gateway:</w:t>
      </w:r>
    </w:p>
    <w:tbl>
      <w:tblPr>
        <w:tblW w:w="0" w:type="auto"/>
        <w:tblLook w:val="0000" w:firstRow="0" w:lastRow="0" w:firstColumn="0" w:lastColumn="0" w:noHBand="0" w:noVBand="0"/>
      </w:tblPr>
      <w:tblGrid>
        <w:gridCol w:w="4356"/>
        <w:gridCol w:w="4200"/>
      </w:tblGrid>
      <w:tr w:rsidR="009142AE" w:rsidRPr="00B013ED" w:rsidTr="007B6AF6">
        <w:trPr>
          <w:trHeight w:val="5041"/>
        </w:trPr>
        <w:tc>
          <w:tcPr>
            <w:tcW w:w="4502" w:type="dxa"/>
          </w:tcPr>
          <w:p w:rsidR="009142AE" w:rsidRPr="00B013ED" w:rsidRDefault="009142AE" w:rsidP="00497C4B">
            <w:pPr>
              <w:numPr>
                <w:ilvl w:val="0"/>
                <w:numId w:val="31"/>
              </w:numPr>
              <w:tabs>
                <w:tab w:val="left" w:pos="540"/>
                <w:tab w:val="right" w:pos="8505"/>
              </w:tabs>
              <w:spacing w:after="0" w:line="360" w:lineRule="auto"/>
              <w:rPr>
                <w:rFonts w:eastAsia="Batang" w:cstheme="minorBidi"/>
              </w:rPr>
            </w:pPr>
            <w:r w:rsidRPr="00B013ED">
              <w:rPr>
                <w:rFonts w:cstheme="minorBidi"/>
              </w:rPr>
              <w:t>ACP Journal Club (ACP)</w:t>
            </w:r>
          </w:p>
          <w:p w:rsidR="009142AE" w:rsidRPr="00B013ED" w:rsidRDefault="009142AE" w:rsidP="00497C4B">
            <w:pPr>
              <w:numPr>
                <w:ilvl w:val="0"/>
                <w:numId w:val="31"/>
              </w:numPr>
              <w:tabs>
                <w:tab w:val="left" w:pos="540"/>
                <w:tab w:val="right" w:pos="8505"/>
              </w:tabs>
              <w:spacing w:after="0" w:line="360" w:lineRule="auto"/>
              <w:rPr>
                <w:rFonts w:eastAsia="Batang" w:cstheme="minorBidi"/>
              </w:rPr>
            </w:pPr>
            <w:r w:rsidRPr="00B013ED">
              <w:rPr>
                <w:rFonts w:cstheme="minorBidi"/>
              </w:rPr>
              <w:t>Cochrane Central Register of Controlled Trials (CENTRAL)</w:t>
            </w:r>
          </w:p>
          <w:p w:rsidR="009142AE" w:rsidRPr="00B013ED" w:rsidRDefault="009142AE" w:rsidP="00497C4B">
            <w:pPr>
              <w:numPr>
                <w:ilvl w:val="0"/>
                <w:numId w:val="31"/>
              </w:numPr>
              <w:tabs>
                <w:tab w:val="left" w:pos="540"/>
                <w:tab w:val="right" w:pos="8505"/>
              </w:tabs>
              <w:spacing w:after="0" w:line="360" w:lineRule="auto"/>
              <w:rPr>
                <w:rFonts w:eastAsia="Batang" w:cstheme="minorBidi"/>
              </w:rPr>
            </w:pPr>
            <w:r w:rsidRPr="00B013ED">
              <w:rPr>
                <w:rFonts w:cstheme="minorBidi"/>
              </w:rPr>
              <w:t>Cochrane Database of Systematic Reviews (CDSR)</w:t>
            </w:r>
          </w:p>
          <w:p w:rsidR="009142AE" w:rsidRPr="00B013ED" w:rsidRDefault="009142AE" w:rsidP="00497C4B">
            <w:pPr>
              <w:numPr>
                <w:ilvl w:val="0"/>
                <w:numId w:val="31"/>
              </w:numPr>
              <w:tabs>
                <w:tab w:val="left" w:pos="540"/>
                <w:tab w:val="right" w:pos="8505"/>
              </w:tabs>
              <w:spacing w:after="0" w:line="360" w:lineRule="auto"/>
              <w:rPr>
                <w:rFonts w:eastAsia="Batang" w:cstheme="minorBidi"/>
              </w:rPr>
            </w:pPr>
            <w:r w:rsidRPr="00B013ED">
              <w:rPr>
                <w:rFonts w:cstheme="minorBidi"/>
              </w:rPr>
              <w:t>Cochrane Oral Health Group Trials Register</w:t>
            </w:r>
          </w:p>
          <w:p w:rsidR="009142AE" w:rsidRPr="00B013ED" w:rsidRDefault="009142AE" w:rsidP="00497C4B">
            <w:pPr>
              <w:numPr>
                <w:ilvl w:val="0"/>
                <w:numId w:val="31"/>
              </w:numPr>
              <w:tabs>
                <w:tab w:val="left" w:pos="540"/>
                <w:tab w:val="right" w:pos="8505"/>
              </w:tabs>
              <w:spacing w:after="0" w:line="360" w:lineRule="auto"/>
              <w:rPr>
                <w:rFonts w:eastAsia="Batang" w:cstheme="minorBidi"/>
              </w:rPr>
            </w:pPr>
            <w:r w:rsidRPr="00B013ED">
              <w:rPr>
                <w:rFonts w:cstheme="minorBidi"/>
              </w:rPr>
              <w:t>Database of Abstracts of Reviews of Effects (DARE)</w:t>
            </w:r>
          </w:p>
          <w:p w:rsidR="009142AE" w:rsidRPr="00B013ED" w:rsidRDefault="009142AE" w:rsidP="00497C4B">
            <w:pPr>
              <w:numPr>
                <w:ilvl w:val="0"/>
                <w:numId w:val="31"/>
              </w:numPr>
              <w:tabs>
                <w:tab w:val="left" w:pos="540"/>
                <w:tab w:val="right" w:pos="8505"/>
              </w:tabs>
              <w:spacing w:after="0" w:line="360" w:lineRule="auto"/>
              <w:rPr>
                <w:rFonts w:cstheme="minorBidi"/>
              </w:rPr>
            </w:pPr>
            <w:r w:rsidRPr="00B013ED">
              <w:rPr>
                <w:rFonts w:cstheme="minorBidi"/>
              </w:rPr>
              <w:t>EMBASE databases ; the Excerpta Medica Database (EMBASE), EMBASE Drugs and Pharmacology (EMDP), and EMBASE Psychiatry (EMPS)</w:t>
            </w:r>
          </w:p>
          <w:p w:rsidR="00EA5510" w:rsidRPr="00BF2D74" w:rsidRDefault="009142AE" w:rsidP="00497C4B">
            <w:pPr>
              <w:numPr>
                <w:ilvl w:val="0"/>
                <w:numId w:val="31"/>
              </w:numPr>
              <w:tabs>
                <w:tab w:val="left" w:pos="540"/>
                <w:tab w:val="right" w:pos="8505"/>
              </w:tabs>
              <w:spacing w:after="0" w:line="360" w:lineRule="auto"/>
              <w:rPr>
                <w:rFonts w:cstheme="minorBidi"/>
              </w:rPr>
            </w:pPr>
            <w:r w:rsidRPr="00B013ED">
              <w:rPr>
                <w:rFonts w:cstheme="minorBidi"/>
              </w:rPr>
              <w:t xml:space="preserve">Index to Scientific and Technical Proceedings </w:t>
            </w:r>
          </w:p>
        </w:tc>
        <w:tc>
          <w:tcPr>
            <w:tcW w:w="4268" w:type="dxa"/>
          </w:tcPr>
          <w:p w:rsidR="009142AE" w:rsidRPr="00B013ED" w:rsidRDefault="009142AE" w:rsidP="00497C4B">
            <w:pPr>
              <w:numPr>
                <w:ilvl w:val="0"/>
                <w:numId w:val="31"/>
              </w:numPr>
              <w:tabs>
                <w:tab w:val="left" w:pos="540"/>
                <w:tab w:val="right" w:pos="8505"/>
              </w:tabs>
              <w:spacing w:after="0" w:line="360" w:lineRule="auto"/>
              <w:rPr>
                <w:rFonts w:cstheme="minorBidi"/>
              </w:rPr>
            </w:pPr>
            <w:r w:rsidRPr="00B013ED">
              <w:rPr>
                <w:rFonts w:cstheme="minorBidi"/>
              </w:rPr>
              <w:t>National Library of Medicine - Toxnet (http://toxnet.nlm.nih.gov).</w:t>
            </w:r>
          </w:p>
          <w:p w:rsidR="009142AE" w:rsidRPr="00B013ED" w:rsidRDefault="009142AE" w:rsidP="00497C4B">
            <w:pPr>
              <w:numPr>
                <w:ilvl w:val="0"/>
                <w:numId w:val="31"/>
              </w:numPr>
              <w:tabs>
                <w:tab w:val="left" w:pos="540"/>
                <w:tab w:val="right" w:pos="8505"/>
              </w:tabs>
              <w:spacing w:after="0" w:line="360" w:lineRule="auto"/>
              <w:rPr>
                <w:rFonts w:eastAsia="Batang" w:cstheme="minorBidi"/>
              </w:rPr>
            </w:pPr>
            <w:r w:rsidRPr="00B013ED">
              <w:rPr>
                <w:rFonts w:cstheme="minorBidi"/>
              </w:rPr>
              <w:t>Ovid MEDLINE(R) (1966 to date)</w:t>
            </w:r>
          </w:p>
          <w:p w:rsidR="009142AE" w:rsidRPr="00B013ED" w:rsidRDefault="009142AE" w:rsidP="00497C4B">
            <w:pPr>
              <w:numPr>
                <w:ilvl w:val="0"/>
                <w:numId w:val="31"/>
              </w:numPr>
              <w:tabs>
                <w:tab w:val="left" w:pos="540"/>
                <w:tab w:val="right" w:pos="8505"/>
              </w:tabs>
              <w:spacing w:after="0" w:line="360" w:lineRule="auto"/>
              <w:rPr>
                <w:rFonts w:cstheme="minorBidi"/>
              </w:rPr>
            </w:pPr>
            <w:r w:rsidRPr="00B013ED">
              <w:rPr>
                <w:rFonts w:cstheme="minorBidi"/>
              </w:rPr>
              <w:t xml:space="preserve">Ovid MEDLINE(R) (daily update) </w:t>
            </w:r>
          </w:p>
          <w:p w:rsidR="009142AE" w:rsidRPr="00B013ED" w:rsidRDefault="009142AE" w:rsidP="00497C4B">
            <w:pPr>
              <w:numPr>
                <w:ilvl w:val="0"/>
                <w:numId w:val="31"/>
              </w:numPr>
              <w:tabs>
                <w:tab w:val="left" w:pos="540"/>
                <w:tab w:val="right" w:pos="8505"/>
              </w:tabs>
              <w:spacing w:after="0" w:line="360" w:lineRule="auto"/>
              <w:rPr>
                <w:rFonts w:eastAsia="Batang" w:cstheme="minorBidi"/>
              </w:rPr>
            </w:pPr>
            <w:r w:rsidRPr="00B013ED">
              <w:rPr>
                <w:rFonts w:cstheme="minorBidi"/>
              </w:rPr>
              <w:t>Ovid MEDLINE(R) in-process, other non-indexed citations</w:t>
            </w:r>
          </w:p>
          <w:p w:rsidR="009142AE" w:rsidRPr="00B013ED" w:rsidRDefault="009142AE" w:rsidP="00497C4B">
            <w:pPr>
              <w:numPr>
                <w:ilvl w:val="0"/>
                <w:numId w:val="31"/>
              </w:numPr>
              <w:tabs>
                <w:tab w:val="left" w:pos="540"/>
                <w:tab w:val="right" w:pos="8505"/>
              </w:tabs>
              <w:spacing w:after="0" w:line="360" w:lineRule="auto"/>
              <w:rPr>
                <w:rFonts w:eastAsia="Batang" w:cstheme="minorBidi"/>
              </w:rPr>
            </w:pPr>
            <w:r w:rsidRPr="00B013ED">
              <w:rPr>
                <w:rFonts w:cstheme="minorBidi"/>
              </w:rPr>
              <w:t xml:space="preserve">Science Citation Index Expanded </w:t>
            </w:r>
          </w:p>
          <w:p w:rsidR="009142AE" w:rsidRPr="00B013ED" w:rsidRDefault="009142AE" w:rsidP="00497C4B">
            <w:pPr>
              <w:numPr>
                <w:ilvl w:val="0"/>
                <w:numId w:val="31"/>
              </w:numPr>
              <w:tabs>
                <w:tab w:val="left" w:pos="540"/>
                <w:tab w:val="right" w:pos="8505"/>
              </w:tabs>
              <w:spacing w:after="0" w:line="360" w:lineRule="auto"/>
              <w:rPr>
                <w:rFonts w:eastAsia="Batang" w:cstheme="minorBidi"/>
              </w:rPr>
            </w:pPr>
            <w:r w:rsidRPr="00B013ED">
              <w:rPr>
                <w:rFonts w:cstheme="minorBidi"/>
              </w:rPr>
              <w:t xml:space="preserve">Social Science Citation Index </w:t>
            </w:r>
          </w:p>
          <w:p w:rsidR="009142AE" w:rsidRPr="00B013ED" w:rsidRDefault="009142AE" w:rsidP="00497C4B">
            <w:pPr>
              <w:numPr>
                <w:ilvl w:val="0"/>
                <w:numId w:val="31"/>
              </w:numPr>
              <w:tabs>
                <w:tab w:val="left" w:pos="540"/>
                <w:tab w:val="right" w:pos="8505"/>
              </w:tabs>
              <w:spacing w:after="0" w:line="360" w:lineRule="auto"/>
              <w:rPr>
                <w:rFonts w:eastAsia="Batang" w:cstheme="minorBidi"/>
              </w:rPr>
            </w:pPr>
            <w:r w:rsidRPr="00B013ED">
              <w:rPr>
                <w:rFonts w:cstheme="minorBidi"/>
              </w:rPr>
              <w:t>System for Information on Grey Literature in Europe</w:t>
            </w:r>
          </w:p>
        </w:tc>
      </w:tr>
    </w:tbl>
    <w:p w:rsidR="00BF6349" w:rsidRDefault="00BF6349">
      <w:pPr>
        <w:rPr>
          <w:rFonts w:eastAsiaTheme="majorEastAsia"/>
          <w:b/>
          <w:bCs/>
          <w:sz w:val="28"/>
          <w:szCs w:val="26"/>
        </w:rPr>
      </w:pPr>
      <w:bookmarkStart w:id="16" w:name="_Toc359995728"/>
      <w:r>
        <w:br w:type="page"/>
      </w:r>
    </w:p>
    <w:p w:rsidR="009142AE" w:rsidRPr="00B013ED" w:rsidRDefault="009142AE" w:rsidP="001A70AA">
      <w:pPr>
        <w:pStyle w:val="Heading3"/>
        <w:spacing w:line="480" w:lineRule="auto"/>
      </w:pPr>
      <w:bookmarkStart w:id="17" w:name="_Toc370819185"/>
      <w:r w:rsidRPr="00B013ED">
        <w:lastRenderedPageBreak/>
        <w:t>Hand search strategy</w:t>
      </w:r>
      <w:bookmarkEnd w:id="16"/>
      <w:bookmarkEnd w:id="17"/>
    </w:p>
    <w:p w:rsidR="009142AE" w:rsidRPr="00B013ED" w:rsidRDefault="009142AE" w:rsidP="005F2E98">
      <w:pPr>
        <w:tabs>
          <w:tab w:val="right" w:pos="8505"/>
        </w:tabs>
        <w:spacing w:line="480" w:lineRule="auto"/>
        <w:jc w:val="both"/>
        <w:rPr>
          <w:rFonts w:cstheme="minorBidi"/>
        </w:rPr>
      </w:pPr>
      <w:r w:rsidRPr="00B013ED">
        <w:rPr>
          <w:rFonts w:cstheme="minorBidi"/>
        </w:rPr>
        <w:t xml:space="preserve">Hand searching involved a manual page-by-page examination of the entire contents of a journal issue to identify all eligible reports of trials, whether they appear in articles, abstracts, news columns, editorials, letters or other text. Hand searching health care journals is a necessary adjunct to searching electronic databases for at least two reasons: 1) not all trial reports are included on electronic bibliographic databases, and 2) even when they are included, they may not be indexed with terms that allow them to be easily identified as trials. </w:t>
      </w:r>
    </w:p>
    <w:p w:rsidR="009142AE" w:rsidRPr="00B013ED" w:rsidRDefault="009142AE" w:rsidP="005F2E98">
      <w:pPr>
        <w:tabs>
          <w:tab w:val="right" w:pos="8505"/>
        </w:tabs>
        <w:spacing w:line="480" w:lineRule="auto"/>
        <w:jc w:val="both"/>
        <w:rPr>
          <w:rFonts w:cstheme="minorBidi"/>
        </w:rPr>
      </w:pPr>
      <w:r w:rsidRPr="00B013ED">
        <w:rPr>
          <w:rFonts w:cstheme="minorBidi"/>
        </w:rPr>
        <w:t>Hopewell</w:t>
      </w:r>
      <w:r w:rsidR="00BF2D74">
        <w:rPr>
          <w:rFonts w:cstheme="minorBidi"/>
        </w:rPr>
        <w:t>,</w:t>
      </w:r>
      <w:r w:rsidRPr="00B013ED">
        <w:rPr>
          <w:rFonts w:cstheme="minorBidi"/>
        </w:rPr>
        <w:t xml:space="preserve"> (2002) has found that a combination of hand searching and electronic searching is necessary for full identification of relevant reports published in journals that are indexed in MEDLINE, especially for articles published before 1991 when the NLM system for indexing trial reports was not as well developed as it is today and for those articles that are in parts of journals (such as supplements and correspondence) wh</w:t>
      </w:r>
      <w:r w:rsidR="00BF2D74">
        <w:rPr>
          <w:rFonts w:cstheme="minorBidi"/>
        </w:rPr>
        <w:t>ich are not indexed in MEDLINE.</w:t>
      </w:r>
    </w:p>
    <w:p w:rsidR="009142AE" w:rsidRPr="00B013ED" w:rsidRDefault="009142AE" w:rsidP="005F2E98">
      <w:pPr>
        <w:spacing w:line="480" w:lineRule="auto"/>
        <w:jc w:val="both"/>
      </w:pPr>
      <w:r w:rsidRPr="00B013ED">
        <w:t>Key journals that have been searched as part of the Cochrane journal hand searching programme were consulted. There are almost 2200 journals which have been, or are being, searched within the Cochrane collaboration, and are included in a Master List of hand searched journals. "Stand-alone" conference proceedings being searched are also included in this list. The Master List of Journals &amp; Conference Proceedings was checked for all relevant reports of randomised controlled trials and associated material through the Cochrane Central Register of Controlled Trials</w:t>
      </w:r>
      <w:r w:rsidR="00BF2D74">
        <w:t xml:space="preserve"> (CENTRAL).</w:t>
      </w:r>
    </w:p>
    <w:p w:rsidR="009142AE" w:rsidRPr="00BE5CC2" w:rsidRDefault="009142AE" w:rsidP="001A70AA">
      <w:pPr>
        <w:pStyle w:val="Heading3"/>
        <w:spacing w:line="480" w:lineRule="auto"/>
      </w:pPr>
      <w:bookmarkStart w:id="18" w:name="_Toc370819186"/>
      <w:r w:rsidRPr="00B013ED">
        <w:lastRenderedPageBreak/>
        <w:t>The key journals that have been identified were as follows:</w:t>
      </w:r>
      <w:bookmarkEnd w:id="18"/>
    </w:p>
    <w:tbl>
      <w:tblPr>
        <w:tblW w:w="0" w:type="auto"/>
        <w:tblLook w:val="0000" w:firstRow="0" w:lastRow="0" w:firstColumn="0" w:lastColumn="0" w:noHBand="0" w:noVBand="0"/>
      </w:tblPr>
      <w:tblGrid>
        <w:gridCol w:w="3980"/>
        <w:gridCol w:w="4576"/>
      </w:tblGrid>
      <w:tr w:rsidR="009142AE" w:rsidRPr="00497C4B" w:rsidTr="007B6AF6">
        <w:trPr>
          <w:trHeight w:val="5512"/>
        </w:trPr>
        <w:tc>
          <w:tcPr>
            <w:tcW w:w="4077" w:type="dxa"/>
          </w:tcPr>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A.S.D.C. Journal of Dentistry for Children</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Acta Odontologica Scandinavia</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American Journal of Dentistry</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Australian Endododontic Journal</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British Dental Journal</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Dental Traumatology</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European Journal of Paediatric Dentistry</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International Dental Journal</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International Endodontic Journal</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International Journal of Paediatric Dentistry</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Journal of Clinical Dentistry</w:t>
            </w:r>
          </w:p>
          <w:p w:rsidR="009142AE" w:rsidRPr="00497C4B" w:rsidRDefault="009142AE" w:rsidP="00497C4B">
            <w:pPr>
              <w:spacing w:line="360" w:lineRule="auto"/>
              <w:rPr>
                <w:szCs w:val="24"/>
              </w:rPr>
            </w:pPr>
            <w:r w:rsidRPr="00497C4B">
              <w:rPr>
                <w:szCs w:val="24"/>
              </w:rPr>
              <w:t>Journal of Clinical Paediatric Dentistry</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Journal of Dental Research</w:t>
            </w:r>
          </w:p>
          <w:p w:rsidR="009142AE" w:rsidRPr="00497C4B" w:rsidRDefault="009142AE" w:rsidP="00497C4B">
            <w:pPr>
              <w:tabs>
                <w:tab w:val="right" w:pos="8505"/>
              </w:tabs>
              <w:spacing w:before="120" w:line="360" w:lineRule="auto"/>
              <w:ind w:left="284"/>
              <w:rPr>
                <w:rFonts w:cstheme="minorBidi"/>
                <w:szCs w:val="24"/>
              </w:rPr>
            </w:pPr>
          </w:p>
        </w:tc>
        <w:tc>
          <w:tcPr>
            <w:tcW w:w="4693" w:type="dxa"/>
          </w:tcPr>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Journal of Dentistry</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Journal of Dentistry for Children</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Journal of Endodontics</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Journal of Paediatric Dentistry</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Journal of the American Dental Association</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Journal of the British Dental Association</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Journal of the British Endodontic Society</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Oral Surgery, Oral Medicine, Oral Pathology, Oral Radiology, and Endodontics</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Paediatric Dentistry</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Proceedings of the British Paedodontic Society</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Quintessence International</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Scandinavian Journal of Dental research</w:t>
            </w:r>
          </w:p>
          <w:p w:rsidR="009142AE" w:rsidRPr="00497C4B" w:rsidRDefault="009142AE" w:rsidP="00497C4B">
            <w:pPr>
              <w:numPr>
                <w:ilvl w:val="0"/>
                <w:numId w:val="32"/>
              </w:numPr>
              <w:tabs>
                <w:tab w:val="right" w:pos="8505"/>
              </w:tabs>
              <w:spacing w:before="120" w:after="120" w:line="360" w:lineRule="auto"/>
              <w:rPr>
                <w:rFonts w:cstheme="minorBidi"/>
                <w:szCs w:val="24"/>
              </w:rPr>
            </w:pPr>
            <w:r w:rsidRPr="00497C4B">
              <w:rPr>
                <w:rFonts w:cstheme="minorBidi"/>
                <w:szCs w:val="24"/>
              </w:rPr>
              <w:t>The Review of Dentistry for Children</w:t>
            </w:r>
          </w:p>
        </w:tc>
      </w:tr>
    </w:tbl>
    <w:p w:rsidR="00497C4B" w:rsidRDefault="00497C4B" w:rsidP="005F2E98">
      <w:pPr>
        <w:spacing w:line="480" w:lineRule="auto"/>
        <w:jc w:val="both"/>
      </w:pPr>
    </w:p>
    <w:p w:rsidR="009142AE" w:rsidRPr="00B013ED" w:rsidRDefault="009142AE" w:rsidP="005F2E98">
      <w:pPr>
        <w:spacing w:line="480" w:lineRule="auto"/>
        <w:jc w:val="both"/>
      </w:pPr>
      <w:r w:rsidRPr="00B013ED">
        <w:t>Additional hand searching was performed for the volumes and issues of the identified key journals that are still being searched and not yet completed. The University of Leeds Health Science Library databases and journals were searched to:</w:t>
      </w:r>
    </w:p>
    <w:p w:rsidR="009142AE" w:rsidRPr="00B013ED" w:rsidRDefault="009142AE" w:rsidP="005F2E98">
      <w:pPr>
        <w:numPr>
          <w:ilvl w:val="0"/>
          <w:numId w:val="30"/>
        </w:numPr>
        <w:tabs>
          <w:tab w:val="right" w:pos="8505"/>
        </w:tabs>
        <w:spacing w:after="0" w:line="480" w:lineRule="auto"/>
        <w:jc w:val="both"/>
        <w:rPr>
          <w:rFonts w:cstheme="minorBidi"/>
        </w:rPr>
      </w:pPr>
      <w:r w:rsidRPr="00B013ED">
        <w:rPr>
          <w:rFonts w:cstheme="minorBidi"/>
        </w:rPr>
        <w:lastRenderedPageBreak/>
        <w:t>Identify the key articles as well as using citation databases to search for any paper that cite</w:t>
      </w:r>
      <w:r w:rsidR="009E6C42">
        <w:rPr>
          <w:rFonts w:cstheme="minorBidi"/>
        </w:rPr>
        <w:t>d</w:t>
      </w:r>
      <w:r w:rsidRPr="00B013ED">
        <w:rPr>
          <w:rFonts w:cstheme="minorBidi"/>
        </w:rPr>
        <w:t xml:space="preserve"> a seminal article.</w:t>
      </w:r>
    </w:p>
    <w:p w:rsidR="009142AE" w:rsidRPr="00B013ED" w:rsidRDefault="009142AE" w:rsidP="005F2E98">
      <w:pPr>
        <w:numPr>
          <w:ilvl w:val="0"/>
          <w:numId w:val="29"/>
        </w:numPr>
        <w:tabs>
          <w:tab w:val="right" w:pos="8505"/>
        </w:tabs>
        <w:spacing w:after="0" w:line="480" w:lineRule="auto"/>
        <w:jc w:val="both"/>
        <w:rPr>
          <w:rFonts w:cstheme="minorBidi"/>
        </w:rPr>
      </w:pPr>
      <w:r w:rsidRPr="00B013ED">
        <w:rPr>
          <w:rFonts w:cstheme="minorBidi"/>
        </w:rPr>
        <w:t>Identify authors or institutions working in this particular topic area and to search for papers originating from these sources.</w:t>
      </w:r>
    </w:p>
    <w:p w:rsidR="009142AE" w:rsidRPr="00313233" w:rsidRDefault="009142AE" w:rsidP="00313233">
      <w:pPr>
        <w:numPr>
          <w:ilvl w:val="0"/>
          <w:numId w:val="29"/>
        </w:numPr>
        <w:tabs>
          <w:tab w:val="right" w:pos="8505"/>
        </w:tabs>
        <w:spacing w:after="0" w:line="480" w:lineRule="auto"/>
        <w:jc w:val="both"/>
        <w:rPr>
          <w:rFonts w:cstheme="minorBidi"/>
        </w:rPr>
      </w:pPr>
      <w:r w:rsidRPr="00B013ED">
        <w:rPr>
          <w:rFonts w:cstheme="minorBidi"/>
        </w:rPr>
        <w:t>Check all the references at the end of relevant articles or manually search through printed indexes, bibliographies or issues of relevant journals.</w:t>
      </w:r>
    </w:p>
    <w:p w:rsidR="009142AE" w:rsidRPr="00B013ED" w:rsidRDefault="009142AE" w:rsidP="001A70AA">
      <w:pPr>
        <w:pStyle w:val="Heading3"/>
        <w:spacing w:line="480" w:lineRule="auto"/>
        <w:rPr>
          <w:rFonts w:cstheme="minorBidi"/>
        </w:rPr>
      </w:pPr>
      <w:bookmarkStart w:id="19" w:name="_Toc359995729"/>
      <w:bookmarkStart w:id="20" w:name="_Toc370819187"/>
      <w:r w:rsidRPr="00B013ED">
        <w:t>Personal contacts</w:t>
      </w:r>
      <w:bookmarkEnd w:id="19"/>
      <w:bookmarkEnd w:id="20"/>
      <w:r w:rsidRPr="00B013ED" w:rsidDel="004164C1">
        <w:t xml:space="preserve"> </w:t>
      </w:r>
    </w:p>
    <w:p w:rsidR="009142AE" w:rsidRPr="00B013ED" w:rsidRDefault="009142AE" w:rsidP="005F2E98">
      <w:pPr>
        <w:tabs>
          <w:tab w:val="right" w:pos="8505"/>
        </w:tabs>
        <w:spacing w:line="480" w:lineRule="auto"/>
        <w:jc w:val="both"/>
        <w:rPr>
          <w:rFonts w:cstheme="minorBidi"/>
        </w:rPr>
      </w:pPr>
      <w:r w:rsidRPr="00B013ED">
        <w:rPr>
          <w:rFonts w:cstheme="minorBidi"/>
        </w:rPr>
        <w:t>Personal communication via e-mail correspondence was initiated with the author(s) of the identified relevant studies in an attempt to identify ongoing, unpublished or unlisted studies that may be eligible for inclusion in this review.</w:t>
      </w:r>
    </w:p>
    <w:p w:rsidR="009142AE" w:rsidRPr="00B013ED" w:rsidRDefault="009142AE" w:rsidP="005F2E98">
      <w:pPr>
        <w:tabs>
          <w:tab w:val="right" w:pos="8505"/>
        </w:tabs>
        <w:spacing w:line="480" w:lineRule="auto"/>
        <w:jc w:val="both"/>
        <w:rPr>
          <w:rFonts w:cstheme="minorBidi"/>
        </w:rPr>
      </w:pPr>
      <w:r w:rsidRPr="00B013ED">
        <w:rPr>
          <w:rFonts w:cstheme="minorBidi"/>
        </w:rPr>
        <w:t xml:space="preserve">A list of these relevant articles along with the inclusion criteria for the review was sent to the first author of reports for included studies, asking if they know of any additional studies (published or unpublished) that might be relevant. The same correspondence was sent to other experts and others with an interest in the area. </w:t>
      </w:r>
    </w:p>
    <w:p w:rsidR="009142AE" w:rsidRPr="00B013ED" w:rsidRDefault="009142AE" w:rsidP="005F2E98">
      <w:pPr>
        <w:tabs>
          <w:tab w:val="right" w:pos="8505"/>
        </w:tabs>
        <w:spacing w:line="480" w:lineRule="auto"/>
        <w:jc w:val="both"/>
        <w:rPr>
          <w:rFonts w:cstheme="minorBidi"/>
        </w:rPr>
      </w:pPr>
      <w:r w:rsidRPr="00B013ED">
        <w:rPr>
          <w:rFonts w:cstheme="minorBidi"/>
        </w:rPr>
        <w:t>The manufacturers of dental materials were contacted to obtain information on relevant published or unpublished studies that may have involved the materials that they manufacture. Companies were also asked for reference lists that contain studies on dental materials that are used in inducing a calcific barrier and root strengthening procedures.</w:t>
      </w:r>
    </w:p>
    <w:p w:rsidR="009142AE" w:rsidRPr="00B013ED" w:rsidRDefault="009142AE" w:rsidP="001A70AA">
      <w:pPr>
        <w:pStyle w:val="Heading3"/>
        <w:spacing w:line="480" w:lineRule="auto"/>
      </w:pPr>
      <w:bookmarkStart w:id="21" w:name="_Toc359995730"/>
      <w:bookmarkStart w:id="22" w:name="_Toc370819188"/>
      <w:r w:rsidRPr="00B013ED">
        <w:t>Study selection process</w:t>
      </w:r>
      <w:bookmarkEnd w:id="21"/>
      <w:bookmarkEnd w:id="22"/>
    </w:p>
    <w:p w:rsidR="009142AE" w:rsidRPr="00B013ED" w:rsidRDefault="009142AE" w:rsidP="0005117A">
      <w:pPr>
        <w:tabs>
          <w:tab w:val="right" w:pos="8505"/>
        </w:tabs>
        <w:spacing w:line="480" w:lineRule="auto"/>
        <w:jc w:val="both"/>
        <w:rPr>
          <w:rFonts w:cstheme="minorBidi"/>
        </w:rPr>
      </w:pPr>
      <w:r w:rsidRPr="00B013ED">
        <w:rPr>
          <w:rFonts w:cstheme="minorBidi"/>
        </w:rPr>
        <w:t xml:space="preserve">All reports identified electronically by the search strategy were scanned on the basis of the title, keywords and abstract to exclude reports that </w:t>
      </w:r>
      <w:r w:rsidR="009E6C42">
        <w:rPr>
          <w:rFonts w:cstheme="minorBidi"/>
        </w:rPr>
        <w:t>we</w:t>
      </w:r>
      <w:r w:rsidRPr="00B013ED">
        <w:rPr>
          <w:rFonts w:cstheme="minorBidi"/>
        </w:rPr>
        <w:t>re non</w:t>
      </w:r>
      <w:r w:rsidR="009E6C42">
        <w:rPr>
          <w:rFonts w:cstheme="minorBidi"/>
        </w:rPr>
        <w:t>-</w:t>
      </w:r>
      <w:r w:rsidRPr="00B013ED">
        <w:rPr>
          <w:rFonts w:cstheme="minorBidi"/>
        </w:rPr>
        <w:lastRenderedPageBreak/>
        <w:t>relevant to the review question as well as case reports, in vitro, animal studies, and retrospective studies.</w:t>
      </w:r>
    </w:p>
    <w:p w:rsidR="009142AE" w:rsidRPr="00B013ED" w:rsidRDefault="009142AE" w:rsidP="0005117A">
      <w:pPr>
        <w:tabs>
          <w:tab w:val="right" w:pos="8505"/>
        </w:tabs>
        <w:spacing w:line="480" w:lineRule="auto"/>
        <w:jc w:val="both"/>
        <w:rPr>
          <w:rFonts w:cstheme="minorBidi"/>
        </w:rPr>
      </w:pPr>
      <w:r w:rsidRPr="00B013ED">
        <w:rPr>
          <w:rFonts w:cstheme="minorBidi"/>
        </w:rPr>
        <w:t>Pilot testing of the electronically identified trials appearing to meet the inclusion criteria was independently performed by two reviewers using a sample of articles to ensure that the appraisal criteria c</w:t>
      </w:r>
      <w:r w:rsidR="009E6C42">
        <w:rPr>
          <w:rFonts w:cstheme="minorBidi"/>
        </w:rPr>
        <w:t>ould</w:t>
      </w:r>
      <w:r w:rsidRPr="00B013ED">
        <w:rPr>
          <w:rFonts w:cstheme="minorBidi"/>
        </w:rPr>
        <w:t xml:space="preserve"> be applied consistently. Six papers that span</w:t>
      </w:r>
      <w:r w:rsidR="009E6C42">
        <w:rPr>
          <w:rFonts w:cstheme="minorBidi"/>
        </w:rPr>
        <w:t>ned</w:t>
      </w:r>
      <w:r w:rsidRPr="00B013ED">
        <w:rPr>
          <w:rFonts w:cstheme="minorBidi"/>
        </w:rPr>
        <w:t xml:space="preserve"> a range of study designs were used as a sample for this.</w:t>
      </w:r>
    </w:p>
    <w:p w:rsidR="009142AE" w:rsidRPr="00B013ED" w:rsidRDefault="009142AE" w:rsidP="0005117A">
      <w:pPr>
        <w:tabs>
          <w:tab w:val="right" w:pos="8505"/>
        </w:tabs>
        <w:spacing w:line="480" w:lineRule="auto"/>
        <w:jc w:val="both"/>
        <w:rPr>
          <w:rFonts w:cstheme="minorBidi"/>
        </w:rPr>
      </w:pPr>
      <w:r w:rsidRPr="00B013ED">
        <w:rPr>
          <w:rFonts w:cstheme="minorBidi"/>
        </w:rPr>
        <w:t>Full text articles were obtained from the University of Leeds Health Science Library if the title or the abstract did not provide enough information about the study to make a decision or there was no abstract available.</w:t>
      </w:r>
    </w:p>
    <w:p w:rsidR="009142AE" w:rsidRPr="00B013ED" w:rsidRDefault="009142AE" w:rsidP="001A70AA">
      <w:pPr>
        <w:pStyle w:val="Heading3"/>
        <w:spacing w:line="480" w:lineRule="auto"/>
      </w:pPr>
      <w:bookmarkStart w:id="23" w:name="_Toc359995731"/>
      <w:bookmarkStart w:id="24" w:name="_Toc370819189"/>
      <w:r w:rsidRPr="00B013ED">
        <w:t>Criteria for considering studies</w:t>
      </w:r>
      <w:bookmarkEnd w:id="23"/>
      <w:bookmarkEnd w:id="24"/>
      <w:r w:rsidRPr="00B013ED">
        <w:t xml:space="preserve"> </w:t>
      </w:r>
    </w:p>
    <w:p w:rsidR="009142AE" w:rsidRPr="00B013ED" w:rsidRDefault="009142AE" w:rsidP="00BF2D74">
      <w:pPr>
        <w:tabs>
          <w:tab w:val="right" w:pos="8505"/>
        </w:tabs>
        <w:spacing w:line="480" w:lineRule="auto"/>
        <w:jc w:val="both"/>
        <w:rPr>
          <w:rFonts w:cstheme="minorBidi"/>
        </w:rPr>
      </w:pPr>
      <w:r w:rsidRPr="00B013ED">
        <w:rPr>
          <w:rFonts w:cstheme="minorBidi"/>
        </w:rPr>
        <w:t xml:space="preserve">The authors should make it clear that the numbers of </w:t>
      </w:r>
      <w:r w:rsidR="009E6C42" w:rsidRPr="00B013ED">
        <w:rPr>
          <w:rFonts w:cstheme="minorBidi"/>
        </w:rPr>
        <w:t xml:space="preserve">randomised controlled trials </w:t>
      </w:r>
      <w:r w:rsidRPr="00B013ED">
        <w:rPr>
          <w:rFonts w:cstheme="minorBidi"/>
        </w:rPr>
        <w:t xml:space="preserve">(RCT) in this field </w:t>
      </w:r>
      <w:r w:rsidR="009E6C42">
        <w:rPr>
          <w:rFonts w:cstheme="minorBidi"/>
        </w:rPr>
        <w:t>we</w:t>
      </w:r>
      <w:r w:rsidRPr="00B013ED">
        <w:rPr>
          <w:rFonts w:cstheme="minorBidi"/>
        </w:rPr>
        <w:t xml:space="preserve">re very few indeed.  We have tried to list other types of studies as well, but are conscious of the fact that most studies are of such poor quality that only very limited information can be derived from these.  However, when a controlled clinical trial was identified, the Cochrane methodology assessment for quality of randomised controlled trials (Higgins </w:t>
      </w:r>
      <w:r w:rsidR="007B6AF6">
        <w:rPr>
          <w:rFonts w:cstheme="minorBidi"/>
        </w:rPr>
        <w:t>and</w:t>
      </w:r>
      <w:r w:rsidRPr="00B013ED">
        <w:rPr>
          <w:rFonts w:cstheme="minorBidi"/>
        </w:rPr>
        <w:t xml:space="preserve"> Green</w:t>
      </w:r>
      <w:r w:rsidR="007B6AF6">
        <w:rPr>
          <w:rFonts w:cstheme="minorBidi"/>
        </w:rPr>
        <w:t>,</w:t>
      </w:r>
      <w:r w:rsidRPr="00B013ED">
        <w:rPr>
          <w:rFonts w:cstheme="minorBidi"/>
        </w:rPr>
        <w:t xml:space="preserve"> 2005) was used in this systematic review of interventions for </w:t>
      </w:r>
      <w:r w:rsidR="004B3418">
        <w:rPr>
          <w:rFonts w:cstheme="minorBidi"/>
        </w:rPr>
        <w:t>non-vital</w:t>
      </w:r>
      <w:r w:rsidRPr="00B013ED">
        <w:rPr>
          <w:rFonts w:cstheme="minorBidi"/>
        </w:rPr>
        <w:t xml:space="preserve"> immature teeth.  The following describes the criteria that were used for considering studies into this review.</w:t>
      </w:r>
    </w:p>
    <w:p w:rsidR="00BF6349" w:rsidRDefault="00BF6349">
      <w:pPr>
        <w:rPr>
          <w:rFonts w:eastAsiaTheme="majorEastAsia"/>
          <w:b/>
          <w:bCs/>
          <w:sz w:val="28"/>
          <w:szCs w:val="26"/>
        </w:rPr>
      </w:pPr>
      <w:bookmarkStart w:id="25" w:name="_Toc359995732"/>
      <w:r>
        <w:br w:type="page"/>
      </w:r>
    </w:p>
    <w:p w:rsidR="009142AE" w:rsidRPr="00B013ED" w:rsidRDefault="009142AE" w:rsidP="001A70AA">
      <w:pPr>
        <w:pStyle w:val="Heading3"/>
        <w:spacing w:line="480" w:lineRule="auto"/>
      </w:pPr>
      <w:bookmarkStart w:id="26" w:name="_Toc370819190"/>
      <w:r w:rsidRPr="00B013ED">
        <w:lastRenderedPageBreak/>
        <w:t>Types of studies</w:t>
      </w:r>
      <w:bookmarkEnd w:id="25"/>
      <w:bookmarkEnd w:id="26"/>
    </w:p>
    <w:p w:rsidR="009142AE" w:rsidRPr="00B013ED" w:rsidRDefault="009142AE" w:rsidP="00E67E7F">
      <w:pPr>
        <w:numPr>
          <w:ilvl w:val="0"/>
          <w:numId w:val="45"/>
        </w:numPr>
        <w:tabs>
          <w:tab w:val="right" w:pos="8505"/>
        </w:tabs>
        <w:spacing w:after="0" w:line="480" w:lineRule="auto"/>
        <w:jc w:val="both"/>
        <w:rPr>
          <w:rFonts w:cstheme="minorBidi"/>
        </w:rPr>
      </w:pPr>
      <w:r w:rsidRPr="00B013ED">
        <w:rPr>
          <w:rFonts w:cstheme="minorBidi"/>
        </w:rPr>
        <w:t xml:space="preserve">Randomised controlled trials that assess the effectiveness of one or more methods of inducing an apical barrier in traumatised non-vital immature permanent front teeth (since 1966 up to date, which were </w:t>
      </w:r>
      <w:r w:rsidR="009E6C42">
        <w:rPr>
          <w:rFonts w:cstheme="minorBidi"/>
        </w:rPr>
        <w:t>performed</w:t>
      </w:r>
      <w:r w:rsidR="009E6C42" w:rsidRPr="00B013ED">
        <w:rPr>
          <w:rFonts w:cstheme="minorBidi"/>
        </w:rPr>
        <w:t xml:space="preserve"> </w:t>
      </w:r>
      <w:r w:rsidRPr="00B013ED">
        <w:rPr>
          <w:rFonts w:cstheme="minorBidi"/>
        </w:rPr>
        <w:t>on human subjects) with at least 12 months follow-up period.</w:t>
      </w:r>
    </w:p>
    <w:p w:rsidR="009142AE" w:rsidRPr="00B013ED" w:rsidRDefault="009142AE" w:rsidP="007846DE">
      <w:pPr>
        <w:pStyle w:val="Heading4"/>
        <w:spacing w:line="480" w:lineRule="auto"/>
        <w:jc w:val="both"/>
      </w:pPr>
      <w:bookmarkStart w:id="27" w:name="_Toc359995733"/>
      <w:r w:rsidRPr="00B013ED">
        <w:t>Types of participants</w:t>
      </w:r>
      <w:bookmarkEnd w:id="27"/>
    </w:p>
    <w:p w:rsidR="009142AE" w:rsidRPr="00B013ED" w:rsidRDefault="009142AE" w:rsidP="003B5B75">
      <w:pPr>
        <w:numPr>
          <w:ilvl w:val="0"/>
          <w:numId w:val="33"/>
        </w:numPr>
        <w:tabs>
          <w:tab w:val="right" w:pos="8505"/>
        </w:tabs>
        <w:spacing w:after="0" w:line="480" w:lineRule="auto"/>
        <w:jc w:val="both"/>
        <w:rPr>
          <w:rFonts w:cstheme="minorBidi"/>
        </w:rPr>
      </w:pPr>
      <w:r w:rsidRPr="00B013ED">
        <w:rPr>
          <w:rFonts w:cstheme="minorBidi"/>
        </w:rPr>
        <w:t>All patients presenting with non-vital immature open apex permanent anterior front teeth as a result of any type of trauma in all age ranges requiring root canal treatment due to any signs or symptoms related to these teeth. The diagnosis of pulp status in traumatised teeth can be difficult. This has been demonstrated in laser Doppler studies, where the pulp has been shown to be healthy but the tooth has not responded to traditional sensibility tests (Gazelius 1988). The diagnosis of non-vital immature teeth should depend on trauma history (including previous episodes of trauma) as well as one or more clinical signs and symptoms (abscess formation, sinus tracts), sensibility testing or radiographic evidence of arrested root development or pulp necrosis.</w:t>
      </w:r>
    </w:p>
    <w:p w:rsidR="009142AE" w:rsidRPr="00BF2D74" w:rsidRDefault="009142AE" w:rsidP="00BF2D74">
      <w:pPr>
        <w:numPr>
          <w:ilvl w:val="0"/>
          <w:numId w:val="33"/>
        </w:numPr>
        <w:tabs>
          <w:tab w:val="right" w:pos="8505"/>
        </w:tabs>
        <w:spacing w:after="0" w:line="480" w:lineRule="auto"/>
        <w:jc w:val="both"/>
        <w:rPr>
          <w:rFonts w:cstheme="minorBidi"/>
        </w:rPr>
      </w:pPr>
      <w:r w:rsidRPr="00B013ED">
        <w:rPr>
          <w:rFonts w:cstheme="minorBidi"/>
        </w:rPr>
        <w:t>All patients presenting for root canal obturation following any of the procedures used for inducing an apical barrier in traumatised non-vital immature permanent front teeth.</w:t>
      </w:r>
    </w:p>
    <w:p w:rsidR="00BF2D74" w:rsidRDefault="00BF2D74">
      <w:pPr>
        <w:rPr>
          <w:rFonts w:eastAsiaTheme="majorEastAsia" w:cstheme="majorBidi"/>
          <w:b/>
          <w:bCs/>
          <w:iCs/>
        </w:rPr>
      </w:pPr>
      <w:bookmarkStart w:id="28" w:name="_Toc359995734"/>
      <w:r>
        <w:br w:type="page"/>
      </w:r>
    </w:p>
    <w:p w:rsidR="009142AE" w:rsidRPr="00B013ED" w:rsidRDefault="009142AE" w:rsidP="001A70AA">
      <w:pPr>
        <w:pStyle w:val="Heading4"/>
        <w:spacing w:line="480" w:lineRule="auto"/>
      </w:pPr>
      <w:r w:rsidRPr="00B013ED">
        <w:lastRenderedPageBreak/>
        <w:t>Types of interventions</w:t>
      </w:r>
      <w:bookmarkEnd w:id="28"/>
    </w:p>
    <w:p w:rsidR="009142AE" w:rsidRPr="00B013ED" w:rsidRDefault="009142AE" w:rsidP="001A70AA">
      <w:pPr>
        <w:tabs>
          <w:tab w:val="right" w:pos="8505"/>
        </w:tabs>
        <w:spacing w:after="0" w:line="480" w:lineRule="auto"/>
        <w:jc w:val="both"/>
        <w:rPr>
          <w:rFonts w:cstheme="minorBidi"/>
        </w:rPr>
      </w:pPr>
      <w:r w:rsidRPr="00B013ED">
        <w:rPr>
          <w:rFonts w:cstheme="minorBidi"/>
        </w:rPr>
        <w:t>All techniques for inducing an apical barrier in traumatised non-vital immature permanent front teeth, including apexification and apical plug formation compared to control groups, use of MTA, the use of RET or where there was no attempt to induce an apical barrier and a conventional root canal obturation was performed.</w:t>
      </w:r>
    </w:p>
    <w:p w:rsidR="009142AE" w:rsidRPr="00B013ED" w:rsidRDefault="009142AE" w:rsidP="001A70AA">
      <w:pPr>
        <w:pStyle w:val="Heading4"/>
        <w:spacing w:line="480" w:lineRule="auto"/>
      </w:pPr>
      <w:bookmarkStart w:id="29" w:name="_Toc359995735"/>
      <w:r w:rsidRPr="00B013ED">
        <w:t>Types of outcome measures</w:t>
      </w:r>
      <w:bookmarkEnd w:id="29"/>
    </w:p>
    <w:p w:rsidR="009142AE" w:rsidRPr="00B013ED" w:rsidRDefault="009142AE" w:rsidP="00E67E7F">
      <w:pPr>
        <w:numPr>
          <w:ilvl w:val="0"/>
          <w:numId w:val="34"/>
        </w:numPr>
        <w:tabs>
          <w:tab w:val="right" w:pos="8505"/>
        </w:tabs>
        <w:spacing w:after="0" w:line="480" w:lineRule="auto"/>
        <w:jc w:val="both"/>
        <w:rPr>
          <w:rFonts w:cstheme="minorBidi"/>
        </w:rPr>
      </w:pPr>
      <w:r w:rsidRPr="00B013ED">
        <w:rPr>
          <w:rFonts w:cstheme="minorBidi"/>
        </w:rPr>
        <w:t>The main outcome measures concerning the patient and parents were the long-term success (aesthetics and function) and freedom from symptoms (pain and discomfort).</w:t>
      </w:r>
    </w:p>
    <w:p w:rsidR="009142AE" w:rsidRDefault="009142AE" w:rsidP="00E67E7F">
      <w:pPr>
        <w:numPr>
          <w:ilvl w:val="0"/>
          <w:numId w:val="34"/>
        </w:numPr>
        <w:tabs>
          <w:tab w:val="right" w:pos="8505"/>
        </w:tabs>
        <w:spacing w:after="0" w:line="480" w:lineRule="auto"/>
        <w:jc w:val="both"/>
        <w:rPr>
          <w:rFonts w:cstheme="minorBidi"/>
        </w:rPr>
      </w:pPr>
      <w:r w:rsidRPr="00B013ED">
        <w:rPr>
          <w:rFonts w:cstheme="minorBidi"/>
        </w:rPr>
        <w:t>For comparison of different methods of inducing an apical barrier, apexification was compared to apical plug techniques and both techniques were compared to no treatment (conventional root canal obturation or no treatment at all), the primary outcome measure was the proportion of teeth that were symptom</w:t>
      </w:r>
      <w:r w:rsidR="009E6C42">
        <w:rPr>
          <w:rFonts w:cstheme="minorBidi"/>
        </w:rPr>
        <w:t>-</w:t>
      </w:r>
      <w:r w:rsidRPr="00B013ED">
        <w:rPr>
          <w:rFonts w:cstheme="minorBidi"/>
        </w:rPr>
        <w:t xml:space="preserve">free for at least 12 months after treatment. The secondary outcome measure was the total duration of treatment time to achieve an apical barrier. </w:t>
      </w:r>
    </w:p>
    <w:p w:rsidR="00245AAC" w:rsidRPr="00B013ED" w:rsidRDefault="00245AAC" w:rsidP="00245AAC">
      <w:pPr>
        <w:tabs>
          <w:tab w:val="right" w:pos="8505"/>
        </w:tabs>
        <w:spacing w:after="0" w:line="480" w:lineRule="auto"/>
        <w:ind w:left="284"/>
        <w:jc w:val="both"/>
        <w:rPr>
          <w:rFonts w:cstheme="minorBidi"/>
        </w:rPr>
      </w:pPr>
    </w:p>
    <w:p w:rsidR="009142AE" w:rsidRPr="00B013ED" w:rsidRDefault="009142AE" w:rsidP="0005117A">
      <w:pPr>
        <w:tabs>
          <w:tab w:val="right" w:pos="8505"/>
        </w:tabs>
        <w:spacing w:line="480" w:lineRule="auto"/>
        <w:jc w:val="both"/>
        <w:rPr>
          <w:rFonts w:cstheme="minorBidi"/>
        </w:rPr>
      </w:pPr>
      <w:r w:rsidRPr="00B013ED">
        <w:rPr>
          <w:rFonts w:cstheme="minorBidi"/>
        </w:rPr>
        <w:t xml:space="preserve">The evaluation of apical barrier formation may be difficult as there is no objective method to do so and it is based on subjective methods of clinical tactile examination using paper points to 'feel' an apical barrier at the root end as well as radiographic examination with its known limitations as a two dimensional view of a three dimensional object. The Royal College of Surgeons Clinical Guidelines (1999) describe the use of paper points to clinically evaluate apical barrier formation and states that when the apex is </w:t>
      </w:r>
      <w:r w:rsidRPr="00B013ED">
        <w:rPr>
          <w:rFonts w:cstheme="minorBidi"/>
        </w:rPr>
        <w:lastRenderedPageBreak/>
        <w:t>reached the paper point will either impact against a solid barrier or press onto soft granulation tissue. If a barrier is present the paper point can be tapped against the barrier and the patient will not feel it. The paper point end will remain dry. If the barrier is not yet formed the paper point will press against soft spongy granulation tissue and this will be felt by the patient. The end of the paper point will be wet with tissue fluid or blood.</w:t>
      </w:r>
    </w:p>
    <w:p w:rsidR="009142AE" w:rsidRPr="00B013ED" w:rsidRDefault="009142AE" w:rsidP="00245AAC">
      <w:pPr>
        <w:pStyle w:val="Heading3"/>
        <w:spacing w:line="480" w:lineRule="auto"/>
      </w:pPr>
      <w:bookmarkStart w:id="30" w:name="_Toc359995736"/>
      <w:bookmarkStart w:id="31" w:name="_Toc370819191"/>
      <w:r w:rsidRPr="00B013ED">
        <w:t>Assessment of methodological quality of selected trials</w:t>
      </w:r>
      <w:bookmarkEnd w:id="30"/>
      <w:bookmarkEnd w:id="31"/>
    </w:p>
    <w:p w:rsidR="009142AE" w:rsidRPr="00B013ED" w:rsidRDefault="009142AE" w:rsidP="0005117A">
      <w:pPr>
        <w:spacing w:line="480" w:lineRule="auto"/>
        <w:jc w:val="both"/>
        <w:rPr>
          <w:rFonts w:cstheme="minorBidi"/>
        </w:rPr>
      </w:pPr>
      <w:r w:rsidRPr="00B013ED">
        <w:rPr>
          <w:rFonts w:cstheme="minorBidi"/>
        </w:rPr>
        <w:t xml:space="preserve">The methodological quality of included RCT’s studies was assessed using the criteria described in the Cochrane Handbook for Systematic Reviews of Interventions </w:t>
      </w:r>
    </w:p>
    <w:p w:rsidR="009142AE" w:rsidRPr="00B013ED" w:rsidRDefault="009142AE" w:rsidP="0005117A">
      <w:pPr>
        <w:spacing w:line="480" w:lineRule="auto"/>
        <w:jc w:val="both"/>
        <w:rPr>
          <w:rFonts w:cstheme="minorBidi"/>
        </w:rPr>
      </w:pPr>
      <w:r w:rsidRPr="00B013ED">
        <w:rPr>
          <w:rFonts w:cstheme="minorBidi"/>
        </w:rPr>
        <w:t xml:space="preserve">The quality assessment of the included trials was </w:t>
      </w:r>
      <w:r w:rsidR="00727F4B">
        <w:rPr>
          <w:rFonts w:cstheme="minorBidi"/>
        </w:rPr>
        <w:t>performed</w:t>
      </w:r>
      <w:r w:rsidR="00727F4B" w:rsidRPr="00B013ED">
        <w:rPr>
          <w:rFonts w:cstheme="minorBidi"/>
        </w:rPr>
        <w:t xml:space="preserve"> </w:t>
      </w:r>
      <w:r w:rsidRPr="00B013ED">
        <w:rPr>
          <w:rFonts w:cstheme="minorBidi"/>
        </w:rPr>
        <w:t xml:space="preserve">independently and in duplicate by two reviewers without blinding the name of authors, institutions and journals.  The grading for the recommendations in evidence considering all usable studies was </w:t>
      </w:r>
      <w:r w:rsidR="00727F4B">
        <w:rPr>
          <w:rFonts w:cstheme="minorBidi"/>
        </w:rPr>
        <w:t>conducted</w:t>
      </w:r>
      <w:r w:rsidR="00727F4B" w:rsidRPr="00B013ED">
        <w:rPr>
          <w:rFonts w:cstheme="minorBidi"/>
        </w:rPr>
        <w:t xml:space="preserve"> </w:t>
      </w:r>
      <w:r w:rsidRPr="00B013ED">
        <w:rPr>
          <w:rFonts w:cstheme="minorBidi"/>
        </w:rPr>
        <w:t>according to the SIGN guidelines.</w:t>
      </w:r>
    </w:p>
    <w:p w:rsidR="009142AE" w:rsidRPr="00B013ED" w:rsidRDefault="009142AE" w:rsidP="0005117A">
      <w:pPr>
        <w:spacing w:line="480" w:lineRule="auto"/>
        <w:jc w:val="both"/>
        <w:rPr>
          <w:rFonts w:cstheme="minorBidi"/>
          <w:bCs/>
        </w:rPr>
      </w:pPr>
      <w:r w:rsidRPr="00B013ED">
        <w:rPr>
          <w:rFonts w:cstheme="minorBidi"/>
        </w:rPr>
        <w:t xml:space="preserve">Additional testing of assessment criteria for included studies using a second pilot sample of articles was </w:t>
      </w:r>
      <w:r w:rsidR="00727F4B">
        <w:rPr>
          <w:rFonts w:cstheme="minorBidi"/>
        </w:rPr>
        <w:t>carried out</w:t>
      </w:r>
      <w:r w:rsidRPr="00B013ED">
        <w:rPr>
          <w:rFonts w:cstheme="minorBidi"/>
        </w:rPr>
        <w:t xml:space="preserve"> to ensure that the appraisal criteria c</w:t>
      </w:r>
      <w:r w:rsidR="00727F4B">
        <w:rPr>
          <w:rFonts w:cstheme="minorBidi"/>
        </w:rPr>
        <w:t>ould</w:t>
      </w:r>
      <w:r w:rsidRPr="00B013ED">
        <w:rPr>
          <w:rFonts w:cstheme="minorBidi"/>
        </w:rPr>
        <w:t xml:space="preserve"> be applied consistently. Six papers that span</w:t>
      </w:r>
      <w:r w:rsidR="00727F4B">
        <w:rPr>
          <w:rFonts w:cstheme="minorBidi"/>
        </w:rPr>
        <w:t>ned</w:t>
      </w:r>
      <w:r w:rsidRPr="00B013ED">
        <w:rPr>
          <w:rFonts w:cstheme="minorBidi"/>
        </w:rPr>
        <w:t xml:space="preserve"> a range of low to high risk bias were used as a sample for this. </w:t>
      </w:r>
      <w:r w:rsidRPr="00B013ED">
        <w:rPr>
          <w:rFonts w:cstheme="minorBidi"/>
          <w:bCs/>
          <w:color w:val="000000"/>
        </w:rPr>
        <w:t>Studies' validity was judged on the basis of:</w:t>
      </w:r>
    </w:p>
    <w:p w:rsidR="009142AE" w:rsidRPr="00B013ED" w:rsidRDefault="009142AE" w:rsidP="00245AAC">
      <w:pPr>
        <w:pStyle w:val="Heading4"/>
        <w:spacing w:line="480" w:lineRule="auto"/>
      </w:pPr>
      <w:bookmarkStart w:id="32" w:name="_Toc359995737"/>
      <w:r w:rsidRPr="00B013ED">
        <w:t>Method of allocation concealment:</w:t>
      </w:r>
      <w:bookmarkEnd w:id="32"/>
    </w:p>
    <w:p w:rsidR="009142AE" w:rsidRPr="00B013ED" w:rsidRDefault="009142AE" w:rsidP="00E67E7F">
      <w:pPr>
        <w:numPr>
          <w:ilvl w:val="0"/>
          <w:numId w:val="36"/>
        </w:numPr>
        <w:spacing w:after="0" w:line="480" w:lineRule="auto"/>
        <w:jc w:val="both"/>
        <w:rPr>
          <w:rFonts w:cstheme="minorBidi"/>
        </w:rPr>
      </w:pPr>
      <w:r w:rsidRPr="00B013ED">
        <w:rPr>
          <w:rFonts w:cstheme="minorBidi"/>
        </w:rPr>
        <w:t>Unmet: no randomisation or no concealment for the randomisation process.</w:t>
      </w:r>
    </w:p>
    <w:p w:rsidR="009142AE" w:rsidRPr="00B013ED" w:rsidRDefault="009142AE" w:rsidP="00E67E7F">
      <w:pPr>
        <w:numPr>
          <w:ilvl w:val="0"/>
          <w:numId w:val="36"/>
        </w:numPr>
        <w:spacing w:after="0" w:line="480" w:lineRule="auto"/>
        <w:jc w:val="both"/>
        <w:rPr>
          <w:rFonts w:cstheme="minorBidi"/>
        </w:rPr>
      </w:pPr>
      <w:r w:rsidRPr="00B013ED">
        <w:rPr>
          <w:rFonts w:cstheme="minorBidi"/>
        </w:rPr>
        <w:t>Unclear: when papers d</w:t>
      </w:r>
      <w:r w:rsidR="00727F4B">
        <w:rPr>
          <w:rFonts w:cstheme="minorBidi"/>
        </w:rPr>
        <w:t>id</w:t>
      </w:r>
      <w:r w:rsidRPr="00B013ED">
        <w:rPr>
          <w:rFonts w:cstheme="minorBidi"/>
        </w:rPr>
        <w:t xml:space="preserve"> not report such information.</w:t>
      </w:r>
    </w:p>
    <w:p w:rsidR="009142AE" w:rsidRPr="00B013ED" w:rsidRDefault="009142AE" w:rsidP="00E67E7F">
      <w:pPr>
        <w:numPr>
          <w:ilvl w:val="0"/>
          <w:numId w:val="36"/>
        </w:numPr>
        <w:spacing w:after="0" w:line="480" w:lineRule="auto"/>
        <w:jc w:val="both"/>
        <w:rPr>
          <w:rFonts w:cstheme="minorBidi"/>
        </w:rPr>
      </w:pPr>
      <w:r w:rsidRPr="00B013ED">
        <w:rPr>
          <w:rFonts w:cstheme="minorBidi"/>
        </w:rPr>
        <w:lastRenderedPageBreak/>
        <w:t xml:space="preserve">Met: when the assignment of patients to treatments </w:t>
      </w:r>
      <w:r w:rsidR="00727F4B">
        <w:rPr>
          <w:rFonts w:cstheme="minorBidi"/>
        </w:rPr>
        <w:t>wa</w:t>
      </w:r>
      <w:r w:rsidRPr="00B013ED">
        <w:rPr>
          <w:rFonts w:cstheme="minorBidi"/>
        </w:rPr>
        <w:t xml:space="preserve">s randomised and the randomisation schedule </w:t>
      </w:r>
      <w:r w:rsidR="00727F4B">
        <w:rPr>
          <w:rFonts w:cstheme="minorBidi"/>
        </w:rPr>
        <w:t>wa</w:t>
      </w:r>
      <w:r w:rsidRPr="00B013ED">
        <w:rPr>
          <w:rFonts w:cstheme="minorBidi"/>
        </w:rPr>
        <w:t>s kept concealed to the researcher recruiting participants.</w:t>
      </w:r>
    </w:p>
    <w:p w:rsidR="009142AE" w:rsidRPr="00B013ED" w:rsidRDefault="009142AE" w:rsidP="007F024A">
      <w:pPr>
        <w:pStyle w:val="Heading4"/>
      </w:pPr>
      <w:bookmarkStart w:id="33" w:name="_Toc359995738"/>
      <w:r w:rsidRPr="00B013ED">
        <w:t>The definition of exclusion and inclusion criteria:</w:t>
      </w:r>
      <w:bookmarkEnd w:id="33"/>
    </w:p>
    <w:p w:rsidR="009142AE" w:rsidRPr="00B013ED" w:rsidRDefault="009142AE" w:rsidP="0005117A">
      <w:pPr>
        <w:spacing w:line="480" w:lineRule="auto"/>
        <w:jc w:val="both"/>
        <w:rPr>
          <w:rFonts w:cstheme="minorBidi"/>
        </w:rPr>
      </w:pPr>
      <w:r w:rsidRPr="00B013ED">
        <w:rPr>
          <w:rFonts w:cstheme="minorBidi"/>
        </w:rPr>
        <w:t>Unmet:  not defined.</w:t>
      </w:r>
    </w:p>
    <w:p w:rsidR="009142AE" w:rsidRPr="00B013ED" w:rsidRDefault="009142AE" w:rsidP="00E67E7F">
      <w:pPr>
        <w:numPr>
          <w:ilvl w:val="0"/>
          <w:numId w:val="37"/>
        </w:numPr>
        <w:spacing w:after="0" w:line="480" w:lineRule="auto"/>
        <w:jc w:val="both"/>
        <w:rPr>
          <w:rFonts w:cstheme="minorBidi"/>
        </w:rPr>
      </w:pPr>
      <w:r w:rsidRPr="00B013ED">
        <w:rPr>
          <w:rFonts w:cstheme="minorBidi"/>
        </w:rPr>
        <w:t>Unclear: poorly defined.</w:t>
      </w:r>
    </w:p>
    <w:p w:rsidR="00BF6349" w:rsidRPr="00BE5CC2" w:rsidRDefault="009142AE" w:rsidP="00E67E7F">
      <w:pPr>
        <w:numPr>
          <w:ilvl w:val="0"/>
          <w:numId w:val="37"/>
        </w:numPr>
        <w:spacing w:after="0" w:line="480" w:lineRule="auto"/>
        <w:jc w:val="both"/>
        <w:rPr>
          <w:rFonts w:cstheme="minorBidi"/>
        </w:rPr>
      </w:pPr>
      <w:r w:rsidRPr="00B013ED">
        <w:rPr>
          <w:rFonts w:cstheme="minorBidi"/>
        </w:rPr>
        <w:t>Met: well defined.</w:t>
      </w:r>
      <w:bookmarkStart w:id="34" w:name="_Toc359995739"/>
    </w:p>
    <w:p w:rsidR="009142AE" w:rsidRPr="00B013ED" w:rsidRDefault="009142AE" w:rsidP="00245AAC">
      <w:pPr>
        <w:pStyle w:val="Heading4"/>
        <w:spacing w:line="480" w:lineRule="auto"/>
      </w:pPr>
      <w:r w:rsidRPr="00B013ED">
        <w:t>Control and treatment groups’ comparability:</w:t>
      </w:r>
      <w:bookmarkEnd w:id="34"/>
    </w:p>
    <w:p w:rsidR="009142AE" w:rsidRPr="00B013ED" w:rsidRDefault="009142AE" w:rsidP="00E67E7F">
      <w:pPr>
        <w:numPr>
          <w:ilvl w:val="0"/>
          <w:numId w:val="38"/>
        </w:numPr>
        <w:spacing w:after="0" w:line="480" w:lineRule="auto"/>
        <w:jc w:val="both"/>
        <w:rPr>
          <w:rFonts w:cstheme="minorBidi"/>
        </w:rPr>
      </w:pPr>
      <w:r w:rsidRPr="00B013ED">
        <w:rPr>
          <w:rFonts w:cstheme="minorBidi"/>
        </w:rPr>
        <w:t>Unmet: large potential for confounding or not discussed.</w:t>
      </w:r>
    </w:p>
    <w:p w:rsidR="009142AE" w:rsidRPr="00B013ED" w:rsidRDefault="009142AE" w:rsidP="00E67E7F">
      <w:pPr>
        <w:numPr>
          <w:ilvl w:val="0"/>
          <w:numId w:val="38"/>
        </w:numPr>
        <w:spacing w:after="0" w:line="480" w:lineRule="auto"/>
        <w:jc w:val="both"/>
        <w:rPr>
          <w:rFonts w:cstheme="minorBidi"/>
        </w:rPr>
      </w:pPr>
      <w:r w:rsidRPr="00B013ED">
        <w:rPr>
          <w:rFonts w:cstheme="minorBidi"/>
        </w:rPr>
        <w:t>Confounding small: mentioned but not adjusted for.</w:t>
      </w:r>
    </w:p>
    <w:p w:rsidR="009142AE" w:rsidRPr="00B013ED" w:rsidRDefault="009142AE" w:rsidP="00E67E7F">
      <w:pPr>
        <w:numPr>
          <w:ilvl w:val="0"/>
          <w:numId w:val="38"/>
        </w:numPr>
        <w:spacing w:after="0" w:line="480" w:lineRule="auto"/>
        <w:jc w:val="both"/>
        <w:rPr>
          <w:rFonts w:cstheme="minorBidi"/>
        </w:rPr>
      </w:pPr>
      <w:r w:rsidRPr="00B013ED">
        <w:rPr>
          <w:rFonts w:cstheme="minorBidi"/>
        </w:rPr>
        <w:t>Un-confounded: good comparability of groups or confounding adjusted for.</w:t>
      </w:r>
    </w:p>
    <w:p w:rsidR="009142AE" w:rsidRPr="00B013ED" w:rsidRDefault="009142AE" w:rsidP="00245AAC">
      <w:pPr>
        <w:pStyle w:val="Heading4"/>
        <w:spacing w:line="480" w:lineRule="auto"/>
      </w:pPr>
      <w:bookmarkStart w:id="35" w:name="_Toc359995740"/>
      <w:r w:rsidRPr="00B013ED">
        <w:t>Protection against performance bias (blindness of the study):</w:t>
      </w:r>
      <w:bookmarkEnd w:id="35"/>
    </w:p>
    <w:p w:rsidR="009142AE" w:rsidRPr="00B013ED" w:rsidRDefault="009142AE" w:rsidP="00E67E7F">
      <w:pPr>
        <w:numPr>
          <w:ilvl w:val="0"/>
          <w:numId w:val="39"/>
        </w:numPr>
        <w:spacing w:after="0" w:line="480" w:lineRule="auto"/>
        <w:jc w:val="both"/>
        <w:rPr>
          <w:rFonts w:cstheme="minorBidi"/>
        </w:rPr>
      </w:pPr>
      <w:r w:rsidRPr="00B013ED">
        <w:rPr>
          <w:rFonts w:cstheme="minorBidi"/>
        </w:rPr>
        <w:t>Unmet: no blindness.</w:t>
      </w:r>
    </w:p>
    <w:p w:rsidR="009142AE" w:rsidRPr="00B013ED" w:rsidRDefault="009142AE" w:rsidP="00E67E7F">
      <w:pPr>
        <w:numPr>
          <w:ilvl w:val="0"/>
          <w:numId w:val="39"/>
        </w:numPr>
        <w:spacing w:after="0" w:line="480" w:lineRule="auto"/>
        <w:jc w:val="both"/>
        <w:rPr>
          <w:rFonts w:cstheme="minorBidi"/>
        </w:rPr>
      </w:pPr>
      <w:r w:rsidRPr="00B013ED">
        <w:rPr>
          <w:rFonts w:cstheme="minorBidi"/>
        </w:rPr>
        <w:t>Unclear: when papers do not report such information.</w:t>
      </w:r>
    </w:p>
    <w:p w:rsidR="009142AE" w:rsidRPr="00B013ED" w:rsidRDefault="009142AE" w:rsidP="00E67E7F">
      <w:pPr>
        <w:numPr>
          <w:ilvl w:val="0"/>
          <w:numId w:val="39"/>
        </w:numPr>
        <w:spacing w:after="0" w:line="480" w:lineRule="auto"/>
        <w:jc w:val="both"/>
        <w:rPr>
          <w:rFonts w:cstheme="minorBidi"/>
        </w:rPr>
      </w:pPr>
      <w:r w:rsidRPr="00B013ED">
        <w:rPr>
          <w:rFonts w:cstheme="minorBidi"/>
        </w:rPr>
        <w:t xml:space="preserve">Partially met: when only one group (patients or researchers) </w:t>
      </w:r>
      <w:r w:rsidR="00727F4B">
        <w:rPr>
          <w:rFonts w:cstheme="minorBidi"/>
        </w:rPr>
        <w:t>wa</w:t>
      </w:r>
      <w:r w:rsidRPr="00B013ED">
        <w:rPr>
          <w:rFonts w:cstheme="minorBidi"/>
        </w:rPr>
        <w:t>s kept blind.</w:t>
      </w:r>
    </w:p>
    <w:p w:rsidR="009142AE" w:rsidRPr="00620F69" w:rsidRDefault="009142AE" w:rsidP="00245AAC">
      <w:pPr>
        <w:pStyle w:val="Heading4"/>
        <w:spacing w:line="480" w:lineRule="auto"/>
      </w:pPr>
      <w:bookmarkStart w:id="36" w:name="_Toc359995741"/>
      <w:proofErr w:type="gramStart"/>
      <w:r w:rsidRPr="00620F69">
        <w:t xml:space="preserve">Met: when patients and researchers assessing outcome measures </w:t>
      </w:r>
      <w:r w:rsidR="00727F4B" w:rsidRPr="00620F69">
        <w:t>we</w:t>
      </w:r>
      <w:r w:rsidRPr="00620F69">
        <w:t>re kept blind.</w:t>
      </w:r>
      <w:proofErr w:type="gramEnd"/>
      <w:r w:rsidRPr="00620F69">
        <w:t xml:space="preserve"> Follow</w:t>
      </w:r>
      <w:r w:rsidR="00727F4B" w:rsidRPr="00620F69">
        <w:t>-</w:t>
      </w:r>
      <w:r w:rsidRPr="00620F69">
        <w:t>up of participants:</w:t>
      </w:r>
      <w:bookmarkEnd w:id="36"/>
    </w:p>
    <w:p w:rsidR="009142AE" w:rsidRPr="00B013ED" w:rsidRDefault="009142AE" w:rsidP="00E67E7F">
      <w:pPr>
        <w:numPr>
          <w:ilvl w:val="0"/>
          <w:numId w:val="40"/>
        </w:numPr>
        <w:spacing w:after="0" w:line="480" w:lineRule="auto"/>
        <w:jc w:val="both"/>
        <w:rPr>
          <w:rFonts w:cstheme="minorBidi"/>
        </w:rPr>
      </w:pPr>
      <w:r w:rsidRPr="00B013ED">
        <w:rPr>
          <w:rFonts w:cstheme="minorBidi"/>
        </w:rPr>
        <w:t xml:space="preserve">Inadequate: when less than 80% of patients who entered the trial </w:t>
      </w:r>
      <w:r w:rsidR="00727F4B">
        <w:rPr>
          <w:rFonts w:cstheme="minorBidi"/>
        </w:rPr>
        <w:t>we</w:t>
      </w:r>
      <w:r w:rsidRPr="00B013ED">
        <w:rPr>
          <w:rFonts w:cstheme="minorBidi"/>
        </w:rPr>
        <w:t>re included in the final analysis.</w:t>
      </w:r>
    </w:p>
    <w:p w:rsidR="009142AE" w:rsidRPr="00B013ED" w:rsidRDefault="009142AE" w:rsidP="00E67E7F">
      <w:pPr>
        <w:numPr>
          <w:ilvl w:val="0"/>
          <w:numId w:val="40"/>
        </w:numPr>
        <w:spacing w:after="0" w:line="480" w:lineRule="auto"/>
        <w:jc w:val="both"/>
        <w:rPr>
          <w:rFonts w:cstheme="minorBidi"/>
        </w:rPr>
      </w:pPr>
      <w:r w:rsidRPr="00B013ED">
        <w:rPr>
          <w:rFonts w:cstheme="minorBidi"/>
        </w:rPr>
        <w:t>Unclear: when papers d</w:t>
      </w:r>
      <w:r w:rsidR="00727F4B">
        <w:rPr>
          <w:rFonts w:cstheme="minorBidi"/>
        </w:rPr>
        <w:t>id</w:t>
      </w:r>
      <w:r w:rsidRPr="00B013ED">
        <w:rPr>
          <w:rFonts w:cstheme="minorBidi"/>
        </w:rPr>
        <w:t xml:space="preserve"> not report such information.</w:t>
      </w:r>
    </w:p>
    <w:p w:rsidR="009142AE" w:rsidRPr="00B013ED" w:rsidRDefault="009142AE" w:rsidP="00E67E7F">
      <w:pPr>
        <w:numPr>
          <w:ilvl w:val="0"/>
          <w:numId w:val="40"/>
        </w:numPr>
        <w:spacing w:after="0" w:line="480" w:lineRule="auto"/>
        <w:jc w:val="both"/>
        <w:rPr>
          <w:rFonts w:cstheme="minorBidi"/>
        </w:rPr>
      </w:pPr>
      <w:r w:rsidRPr="00B013ED">
        <w:rPr>
          <w:rFonts w:cstheme="minorBidi"/>
        </w:rPr>
        <w:t xml:space="preserve">Adequate: when at least 80% of patients who entered the trial </w:t>
      </w:r>
      <w:r w:rsidR="00727F4B">
        <w:rPr>
          <w:rFonts w:cstheme="minorBidi"/>
        </w:rPr>
        <w:t>we</w:t>
      </w:r>
      <w:r w:rsidRPr="00B013ED">
        <w:rPr>
          <w:rFonts w:cstheme="minorBidi"/>
        </w:rPr>
        <w:t>re included in the final analysis.</w:t>
      </w:r>
    </w:p>
    <w:p w:rsidR="009142AE" w:rsidRPr="00B013ED" w:rsidRDefault="009142AE" w:rsidP="00245AAC">
      <w:pPr>
        <w:pStyle w:val="Heading3"/>
        <w:spacing w:line="480" w:lineRule="auto"/>
      </w:pPr>
      <w:bookmarkStart w:id="37" w:name="_Toc359995742"/>
      <w:bookmarkStart w:id="38" w:name="_Toc370819192"/>
      <w:r w:rsidRPr="00B013ED">
        <w:lastRenderedPageBreak/>
        <w:t>Definition of success and failure criteria:</w:t>
      </w:r>
      <w:bookmarkEnd w:id="37"/>
      <w:bookmarkEnd w:id="38"/>
    </w:p>
    <w:p w:rsidR="009142AE" w:rsidRPr="00B013ED" w:rsidRDefault="009142AE" w:rsidP="00E67E7F">
      <w:pPr>
        <w:numPr>
          <w:ilvl w:val="0"/>
          <w:numId w:val="41"/>
        </w:numPr>
        <w:spacing w:after="0" w:line="480" w:lineRule="auto"/>
        <w:jc w:val="both"/>
        <w:rPr>
          <w:rFonts w:cstheme="minorBidi"/>
        </w:rPr>
      </w:pPr>
      <w:r w:rsidRPr="00B013ED">
        <w:rPr>
          <w:rFonts w:cstheme="minorBidi"/>
        </w:rPr>
        <w:t>Unmet:  not defined.</w:t>
      </w:r>
    </w:p>
    <w:p w:rsidR="009142AE" w:rsidRPr="00B013ED" w:rsidRDefault="009142AE" w:rsidP="00E67E7F">
      <w:pPr>
        <w:numPr>
          <w:ilvl w:val="0"/>
          <w:numId w:val="41"/>
        </w:numPr>
        <w:spacing w:after="0" w:line="480" w:lineRule="auto"/>
        <w:jc w:val="both"/>
        <w:rPr>
          <w:rFonts w:cstheme="minorBidi"/>
        </w:rPr>
      </w:pPr>
      <w:r w:rsidRPr="00B013ED">
        <w:rPr>
          <w:rFonts w:cstheme="minorBidi"/>
        </w:rPr>
        <w:t>Unclear: poorly defined.</w:t>
      </w:r>
    </w:p>
    <w:p w:rsidR="009142AE" w:rsidRPr="00B013ED" w:rsidRDefault="009142AE" w:rsidP="00E67E7F">
      <w:pPr>
        <w:numPr>
          <w:ilvl w:val="0"/>
          <w:numId w:val="41"/>
        </w:numPr>
        <w:spacing w:after="0" w:line="480" w:lineRule="auto"/>
        <w:jc w:val="both"/>
        <w:rPr>
          <w:rFonts w:cstheme="minorBidi"/>
        </w:rPr>
      </w:pPr>
      <w:r w:rsidRPr="00B013ED">
        <w:rPr>
          <w:rFonts w:cstheme="minorBidi"/>
        </w:rPr>
        <w:t>Met: well defined.</w:t>
      </w:r>
    </w:p>
    <w:p w:rsidR="009142AE" w:rsidRPr="00B013ED" w:rsidRDefault="009142AE" w:rsidP="00C066A0">
      <w:pPr>
        <w:pStyle w:val="Heading4"/>
        <w:spacing w:line="480" w:lineRule="auto"/>
      </w:pPr>
      <w:bookmarkStart w:id="39" w:name="_Toc359995743"/>
      <w:r w:rsidRPr="00B013ED">
        <w:t>Intention-to-treat (ITT) analysis - were the outcomes of the people who withdrew described by study group and included in the analysis?</w:t>
      </w:r>
      <w:bookmarkEnd w:id="39"/>
    </w:p>
    <w:p w:rsidR="009142AE" w:rsidRPr="00B013ED" w:rsidRDefault="009142AE" w:rsidP="00E67E7F">
      <w:pPr>
        <w:numPr>
          <w:ilvl w:val="0"/>
          <w:numId w:val="42"/>
        </w:numPr>
        <w:spacing w:after="0" w:line="480" w:lineRule="auto"/>
        <w:jc w:val="both"/>
        <w:rPr>
          <w:rFonts w:cstheme="minorBidi"/>
        </w:rPr>
      </w:pPr>
      <w:r w:rsidRPr="00B013ED">
        <w:rPr>
          <w:rFonts w:cstheme="minorBidi"/>
        </w:rPr>
        <w:t>Unmet:  not mentioned.</w:t>
      </w:r>
    </w:p>
    <w:p w:rsidR="009142AE" w:rsidRPr="00B013ED" w:rsidRDefault="009142AE" w:rsidP="00E67E7F">
      <w:pPr>
        <w:numPr>
          <w:ilvl w:val="0"/>
          <w:numId w:val="42"/>
        </w:numPr>
        <w:spacing w:after="0" w:line="480" w:lineRule="auto"/>
        <w:jc w:val="both"/>
        <w:rPr>
          <w:rFonts w:cstheme="minorBidi"/>
        </w:rPr>
      </w:pPr>
      <w:r w:rsidRPr="00B013ED">
        <w:rPr>
          <w:rFonts w:cstheme="minorBidi"/>
        </w:rPr>
        <w:t>Partially met: states numbers and reasons for withdrawal by study group but analysis unmodified.</w:t>
      </w:r>
    </w:p>
    <w:p w:rsidR="009142AE" w:rsidRPr="00B013ED" w:rsidRDefault="009142AE" w:rsidP="00E67E7F">
      <w:pPr>
        <w:numPr>
          <w:ilvl w:val="0"/>
          <w:numId w:val="42"/>
        </w:numPr>
        <w:spacing w:after="0" w:line="480" w:lineRule="auto"/>
        <w:jc w:val="both"/>
        <w:rPr>
          <w:rFonts w:cstheme="minorBidi"/>
        </w:rPr>
      </w:pPr>
      <w:r w:rsidRPr="00B013ED">
        <w:rPr>
          <w:rFonts w:cstheme="minorBidi"/>
        </w:rPr>
        <w:t>Met: primary analysis based on all recruited cases.</w:t>
      </w:r>
    </w:p>
    <w:p w:rsidR="009142AE" w:rsidRPr="00B013ED" w:rsidRDefault="009142AE" w:rsidP="00C066A0">
      <w:pPr>
        <w:pStyle w:val="Heading4"/>
        <w:spacing w:line="480" w:lineRule="auto"/>
      </w:pPr>
      <w:bookmarkStart w:id="40" w:name="_Toc359995744"/>
      <w:r w:rsidRPr="00B013ED">
        <w:t xml:space="preserve">The global validity of the study </w:t>
      </w:r>
      <w:r w:rsidR="00727F4B">
        <w:t>wa</w:t>
      </w:r>
      <w:r w:rsidRPr="00B013ED">
        <w:t>s assessed using three categories:</w:t>
      </w:r>
      <w:bookmarkEnd w:id="40"/>
    </w:p>
    <w:p w:rsidR="009142AE" w:rsidRPr="00B013ED" w:rsidRDefault="009142AE" w:rsidP="00E67E7F">
      <w:pPr>
        <w:numPr>
          <w:ilvl w:val="0"/>
          <w:numId w:val="43"/>
        </w:numPr>
        <w:spacing w:after="0" w:line="480" w:lineRule="auto"/>
        <w:jc w:val="both"/>
        <w:rPr>
          <w:rFonts w:cstheme="minorBidi"/>
        </w:rPr>
      </w:pPr>
      <w:r w:rsidRPr="00B013ED">
        <w:rPr>
          <w:rFonts w:cstheme="minorBidi"/>
        </w:rPr>
        <w:t>Low risk of bias: all of the criteria met.</w:t>
      </w:r>
    </w:p>
    <w:p w:rsidR="009142AE" w:rsidRPr="00B013ED" w:rsidRDefault="009142AE" w:rsidP="00E67E7F">
      <w:pPr>
        <w:numPr>
          <w:ilvl w:val="0"/>
          <w:numId w:val="43"/>
        </w:numPr>
        <w:spacing w:after="0" w:line="480" w:lineRule="auto"/>
        <w:jc w:val="both"/>
        <w:rPr>
          <w:rFonts w:cstheme="minorBidi"/>
        </w:rPr>
      </w:pPr>
      <w:r w:rsidRPr="00B013ED">
        <w:rPr>
          <w:rFonts w:cstheme="minorBidi"/>
        </w:rPr>
        <w:t>Moderate risk of bias: one or more criteria partially met.</w:t>
      </w:r>
    </w:p>
    <w:p w:rsidR="009142AE" w:rsidRPr="00B013ED" w:rsidRDefault="009142AE" w:rsidP="00E67E7F">
      <w:pPr>
        <w:numPr>
          <w:ilvl w:val="0"/>
          <w:numId w:val="43"/>
        </w:numPr>
        <w:spacing w:after="0" w:line="480" w:lineRule="auto"/>
        <w:jc w:val="both"/>
        <w:rPr>
          <w:rFonts w:cstheme="minorBidi"/>
        </w:rPr>
      </w:pPr>
      <w:r w:rsidRPr="00B013ED">
        <w:rPr>
          <w:rFonts w:cstheme="minorBidi"/>
        </w:rPr>
        <w:t>High risk of bias: one or more criteria unmet.</w:t>
      </w:r>
    </w:p>
    <w:p w:rsidR="009142AE" w:rsidRPr="00B013ED" w:rsidRDefault="009142AE" w:rsidP="00C066A0">
      <w:pPr>
        <w:pStyle w:val="Heading3"/>
        <w:spacing w:line="480" w:lineRule="auto"/>
      </w:pPr>
      <w:bookmarkStart w:id="41" w:name="_Toc359995745"/>
      <w:bookmarkStart w:id="42" w:name="_Toc370819193"/>
      <w:r w:rsidRPr="00B013ED">
        <w:t>Data collection</w:t>
      </w:r>
      <w:bookmarkEnd w:id="41"/>
      <w:bookmarkEnd w:id="42"/>
    </w:p>
    <w:p w:rsidR="009142AE" w:rsidRPr="00B013ED" w:rsidRDefault="009142AE" w:rsidP="00734144">
      <w:pPr>
        <w:spacing w:line="480" w:lineRule="auto"/>
        <w:jc w:val="both"/>
        <w:rPr>
          <w:rFonts w:cstheme="minorBidi"/>
        </w:rPr>
      </w:pPr>
      <w:r w:rsidRPr="00B013ED">
        <w:rPr>
          <w:rFonts w:cstheme="minorBidi"/>
        </w:rPr>
        <w:t>Data about the included studies were recorded on an abstraction form and entered into RevMan (2003) software for further analysis. For each included trial the following data were recorded:</w:t>
      </w:r>
    </w:p>
    <w:p w:rsidR="009142AE" w:rsidRPr="00B013ED" w:rsidRDefault="009142AE" w:rsidP="00E67E7F">
      <w:pPr>
        <w:numPr>
          <w:ilvl w:val="0"/>
          <w:numId w:val="35"/>
        </w:numPr>
        <w:spacing w:after="0" w:line="480" w:lineRule="auto"/>
        <w:ind w:firstLine="0"/>
        <w:jc w:val="both"/>
        <w:rPr>
          <w:rFonts w:cstheme="minorBidi"/>
        </w:rPr>
      </w:pPr>
      <w:r w:rsidRPr="00B013ED">
        <w:rPr>
          <w:rFonts w:cstheme="minorBidi"/>
        </w:rPr>
        <w:t xml:space="preserve">The year of publication and country of origin </w:t>
      </w:r>
    </w:p>
    <w:p w:rsidR="009142AE" w:rsidRPr="00B013ED" w:rsidRDefault="009142AE" w:rsidP="00E67E7F">
      <w:pPr>
        <w:numPr>
          <w:ilvl w:val="0"/>
          <w:numId w:val="35"/>
        </w:numPr>
        <w:spacing w:after="0" w:line="480" w:lineRule="auto"/>
        <w:ind w:firstLine="0"/>
        <w:jc w:val="both"/>
        <w:rPr>
          <w:rFonts w:cstheme="minorBidi"/>
        </w:rPr>
      </w:pPr>
      <w:r w:rsidRPr="00B013ED">
        <w:rPr>
          <w:rFonts w:cstheme="minorBidi"/>
        </w:rPr>
        <w:t>Sample size, age of participants and drop outs/withdrawals</w:t>
      </w:r>
    </w:p>
    <w:p w:rsidR="009142AE" w:rsidRPr="00B013ED" w:rsidRDefault="009142AE" w:rsidP="00E67E7F">
      <w:pPr>
        <w:numPr>
          <w:ilvl w:val="0"/>
          <w:numId w:val="35"/>
        </w:numPr>
        <w:spacing w:after="0" w:line="480" w:lineRule="auto"/>
        <w:ind w:firstLine="0"/>
        <w:jc w:val="both"/>
        <w:rPr>
          <w:rFonts w:cstheme="minorBidi"/>
        </w:rPr>
      </w:pPr>
      <w:r w:rsidRPr="00B013ED">
        <w:rPr>
          <w:rFonts w:cstheme="minorBidi"/>
        </w:rPr>
        <w:t>Study participants and outcomes</w:t>
      </w:r>
    </w:p>
    <w:p w:rsidR="009142AE" w:rsidRPr="00B013ED" w:rsidRDefault="009142AE" w:rsidP="00E67E7F">
      <w:pPr>
        <w:numPr>
          <w:ilvl w:val="0"/>
          <w:numId w:val="35"/>
        </w:numPr>
        <w:spacing w:after="0" w:line="480" w:lineRule="auto"/>
        <w:ind w:firstLine="0"/>
        <w:jc w:val="both"/>
        <w:rPr>
          <w:rFonts w:cstheme="minorBidi"/>
        </w:rPr>
      </w:pPr>
      <w:r w:rsidRPr="00B013ED">
        <w:rPr>
          <w:rFonts w:cstheme="minorBidi"/>
        </w:rPr>
        <w:lastRenderedPageBreak/>
        <w:t>Detailed description of interventions, techniques and materials used</w:t>
      </w:r>
    </w:p>
    <w:p w:rsidR="009142AE" w:rsidRPr="00B013ED" w:rsidRDefault="009142AE" w:rsidP="00E67E7F">
      <w:pPr>
        <w:numPr>
          <w:ilvl w:val="0"/>
          <w:numId w:val="35"/>
        </w:numPr>
        <w:spacing w:after="0" w:line="480" w:lineRule="auto"/>
        <w:ind w:firstLine="0"/>
        <w:jc w:val="both"/>
        <w:rPr>
          <w:rFonts w:cstheme="minorBidi"/>
        </w:rPr>
      </w:pPr>
      <w:r w:rsidRPr="00B013ED">
        <w:rPr>
          <w:rFonts w:cstheme="minorBidi"/>
        </w:rPr>
        <w:t>Signs and symptoms before intervention and after treatment</w:t>
      </w:r>
    </w:p>
    <w:p w:rsidR="009142AE" w:rsidRPr="00B013ED" w:rsidRDefault="009142AE" w:rsidP="00E67E7F">
      <w:pPr>
        <w:numPr>
          <w:ilvl w:val="0"/>
          <w:numId w:val="35"/>
        </w:numPr>
        <w:spacing w:after="0" w:line="480" w:lineRule="auto"/>
        <w:ind w:firstLine="0"/>
        <w:jc w:val="both"/>
        <w:rPr>
          <w:rFonts w:cstheme="minorBidi"/>
        </w:rPr>
      </w:pPr>
      <w:r w:rsidRPr="00B013ED">
        <w:rPr>
          <w:rFonts w:cstheme="minorBidi"/>
        </w:rPr>
        <w:t>Duration of studies</w:t>
      </w:r>
    </w:p>
    <w:p w:rsidR="009142AE" w:rsidRPr="00B013ED" w:rsidRDefault="009142AE" w:rsidP="00E67E7F">
      <w:pPr>
        <w:numPr>
          <w:ilvl w:val="0"/>
          <w:numId w:val="35"/>
        </w:numPr>
        <w:spacing w:after="0" w:line="480" w:lineRule="auto"/>
        <w:ind w:firstLine="0"/>
        <w:jc w:val="both"/>
        <w:rPr>
          <w:rFonts w:cstheme="minorBidi"/>
        </w:rPr>
      </w:pPr>
      <w:r w:rsidRPr="00B013ED">
        <w:rPr>
          <w:rFonts w:cstheme="minorBidi"/>
        </w:rPr>
        <w:t>Information on adverse events or effects as well as cost implications.</w:t>
      </w:r>
    </w:p>
    <w:p w:rsidR="008441CB" w:rsidRPr="00B013ED" w:rsidRDefault="009142AE" w:rsidP="00F1366B">
      <w:pPr>
        <w:spacing w:line="480" w:lineRule="auto"/>
        <w:jc w:val="both"/>
        <w:rPr>
          <w:rFonts w:cstheme="minorBidi"/>
        </w:rPr>
      </w:pPr>
      <w:r w:rsidRPr="00B013ED">
        <w:rPr>
          <w:rFonts w:cstheme="minorBidi"/>
        </w:rPr>
        <w:t>The data abstraction form was developed and was tested for consistency. This form was designed to collect the above mentioned information for each evaluated study</w:t>
      </w:r>
      <w:r w:rsidR="00734144" w:rsidRPr="00B013ED">
        <w:rPr>
          <w:rFonts w:cstheme="minorBidi"/>
        </w:rPr>
        <w:t>.</w:t>
      </w:r>
    </w:p>
    <w:p w:rsidR="008947AB" w:rsidRDefault="008947AB">
      <w:pPr>
        <w:rPr>
          <w:rFonts w:eastAsiaTheme="majorEastAsia"/>
          <w:b/>
          <w:bCs/>
          <w:sz w:val="32"/>
          <w:szCs w:val="26"/>
        </w:rPr>
      </w:pPr>
      <w:bookmarkStart w:id="43" w:name="_Toc359995746"/>
      <w:r>
        <w:br w:type="page"/>
      </w:r>
    </w:p>
    <w:p w:rsidR="008441CB" w:rsidRPr="00B013ED" w:rsidRDefault="008441CB" w:rsidP="0090580B">
      <w:pPr>
        <w:pStyle w:val="Heading3"/>
        <w:spacing w:line="480" w:lineRule="auto"/>
      </w:pPr>
      <w:bookmarkStart w:id="44" w:name="_Toc370819194"/>
      <w:r w:rsidRPr="00B013ED">
        <w:lastRenderedPageBreak/>
        <w:t>RESULTS AND DISCUSSION</w:t>
      </w:r>
      <w:bookmarkEnd w:id="43"/>
      <w:bookmarkEnd w:id="44"/>
    </w:p>
    <w:p w:rsidR="008441CB" w:rsidRPr="00B013ED" w:rsidRDefault="008441CB" w:rsidP="00C17E1E">
      <w:pPr>
        <w:pStyle w:val="Heading4"/>
        <w:spacing w:line="480" w:lineRule="auto"/>
      </w:pPr>
      <w:bookmarkStart w:id="45" w:name="_Toc359995747"/>
      <w:r w:rsidRPr="00B013ED">
        <w:t>Apexification</w:t>
      </w:r>
      <w:bookmarkEnd w:id="45"/>
    </w:p>
    <w:p w:rsidR="008441CB" w:rsidRPr="003C6064" w:rsidRDefault="008441CB" w:rsidP="007846DE">
      <w:pPr>
        <w:spacing w:line="480" w:lineRule="auto"/>
        <w:jc w:val="both"/>
        <w:rPr>
          <w:rFonts w:cstheme="minorBidi"/>
          <w:szCs w:val="24"/>
        </w:rPr>
      </w:pPr>
      <w:r w:rsidRPr="00B013ED">
        <w:rPr>
          <w:rFonts w:cstheme="minorBidi"/>
        </w:rPr>
        <w:t xml:space="preserve">Completed searches from all sources identified 200 reports on apexification.   Following scanning of the titles and abstracts of these reports; 33 electronically identified reports were non-relevant to the review topic and were rejected leaving 167 reports of different study designs to be assessed. The abstracts and full text were obtained whenever there was a doubt that the article could not be definitely rejected.  Only six studies were suitable to be assessed as clinical trials.  The analysis of these six studies is presented in this section and other studies are </w:t>
      </w:r>
      <w:r w:rsidRPr="003C6064">
        <w:rPr>
          <w:rFonts w:cstheme="minorBidi"/>
          <w:szCs w:val="24"/>
        </w:rPr>
        <w:t xml:space="preserve">summarised in </w:t>
      </w:r>
      <w:r w:rsidR="00727F4B">
        <w:rPr>
          <w:rFonts w:cstheme="minorBidi"/>
          <w:szCs w:val="24"/>
        </w:rPr>
        <w:t>A</w:t>
      </w:r>
      <w:r w:rsidRPr="003C6064">
        <w:rPr>
          <w:rFonts w:cstheme="minorBidi"/>
          <w:szCs w:val="24"/>
        </w:rPr>
        <w:t>ppendix 1.</w:t>
      </w:r>
    </w:p>
    <w:p w:rsidR="008441CB" w:rsidRPr="00134681" w:rsidRDefault="008441CB" w:rsidP="007846DE">
      <w:pPr>
        <w:spacing w:line="480" w:lineRule="auto"/>
        <w:jc w:val="both"/>
        <w:rPr>
          <w:rFonts w:ascii="Arial" w:hAnsi="Arial" w:cstheme="minorBidi"/>
          <w:szCs w:val="24"/>
        </w:rPr>
      </w:pPr>
      <w:r w:rsidRPr="00134681">
        <w:rPr>
          <w:rFonts w:ascii="Arial" w:hAnsi="Arial" w:cstheme="minorBidi"/>
          <w:szCs w:val="24"/>
        </w:rPr>
        <w:t xml:space="preserve">The data from the six </w:t>
      </w:r>
      <w:r w:rsidR="00727F4B" w:rsidRPr="00134681">
        <w:rPr>
          <w:rFonts w:ascii="Arial" w:hAnsi="Arial" w:cstheme="minorBidi"/>
          <w:szCs w:val="24"/>
        </w:rPr>
        <w:t xml:space="preserve">clinical trials </w:t>
      </w:r>
      <w:r w:rsidRPr="00134681">
        <w:rPr>
          <w:rFonts w:ascii="Arial" w:hAnsi="Arial" w:cstheme="minorBidi"/>
          <w:szCs w:val="24"/>
        </w:rPr>
        <w:t xml:space="preserve">which were assessed in detail are presented </w:t>
      </w:r>
      <w:r w:rsidR="002320D8" w:rsidRPr="00134681">
        <w:rPr>
          <w:rFonts w:ascii="Arial" w:hAnsi="Arial" w:cstheme="minorBidi"/>
          <w:szCs w:val="24"/>
        </w:rPr>
        <w:t>in</w:t>
      </w:r>
      <w:r w:rsidR="00134681" w:rsidRPr="00134681">
        <w:rPr>
          <w:rFonts w:ascii="Arial" w:hAnsi="Arial" w:cstheme="minorBidi"/>
          <w:szCs w:val="24"/>
        </w:rPr>
        <w:t xml:space="preserve"> </w:t>
      </w:r>
      <w:r w:rsidR="00134681" w:rsidRPr="00134681">
        <w:rPr>
          <w:rFonts w:ascii="Arial" w:hAnsi="Arial" w:cstheme="minorBidi"/>
          <w:szCs w:val="24"/>
        </w:rPr>
        <w:fldChar w:fldCharType="begin"/>
      </w:r>
      <w:r w:rsidR="00134681" w:rsidRPr="00134681">
        <w:rPr>
          <w:rFonts w:ascii="Arial" w:hAnsi="Arial" w:cstheme="minorBidi"/>
          <w:szCs w:val="24"/>
        </w:rPr>
        <w:instrText xml:space="preserve"> REF _Ref361491622 \h  \* MERGEFORMAT </w:instrText>
      </w:r>
      <w:r w:rsidR="00134681" w:rsidRPr="00134681">
        <w:rPr>
          <w:rFonts w:ascii="Arial" w:hAnsi="Arial" w:cstheme="minorBidi"/>
          <w:szCs w:val="24"/>
        </w:rPr>
      </w:r>
      <w:r w:rsidR="00134681" w:rsidRPr="00134681">
        <w:rPr>
          <w:rFonts w:ascii="Arial" w:hAnsi="Arial" w:cstheme="minorBidi"/>
          <w:szCs w:val="24"/>
        </w:rPr>
        <w:fldChar w:fldCharType="separate"/>
      </w:r>
      <w:r w:rsidR="00374B77" w:rsidRPr="00374B77">
        <w:rPr>
          <w:rFonts w:ascii="Arial" w:hAnsi="Arial" w:cstheme="minorBidi"/>
          <w:szCs w:val="24"/>
        </w:rPr>
        <w:t xml:space="preserve">Table </w:t>
      </w:r>
      <w:r w:rsidR="00374B77" w:rsidRPr="00374B77">
        <w:rPr>
          <w:rFonts w:ascii="Arial" w:hAnsi="Arial" w:cstheme="minorBidi"/>
          <w:noProof/>
          <w:szCs w:val="24"/>
          <w:cs/>
        </w:rPr>
        <w:t>‎</w:t>
      </w:r>
      <w:r w:rsidR="00374B77">
        <w:rPr>
          <w:rFonts w:cstheme="minorBidi"/>
          <w:b/>
          <w:bCs/>
          <w:noProof/>
          <w:sz w:val="20"/>
          <w:szCs w:val="20"/>
        </w:rPr>
        <w:t>1.1</w:t>
      </w:r>
      <w:r w:rsidR="00134681" w:rsidRPr="00134681">
        <w:rPr>
          <w:rFonts w:ascii="Arial" w:hAnsi="Arial" w:cstheme="minorBidi"/>
          <w:szCs w:val="24"/>
        </w:rPr>
        <w:fldChar w:fldCharType="end"/>
      </w:r>
      <w:r w:rsidR="00134681" w:rsidRPr="00134681">
        <w:rPr>
          <w:rFonts w:ascii="Arial" w:hAnsi="Arial" w:cstheme="minorBidi"/>
          <w:szCs w:val="24"/>
        </w:rPr>
        <w:t xml:space="preserve"> </w:t>
      </w:r>
      <w:r w:rsidR="00782EDD" w:rsidRPr="00134681">
        <w:rPr>
          <w:rFonts w:ascii="Arial" w:hAnsi="Arial" w:cstheme="minorBidi"/>
          <w:szCs w:val="24"/>
        </w:rPr>
        <w:t>and</w:t>
      </w:r>
      <w:r w:rsidRPr="00134681">
        <w:rPr>
          <w:rFonts w:ascii="Arial" w:hAnsi="Arial" w:cstheme="minorBidi"/>
          <w:szCs w:val="24"/>
        </w:rPr>
        <w:t xml:space="preserve"> the global validity of the studies presented in </w:t>
      </w:r>
      <w:r w:rsidR="002320D8" w:rsidRPr="00134681">
        <w:rPr>
          <w:rFonts w:ascii="Arial" w:hAnsi="Arial" w:cstheme="minorBidi"/>
          <w:szCs w:val="24"/>
        </w:rPr>
        <w:fldChar w:fldCharType="begin"/>
      </w:r>
      <w:r w:rsidR="002320D8" w:rsidRPr="00134681">
        <w:rPr>
          <w:rFonts w:ascii="Arial" w:hAnsi="Arial" w:cstheme="minorBidi"/>
          <w:szCs w:val="24"/>
        </w:rPr>
        <w:instrText xml:space="preserve"> REF _Ref361491623 \h </w:instrText>
      </w:r>
      <w:r w:rsidR="00782EDD" w:rsidRPr="00134681">
        <w:rPr>
          <w:rFonts w:ascii="Arial" w:hAnsi="Arial" w:cstheme="minorBidi"/>
          <w:szCs w:val="24"/>
        </w:rPr>
        <w:instrText xml:space="preserve"> \* MERGEFORMAT </w:instrText>
      </w:r>
      <w:r w:rsidR="002320D8" w:rsidRPr="00134681">
        <w:rPr>
          <w:rFonts w:ascii="Arial" w:hAnsi="Arial" w:cstheme="minorBidi"/>
          <w:szCs w:val="24"/>
        </w:rPr>
      </w:r>
      <w:r w:rsidR="002320D8" w:rsidRPr="00134681">
        <w:rPr>
          <w:rFonts w:ascii="Arial" w:hAnsi="Arial" w:cstheme="minorBidi"/>
          <w:szCs w:val="24"/>
        </w:rPr>
        <w:fldChar w:fldCharType="separate"/>
      </w:r>
      <w:r w:rsidR="00374B77" w:rsidRPr="00374B77">
        <w:rPr>
          <w:rFonts w:ascii="Arial" w:hAnsi="Arial" w:cstheme="minorBidi"/>
          <w:szCs w:val="24"/>
        </w:rPr>
        <w:t xml:space="preserve">Table </w:t>
      </w:r>
      <w:r w:rsidR="00374B77" w:rsidRPr="00374B77">
        <w:rPr>
          <w:rFonts w:ascii="Arial" w:hAnsi="Arial" w:cstheme="minorBidi"/>
          <w:noProof/>
          <w:szCs w:val="24"/>
          <w:cs/>
        </w:rPr>
        <w:t>‎</w:t>
      </w:r>
      <w:r w:rsidR="00374B77">
        <w:rPr>
          <w:rFonts w:cstheme="minorBidi"/>
          <w:b/>
          <w:bCs/>
          <w:noProof/>
          <w:sz w:val="20"/>
          <w:szCs w:val="20"/>
        </w:rPr>
        <w:t>1.2</w:t>
      </w:r>
      <w:r w:rsidR="002320D8" w:rsidRPr="00134681">
        <w:rPr>
          <w:rFonts w:ascii="Arial" w:hAnsi="Arial" w:cstheme="minorBidi"/>
          <w:szCs w:val="24"/>
        </w:rPr>
        <w:fldChar w:fldCharType="end"/>
      </w:r>
    </w:p>
    <w:p w:rsidR="008441CB" w:rsidRDefault="008441CB" w:rsidP="00BF2D74">
      <w:pPr>
        <w:rPr>
          <w:rFonts w:cstheme="minorBidi"/>
        </w:rPr>
      </w:pPr>
    </w:p>
    <w:p w:rsidR="00BF2D74" w:rsidRPr="00BF2D74" w:rsidRDefault="00BF2D74" w:rsidP="00BF2D74">
      <w:pPr>
        <w:rPr>
          <w:rFonts w:cstheme="minorBidi"/>
        </w:rPr>
        <w:sectPr w:rsidR="00BF2D74" w:rsidRPr="00BF2D74" w:rsidSect="00F534E6">
          <w:headerReference w:type="default" r:id="rId35"/>
          <w:type w:val="continuous"/>
          <w:pgSz w:w="11906" w:h="16838"/>
          <w:pgMar w:top="1440" w:right="1298" w:bottom="1151" w:left="2268" w:header="709" w:footer="709" w:gutter="0"/>
          <w:pgNumType w:start="1"/>
          <w:cols w:space="708"/>
          <w:docGrid w:linePitch="360"/>
        </w:sectPr>
      </w:pPr>
    </w:p>
    <w:p w:rsidR="00BF2D74" w:rsidRPr="00782EDD" w:rsidRDefault="00BF2D74" w:rsidP="001D3F19">
      <w:pPr>
        <w:rPr>
          <w:rFonts w:cstheme="minorBidi"/>
          <w:b/>
          <w:bCs/>
          <w:sz w:val="20"/>
          <w:szCs w:val="20"/>
        </w:rPr>
      </w:pPr>
      <w:bookmarkStart w:id="46" w:name="_Ref361491622"/>
      <w:bookmarkStart w:id="47" w:name="_Toc370511722"/>
      <w:proofErr w:type="gramStart"/>
      <w:r w:rsidRPr="00782EDD">
        <w:rPr>
          <w:rFonts w:cstheme="minorBidi"/>
          <w:b/>
          <w:bCs/>
          <w:sz w:val="20"/>
          <w:szCs w:val="20"/>
        </w:rPr>
        <w:lastRenderedPageBreak/>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1</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1</w:t>
      </w:r>
      <w:r w:rsidR="00E7089D">
        <w:rPr>
          <w:rFonts w:cstheme="minorBidi"/>
          <w:b/>
          <w:bCs/>
          <w:sz w:val="20"/>
          <w:szCs w:val="20"/>
        </w:rPr>
        <w:fldChar w:fldCharType="end"/>
      </w:r>
      <w:bookmarkEnd w:id="46"/>
      <w:r w:rsidRPr="00782EDD">
        <w:rPr>
          <w:rFonts w:cstheme="minorBidi"/>
          <w:b/>
          <w:bCs/>
          <w:sz w:val="20"/>
          <w:szCs w:val="20"/>
        </w:rPr>
        <w:t xml:space="preserve"> </w:t>
      </w:r>
      <w:r w:rsidRPr="00782EDD">
        <w:rPr>
          <w:rFonts w:cstheme="minorBidi"/>
          <w:b/>
          <w:bCs/>
          <w:sz w:val="20"/>
          <w:szCs w:val="20"/>
          <w:lang w:val="en-US"/>
        </w:rPr>
        <w:t xml:space="preserve">Characteristics of controlled clinical studies for calcium hydroxide </w:t>
      </w:r>
      <w:r w:rsidR="001C6640" w:rsidRPr="00782EDD">
        <w:rPr>
          <w:rFonts w:cstheme="minorBidi"/>
          <w:b/>
          <w:bCs/>
          <w:sz w:val="20"/>
          <w:szCs w:val="20"/>
          <w:lang w:val="en-US"/>
        </w:rPr>
        <w:t>[</w:t>
      </w:r>
      <w:proofErr w:type="gramStart"/>
      <w:r w:rsidR="001C6640" w:rsidRPr="00782EDD">
        <w:rPr>
          <w:rFonts w:cstheme="minorBidi"/>
          <w:b/>
          <w:bCs/>
          <w:sz w:val="20"/>
          <w:szCs w:val="20"/>
        </w:rPr>
        <w:t>Ca(</w:t>
      </w:r>
      <w:proofErr w:type="gramEnd"/>
      <w:r w:rsidR="001C6640" w:rsidRPr="00782EDD">
        <w:rPr>
          <w:rFonts w:cstheme="minorBidi"/>
          <w:b/>
          <w:bCs/>
          <w:sz w:val="20"/>
          <w:szCs w:val="20"/>
        </w:rPr>
        <w:t>OH)</w:t>
      </w:r>
      <w:r w:rsidR="001C6640" w:rsidRPr="00782EDD">
        <w:rPr>
          <w:rFonts w:cstheme="minorBidi"/>
          <w:b/>
          <w:bCs/>
          <w:sz w:val="20"/>
          <w:szCs w:val="20"/>
          <w:vertAlign w:val="subscript"/>
        </w:rPr>
        <w:t>2</w:t>
      </w:r>
      <w:r w:rsidR="001C6640" w:rsidRPr="00782EDD">
        <w:rPr>
          <w:rFonts w:cstheme="minorBidi"/>
          <w:b/>
          <w:bCs/>
          <w:sz w:val="20"/>
          <w:szCs w:val="20"/>
        </w:rPr>
        <w:t>]</w:t>
      </w:r>
      <w:r w:rsidR="001C6640" w:rsidRPr="00782EDD">
        <w:rPr>
          <w:rFonts w:cstheme="minorBidi"/>
          <w:b/>
          <w:bCs/>
          <w:sz w:val="20"/>
          <w:szCs w:val="20"/>
          <w:vertAlign w:val="subscript"/>
        </w:rPr>
        <w:t xml:space="preserve"> </w:t>
      </w:r>
      <w:r w:rsidRPr="00782EDD">
        <w:rPr>
          <w:rFonts w:cstheme="minorBidi"/>
          <w:b/>
          <w:bCs/>
          <w:sz w:val="20"/>
          <w:szCs w:val="20"/>
          <w:lang w:val="en-US"/>
        </w:rPr>
        <w:t>apexification</w:t>
      </w:r>
      <w:bookmarkEnd w:id="47"/>
    </w:p>
    <w:tbl>
      <w:tblPr>
        <w:tblStyle w:val="TableGrid"/>
        <w:tblW w:w="14000" w:type="dxa"/>
        <w:tblLayout w:type="fixed"/>
        <w:tblLook w:val="04A0" w:firstRow="1" w:lastRow="0" w:firstColumn="1" w:lastColumn="0" w:noHBand="0" w:noVBand="1"/>
      </w:tblPr>
      <w:tblGrid>
        <w:gridCol w:w="1343"/>
        <w:gridCol w:w="1238"/>
        <w:gridCol w:w="1238"/>
        <w:gridCol w:w="1336"/>
        <w:gridCol w:w="1513"/>
        <w:gridCol w:w="1749"/>
        <w:gridCol w:w="2613"/>
        <w:gridCol w:w="2970"/>
      </w:tblGrid>
      <w:tr w:rsidR="0090580B" w:rsidRPr="001E7797" w:rsidTr="0090580B">
        <w:trPr>
          <w:trHeight w:val="852"/>
        </w:trPr>
        <w:tc>
          <w:tcPr>
            <w:tcW w:w="1343" w:type="dxa"/>
            <w:shd w:val="clear" w:color="auto" w:fill="17365D" w:themeFill="text2" w:themeFillShade="BF"/>
            <w:vAlign w:val="center"/>
          </w:tcPr>
          <w:p w:rsidR="0090580B" w:rsidRPr="001E7797" w:rsidRDefault="0090580B" w:rsidP="008A256E">
            <w:pPr>
              <w:jc w:val="center"/>
              <w:rPr>
                <w:rFonts w:cstheme="minorBidi"/>
                <w:b/>
                <w:bCs/>
                <w:sz w:val="20"/>
              </w:rPr>
            </w:pPr>
            <w:bookmarkStart w:id="48" w:name="_Ref360386264"/>
            <w:bookmarkStart w:id="49" w:name="_Toc360367420"/>
            <w:r w:rsidRPr="001E7797">
              <w:rPr>
                <w:rFonts w:cstheme="minorBidi"/>
                <w:b/>
                <w:bCs/>
                <w:sz w:val="20"/>
              </w:rPr>
              <w:t>Author</w:t>
            </w:r>
          </w:p>
        </w:tc>
        <w:tc>
          <w:tcPr>
            <w:tcW w:w="1238" w:type="dxa"/>
            <w:shd w:val="clear" w:color="auto" w:fill="17365D" w:themeFill="text2" w:themeFillShade="BF"/>
            <w:vAlign w:val="center"/>
          </w:tcPr>
          <w:p w:rsidR="0090580B" w:rsidRPr="001E7797" w:rsidRDefault="00727F4B" w:rsidP="008A256E">
            <w:pPr>
              <w:jc w:val="center"/>
              <w:rPr>
                <w:rFonts w:cstheme="minorBidi"/>
                <w:b/>
                <w:bCs/>
                <w:sz w:val="20"/>
              </w:rPr>
            </w:pPr>
            <w:r>
              <w:rPr>
                <w:rFonts w:cstheme="minorBidi"/>
                <w:b/>
                <w:bCs/>
                <w:sz w:val="20"/>
              </w:rPr>
              <w:t>L</w:t>
            </w:r>
            <w:r w:rsidR="0090580B" w:rsidRPr="001E7797">
              <w:rPr>
                <w:rFonts w:cstheme="minorBidi"/>
                <w:b/>
                <w:bCs/>
                <w:sz w:val="20"/>
              </w:rPr>
              <w:t>evel of evidence</w:t>
            </w:r>
          </w:p>
        </w:tc>
        <w:tc>
          <w:tcPr>
            <w:tcW w:w="1238" w:type="dxa"/>
            <w:shd w:val="clear" w:color="auto" w:fill="17365D" w:themeFill="text2" w:themeFillShade="BF"/>
            <w:vAlign w:val="center"/>
          </w:tcPr>
          <w:p w:rsidR="0090580B" w:rsidRPr="001E7797" w:rsidRDefault="0090580B" w:rsidP="008A256E">
            <w:pPr>
              <w:jc w:val="center"/>
              <w:rPr>
                <w:rFonts w:cstheme="minorBidi"/>
                <w:b/>
                <w:bCs/>
                <w:sz w:val="20"/>
              </w:rPr>
            </w:pPr>
            <w:r w:rsidRPr="001E7797">
              <w:rPr>
                <w:rFonts w:cstheme="minorBidi"/>
                <w:b/>
                <w:bCs/>
                <w:sz w:val="20"/>
              </w:rPr>
              <w:t>n (Teeth)</w:t>
            </w:r>
          </w:p>
        </w:tc>
        <w:tc>
          <w:tcPr>
            <w:tcW w:w="1336" w:type="dxa"/>
            <w:shd w:val="clear" w:color="auto" w:fill="17365D" w:themeFill="text2" w:themeFillShade="BF"/>
            <w:vAlign w:val="center"/>
          </w:tcPr>
          <w:p w:rsidR="0090580B" w:rsidRPr="001E7797" w:rsidRDefault="0090580B" w:rsidP="001C6640">
            <w:pPr>
              <w:jc w:val="center"/>
              <w:rPr>
                <w:rFonts w:cstheme="minorBidi"/>
                <w:b/>
                <w:bCs/>
                <w:sz w:val="20"/>
              </w:rPr>
            </w:pPr>
            <w:r w:rsidRPr="001E7797">
              <w:rPr>
                <w:rFonts w:cstheme="minorBidi"/>
                <w:b/>
                <w:bCs/>
                <w:sz w:val="20"/>
              </w:rPr>
              <w:t>Dropout</w:t>
            </w:r>
            <w:r w:rsidR="00727F4B">
              <w:rPr>
                <w:rFonts w:cstheme="minorBidi"/>
                <w:b/>
                <w:bCs/>
                <w:sz w:val="20"/>
              </w:rPr>
              <w:t>s</w:t>
            </w:r>
          </w:p>
        </w:tc>
        <w:tc>
          <w:tcPr>
            <w:tcW w:w="1513" w:type="dxa"/>
            <w:shd w:val="clear" w:color="auto" w:fill="17365D" w:themeFill="text2" w:themeFillShade="BF"/>
            <w:vAlign w:val="center"/>
          </w:tcPr>
          <w:p w:rsidR="0090580B" w:rsidRPr="001E7797" w:rsidRDefault="0090580B" w:rsidP="008A256E">
            <w:pPr>
              <w:jc w:val="center"/>
              <w:rPr>
                <w:rFonts w:cstheme="minorBidi"/>
                <w:b/>
                <w:bCs/>
                <w:sz w:val="20"/>
              </w:rPr>
            </w:pPr>
            <w:r w:rsidRPr="001E7797">
              <w:rPr>
                <w:rFonts w:cstheme="minorBidi"/>
                <w:b/>
                <w:bCs/>
                <w:sz w:val="20"/>
              </w:rPr>
              <w:t>Age</w:t>
            </w:r>
          </w:p>
        </w:tc>
        <w:tc>
          <w:tcPr>
            <w:tcW w:w="1749" w:type="dxa"/>
            <w:shd w:val="clear" w:color="auto" w:fill="17365D" w:themeFill="text2" w:themeFillShade="BF"/>
            <w:vAlign w:val="center"/>
          </w:tcPr>
          <w:p w:rsidR="0090580B" w:rsidRPr="001E7797" w:rsidRDefault="0090580B" w:rsidP="001C6640">
            <w:pPr>
              <w:jc w:val="center"/>
              <w:rPr>
                <w:rFonts w:cstheme="minorBidi"/>
                <w:b/>
                <w:bCs/>
                <w:sz w:val="20"/>
              </w:rPr>
            </w:pPr>
            <w:r w:rsidRPr="001E7797">
              <w:rPr>
                <w:rFonts w:cstheme="minorBidi"/>
                <w:b/>
                <w:bCs/>
                <w:sz w:val="20"/>
              </w:rPr>
              <w:t>Length of  follow</w:t>
            </w:r>
            <w:r w:rsidR="001C6640">
              <w:rPr>
                <w:rFonts w:cstheme="minorBidi"/>
                <w:b/>
                <w:bCs/>
                <w:sz w:val="20"/>
              </w:rPr>
              <w:t>-</w:t>
            </w:r>
            <w:r w:rsidRPr="001E7797">
              <w:rPr>
                <w:rFonts w:cstheme="minorBidi"/>
                <w:b/>
                <w:bCs/>
                <w:sz w:val="20"/>
              </w:rPr>
              <w:t>up</w:t>
            </w:r>
          </w:p>
        </w:tc>
        <w:tc>
          <w:tcPr>
            <w:tcW w:w="2613" w:type="dxa"/>
            <w:shd w:val="clear" w:color="auto" w:fill="17365D" w:themeFill="text2" w:themeFillShade="BF"/>
            <w:vAlign w:val="center"/>
          </w:tcPr>
          <w:p w:rsidR="0090580B" w:rsidRPr="001E7797" w:rsidRDefault="0090580B" w:rsidP="008A256E">
            <w:pPr>
              <w:jc w:val="center"/>
              <w:rPr>
                <w:rFonts w:cstheme="minorBidi"/>
                <w:b/>
                <w:bCs/>
                <w:sz w:val="20"/>
              </w:rPr>
            </w:pPr>
            <w:r w:rsidRPr="001E7797">
              <w:rPr>
                <w:rFonts w:cstheme="minorBidi"/>
                <w:b/>
                <w:bCs/>
                <w:sz w:val="20"/>
              </w:rPr>
              <w:t>Intervention</w:t>
            </w:r>
          </w:p>
        </w:tc>
        <w:tc>
          <w:tcPr>
            <w:tcW w:w="2970" w:type="dxa"/>
            <w:shd w:val="clear" w:color="auto" w:fill="17365D" w:themeFill="text2" w:themeFillShade="BF"/>
            <w:vAlign w:val="center"/>
          </w:tcPr>
          <w:p w:rsidR="0090580B" w:rsidRPr="001E7797" w:rsidRDefault="0090580B" w:rsidP="001C6640">
            <w:pPr>
              <w:jc w:val="center"/>
              <w:rPr>
                <w:rFonts w:cstheme="minorBidi"/>
                <w:b/>
                <w:bCs/>
                <w:sz w:val="20"/>
              </w:rPr>
            </w:pPr>
            <w:r w:rsidRPr="001E7797">
              <w:rPr>
                <w:rFonts w:cstheme="minorBidi"/>
                <w:b/>
                <w:bCs/>
                <w:sz w:val="20"/>
              </w:rPr>
              <w:t>Outcomes</w:t>
            </w:r>
          </w:p>
        </w:tc>
      </w:tr>
      <w:tr w:rsidR="0090580B" w:rsidRPr="001E7797" w:rsidTr="001E7797">
        <w:trPr>
          <w:trHeight w:val="1209"/>
        </w:trPr>
        <w:tc>
          <w:tcPr>
            <w:tcW w:w="1343" w:type="dxa"/>
            <w:shd w:val="clear" w:color="auto" w:fill="BFBFBF" w:themeFill="background1" w:themeFillShade="BF"/>
            <w:vAlign w:val="center"/>
          </w:tcPr>
          <w:p w:rsidR="0090580B" w:rsidRPr="001E7797" w:rsidRDefault="0090580B" w:rsidP="008A256E">
            <w:pPr>
              <w:jc w:val="center"/>
              <w:rPr>
                <w:rFonts w:cstheme="minorBidi"/>
                <w:b/>
                <w:bCs/>
                <w:sz w:val="20"/>
              </w:rPr>
            </w:pPr>
            <w:r w:rsidRPr="007B6AF6">
              <w:rPr>
                <w:rFonts w:cstheme="minorBidi"/>
                <w:b/>
                <w:bCs/>
                <w:sz w:val="20"/>
              </w:rPr>
              <w:t>Roberts</w:t>
            </w:r>
            <w:r w:rsidRPr="001E7797">
              <w:rPr>
                <w:rFonts w:cstheme="minorBidi"/>
                <w:b/>
                <w:bCs/>
                <w:sz w:val="20"/>
              </w:rPr>
              <w:t xml:space="preserve"> &amp; Brilliant</w:t>
            </w:r>
            <w:r w:rsidR="00693F4C" w:rsidRPr="001E7797">
              <w:rPr>
                <w:rFonts w:cstheme="minorBidi"/>
                <w:b/>
                <w:bCs/>
                <w:sz w:val="20"/>
              </w:rPr>
              <w:t>,</w:t>
            </w:r>
            <w:r w:rsidRPr="001E7797">
              <w:rPr>
                <w:rFonts w:cstheme="minorBidi"/>
                <w:b/>
                <w:bCs/>
                <w:sz w:val="20"/>
              </w:rPr>
              <w:t xml:space="preserve"> 1975</w:t>
            </w:r>
          </w:p>
        </w:tc>
        <w:tc>
          <w:tcPr>
            <w:tcW w:w="1238" w:type="dxa"/>
            <w:shd w:val="clear" w:color="auto" w:fill="DDD9C3" w:themeFill="background2" w:themeFillShade="E6"/>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1-</w:t>
            </w:r>
          </w:p>
        </w:tc>
        <w:tc>
          <w:tcPr>
            <w:tcW w:w="1238" w:type="dxa"/>
            <w:shd w:val="clear" w:color="auto" w:fill="F2F2F2" w:themeFill="background1" w:themeFillShade="F2"/>
            <w:vAlign w:val="center"/>
          </w:tcPr>
          <w:p w:rsidR="0090580B" w:rsidRPr="001E7797" w:rsidRDefault="0090580B" w:rsidP="008A256E">
            <w:pPr>
              <w:jc w:val="center"/>
              <w:rPr>
                <w:rFonts w:cstheme="minorBidi"/>
                <w:b/>
                <w:bCs/>
                <w:sz w:val="20"/>
              </w:rPr>
            </w:pPr>
            <w:r w:rsidRPr="001E7797">
              <w:rPr>
                <w:rFonts w:cstheme="minorBidi"/>
                <w:b/>
                <w:bCs/>
                <w:sz w:val="20"/>
              </w:rPr>
              <w:t>Exp= 8</w:t>
            </w:r>
          </w:p>
          <w:p w:rsidR="0090580B" w:rsidRPr="001E7797" w:rsidRDefault="0090580B" w:rsidP="008A256E">
            <w:pPr>
              <w:jc w:val="center"/>
              <w:rPr>
                <w:rFonts w:cstheme="minorBidi"/>
                <w:b/>
                <w:bCs/>
                <w:sz w:val="20"/>
              </w:rPr>
            </w:pPr>
            <w:r w:rsidRPr="001E7797">
              <w:rPr>
                <w:rFonts w:cstheme="minorBidi"/>
                <w:b/>
                <w:bCs/>
                <w:sz w:val="20"/>
              </w:rPr>
              <w:t>Cont=8</w:t>
            </w:r>
          </w:p>
        </w:tc>
        <w:tc>
          <w:tcPr>
            <w:tcW w:w="1336" w:type="dxa"/>
            <w:shd w:val="clear" w:color="auto" w:fill="F2F2F2" w:themeFill="background1" w:themeFillShade="F2"/>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1</w:t>
            </w:r>
          </w:p>
        </w:tc>
        <w:tc>
          <w:tcPr>
            <w:tcW w:w="1513" w:type="dxa"/>
            <w:shd w:val="clear" w:color="auto" w:fill="F2F2F2" w:themeFill="background1" w:themeFillShade="F2"/>
            <w:vAlign w:val="center"/>
          </w:tcPr>
          <w:p w:rsidR="0090580B" w:rsidRPr="001E7797" w:rsidRDefault="0090580B" w:rsidP="008A256E">
            <w:pPr>
              <w:jc w:val="center"/>
              <w:rPr>
                <w:rFonts w:cstheme="minorBidi"/>
                <w:b/>
                <w:bCs/>
                <w:sz w:val="20"/>
              </w:rPr>
            </w:pPr>
            <w:r w:rsidRPr="001E7797">
              <w:rPr>
                <w:rFonts w:cstheme="minorBidi"/>
                <w:b/>
                <w:bCs/>
                <w:sz w:val="20"/>
              </w:rPr>
              <w:t>Reported for each patient</w:t>
            </w:r>
          </w:p>
        </w:tc>
        <w:tc>
          <w:tcPr>
            <w:tcW w:w="1749" w:type="dxa"/>
            <w:shd w:val="clear" w:color="auto" w:fill="F2F2F2" w:themeFill="background1" w:themeFillShade="F2"/>
            <w:vAlign w:val="center"/>
          </w:tcPr>
          <w:p w:rsidR="0090580B" w:rsidRPr="001E7797" w:rsidRDefault="0090580B" w:rsidP="001C6640">
            <w:pPr>
              <w:jc w:val="center"/>
              <w:rPr>
                <w:rFonts w:cstheme="minorBidi"/>
                <w:b/>
                <w:bCs/>
                <w:sz w:val="20"/>
              </w:rPr>
            </w:pPr>
            <w:r w:rsidRPr="001E7797">
              <w:rPr>
                <w:rFonts w:cstheme="minorBidi"/>
                <w:b/>
                <w:bCs/>
                <w:sz w:val="20"/>
              </w:rPr>
              <w:t>No follow</w:t>
            </w:r>
            <w:r w:rsidR="001C6640">
              <w:rPr>
                <w:rFonts w:cstheme="minorBidi"/>
                <w:b/>
                <w:bCs/>
                <w:sz w:val="20"/>
              </w:rPr>
              <w:t>-</w:t>
            </w:r>
            <w:r w:rsidRPr="001E7797">
              <w:rPr>
                <w:rFonts w:cstheme="minorBidi"/>
                <w:b/>
                <w:bCs/>
                <w:sz w:val="20"/>
              </w:rPr>
              <w:t>up after obturation</w:t>
            </w:r>
          </w:p>
        </w:tc>
        <w:tc>
          <w:tcPr>
            <w:tcW w:w="2613" w:type="dxa"/>
            <w:shd w:val="clear" w:color="auto" w:fill="F2DBDB" w:themeFill="accent2" w:themeFillTint="33"/>
            <w:vAlign w:val="center"/>
          </w:tcPr>
          <w:p w:rsidR="0090580B" w:rsidRPr="001E7797" w:rsidRDefault="0090580B" w:rsidP="001C6640">
            <w:pPr>
              <w:jc w:val="center"/>
              <w:rPr>
                <w:rFonts w:cstheme="minorBidi"/>
                <w:b/>
                <w:bCs/>
                <w:sz w:val="20"/>
              </w:rPr>
            </w:pPr>
            <w:r w:rsidRPr="001E7797">
              <w:rPr>
                <w:rFonts w:cstheme="minorBidi"/>
                <w:b/>
                <w:bCs/>
                <w:sz w:val="20"/>
              </w:rPr>
              <w:t>Ca(</w:t>
            </w:r>
            <w:r w:rsidR="001C6640">
              <w:rPr>
                <w:rFonts w:cstheme="minorBidi"/>
                <w:b/>
                <w:bCs/>
                <w:sz w:val="20"/>
              </w:rPr>
              <w:t>O</w:t>
            </w:r>
            <w:r w:rsidRPr="001E7797">
              <w:rPr>
                <w:rFonts w:cstheme="minorBidi"/>
                <w:b/>
                <w:bCs/>
                <w:sz w:val="20"/>
              </w:rPr>
              <w:t>H)</w:t>
            </w:r>
            <w:r w:rsidRPr="001E7797">
              <w:rPr>
                <w:rFonts w:cstheme="minorBidi"/>
                <w:b/>
                <w:bCs/>
                <w:sz w:val="20"/>
                <w:vertAlign w:val="subscript"/>
              </w:rPr>
              <w:t>2</w:t>
            </w:r>
            <w:r w:rsidR="001C6640">
              <w:rPr>
                <w:rFonts w:cstheme="minorBidi"/>
                <w:b/>
                <w:bCs/>
                <w:sz w:val="20"/>
                <w:vertAlign w:val="subscript"/>
              </w:rPr>
              <w:t xml:space="preserve"> </w:t>
            </w:r>
            <w:r w:rsidRPr="001E7797">
              <w:rPr>
                <w:rFonts w:cstheme="minorBidi"/>
                <w:b/>
                <w:bCs/>
                <w:sz w:val="20"/>
                <w:vertAlign w:val="subscript"/>
              </w:rPr>
              <w:t>&amp;</w:t>
            </w:r>
            <w:r w:rsidRPr="001E7797">
              <w:rPr>
                <w:rFonts w:cstheme="minorBidi"/>
                <w:b/>
                <w:bCs/>
                <w:sz w:val="20"/>
              </w:rPr>
              <w:t>Tricalcium phosphate</w:t>
            </w:r>
          </w:p>
        </w:tc>
        <w:tc>
          <w:tcPr>
            <w:tcW w:w="2970" w:type="dxa"/>
            <w:shd w:val="clear" w:color="auto" w:fill="F2DBDB" w:themeFill="accent2" w:themeFillTint="33"/>
            <w:vAlign w:val="center"/>
          </w:tcPr>
          <w:p w:rsidR="0090580B" w:rsidRPr="001E7797" w:rsidRDefault="0090580B" w:rsidP="008A256E">
            <w:pPr>
              <w:jc w:val="center"/>
              <w:rPr>
                <w:rFonts w:cstheme="minorBidi"/>
                <w:b/>
                <w:bCs/>
                <w:sz w:val="20"/>
              </w:rPr>
            </w:pPr>
            <w:r w:rsidRPr="001E7797">
              <w:rPr>
                <w:rFonts w:cstheme="minorBidi"/>
                <w:b/>
                <w:bCs/>
                <w:sz w:val="20"/>
              </w:rPr>
              <w:t>High success but number too small to reach conclusion</w:t>
            </w:r>
          </w:p>
        </w:tc>
      </w:tr>
      <w:tr w:rsidR="0090580B" w:rsidRPr="001E7797" w:rsidTr="001E7797">
        <w:trPr>
          <w:trHeight w:val="1209"/>
        </w:trPr>
        <w:tc>
          <w:tcPr>
            <w:tcW w:w="1343" w:type="dxa"/>
            <w:shd w:val="clear" w:color="auto" w:fill="BFBFBF" w:themeFill="background1" w:themeFillShade="BF"/>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 xml:space="preserve">Mackie </w:t>
            </w:r>
            <w:r w:rsidRPr="001E7797">
              <w:rPr>
                <w:rFonts w:cstheme="minorBidi"/>
                <w:b/>
                <w:bCs/>
                <w:i/>
                <w:iCs/>
                <w:sz w:val="20"/>
              </w:rPr>
              <w:t>et al</w:t>
            </w:r>
            <w:r w:rsidR="00693F4C" w:rsidRPr="001E7797">
              <w:rPr>
                <w:rFonts w:cstheme="minorBidi"/>
                <w:b/>
                <w:bCs/>
                <w:i/>
                <w:iCs/>
                <w:sz w:val="20"/>
              </w:rPr>
              <w:t>.,</w:t>
            </w:r>
            <w:r w:rsidRPr="001E7797">
              <w:rPr>
                <w:rFonts w:cstheme="minorBidi"/>
                <w:b/>
                <w:bCs/>
                <w:i/>
                <w:iCs/>
                <w:sz w:val="20"/>
              </w:rPr>
              <w:t xml:space="preserve"> </w:t>
            </w:r>
            <w:r w:rsidRPr="001E7797">
              <w:rPr>
                <w:rFonts w:cstheme="minorBidi"/>
                <w:b/>
                <w:bCs/>
                <w:sz w:val="20"/>
              </w:rPr>
              <w:t>1994</w:t>
            </w:r>
          </w:p>
        </w:tc>
        <w:tc>
          <w:tcPr>
            <w:tcW w:w="1238" w:type="dxa"/>
            <w:shd w:val="clear" w:color="auto" w:fill="DDD9C3" w:themeFill="background2" w:themeFillShade="E6"/>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2</w:t>
            </w:r>
          </w:p>
        </w:tc>
        <w:tc>
          <w:tcPr>
            <w:tcW w:w="1238" w:type="dxa"/>
            <w:shd w:val="clear" w:color="auto" w:fill="F2F2F2" w:themeFill="background1" w:themeFillShade="F2"/>
            <w:vAlign w:val="center"/>
          </w:tcPr>
          <w:p w:rsidR="0090580B" w:rsidRPr="001E7797" w:rsidRDefault="0090580B" w:rsidP="008A256E">
            <w:pPr>
              <w:jc w:val="center"/>
              <w:rPr>
                <w:rFonts w:cstheme="minorBidi"/>
                <w:b/>
                <w:bCs/>
                <w:sz w:val="20"/>
              </w:rPr>
            </w:pPr>
            <w:r w:rsidRPr="001E7797">
              <w:rPr>
                <w:rFonts w:cstheme="minorBidi"/>
                <w:b/>
                <w:bCs/>
                <w:sz w:val="20"/>
              </w:rPr>
              <w:t>Exp= 19</w:t>
            </w:r>
          </w:p>
          <w:p w:rsidR="0090580B" w:rsidRPr="001E7797" w:rsidRDefault="0090580B" w:rsidP="008A256E">
            <w:pPr>
              <w:jc w:val="center"/>
              <w:rPr>
                <w:rFonts w:cstheme="minorBidi"/>
                <w:b/>
                <w:bCs/>
                <w:sz w:val="20"/>
              </w:rPr>
            </w:pPr>
            <w:r w:rsidRPr="001E7797">
              <w:rPr>
                <w:rFonts w:cstheme="minorBidi"/>
                <w:b/>
                <w:bCs/>
                <w:sz w:val="20"/>
              </w:rPr>
              <w:t>Cont=19</w:t>
            </w:r>
          </w:p>
        </w:tc>
        <w:tc>
          <w:tcPr>
            <w:tcW w:w="1336" w:type="dxa"/>
            <w:shd w:val="clear" w:color="auto" w:fill="F2F2F2" w:themeFill="background1" w:themeFillShade="F2"/>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3</w:t>
            </w:r>
          </w:p>
        </w:tc>
        <w:tc>
          <w:tcPr>
            <w:tcW w:w="1513" w:type="dxa"/>
            <w:shd w:val="clear" w:color="auto" w:fill="F2F2F2" w:themeFill="background1" w:themeFillShade="F2"/>
            <w:vAlign w:val="center"/>
          </w:tcPr>
          <w:p w:rsidR="0090580B" w:rsidRPr="001E7797" w:rsidRDefault="0090580B" w:rsidP="008A256E">
            <w:pPr>
              <w:jc w:val="center"/>
              <w:rPr>
                <w:rFonts w:cstheme="minorBidi"/>
                <w:b/>
                <w:bCs/>
                <w:sz w:val="20"/>
              </w:rPr>
            </w:pPr>
            <w:r w:rsidRPr="001E7797">
              <w:rPr>
                <w:rFonts w:cstheme="minorBidi"/>
                <w:b/>
                <w:bCs/>
                <w:sz w:val="20"/>
              </w:rPr>
              <w:t>6-10 years</w:t>
            </w:r>
          </w:p>
          <w:p w:rsidR="0090580B" w:rsidRPr="001E7797" w:rsidRDefault="0090580B" w:rsidP="008A256E">
            <w:pPr>
              <w:jc w:val="center"/>
              <w:rPr>
                <w:rFonts w:cstheme="minorBidi"/>
                <w:b/>
                <w:bCs/>
                <w:sz w:val="20"/>
              </w:rPr>
            </w:pPr>
            <w:r w:rsidRPr="001E7797">
              <w:rPr>
                <w:rFonts w:cstheme="minorBidi"/>
                <w:b/>
                <w:bCs/>
                <w:sz w:val="20"/>
              </w:rPr>
              <w:t>11 &amp; older</w:t>
            </w:r>
          </w:p>
        </w:tc>
        <w:tc>
          <w:tcPr>
            <w:tcW w:w="1749" w:type="dxa"/>
            <w:shd w:val="clear" w:color="auto" w:fill="F2F2F2" w:themeFill="background1" w:themeFillShade="F2"/>
            <w:vAlign w:val="center"/>
          </w:tcPr>
          <w:p w:rsidR="0090580B" w:rsidRPr="001E7797" w:rsidRDefault="0090580B" w:rsidP="001C6640">
            <w:pPr>
              <w:jc w:val="center"/>
              <w:rPr>
                <w:rFonts w:cstheme="minorBidi"/>
                <w:b/>
                <w:bCs/>
                <w:sz w:val="20"/>
              </w:rPr>
            </w:pPr>
            <w:r w:rsidRPr="001E7797">
              <w:rPr>
                <w:rFonts w:cstheme="minorBidi"/>
                <w:b/>
                <w:bCs/>
                <w:sz w:val="20"/>
              </w:rPr>
              <w:t>No follow</w:t>
            </w:r>
            <w:r w:rsidR="001C6640">
              <w:rPr>
                <w:rFonts w:cstheme="minorBidi"/>
                <w:b/>
                <w:bCs/>
                <w:sz w:val="20"/>
              </w:rPr>
              <w:t>-</w:t>
            </w:r>
            <w:r w:rsidRPr="001E7797">
              <w:rPr>
                <w:rFonts w:cstheme="minorBidi"/>
                <w:b/>
                <w:bCs/>
                <w:sz w:val="20"/>
              </w:rPr>
              <w:t>up after apical closure</w:t>
            </w:r>
          </w:p>
        </w:tc>
        <w:tc>
          <w:tcPr>
            <w:tcW w:w="2613" w:type="dxa"/>
            <w:shd w:val="clear" w:color="auto" w:fill="F2DBDB" w:themeFill="accent2" w:themeFillTint="33"/>
            <w:vAlign w:val="center"/>
          </w:tcPr>
          <w:p w:rsidR="0090580B" w:rsidRPr="001E7797" w:rsidRDefault="0090580B" w:rsidP="008A256E">
            <w:pPr>
              <w:jc w:val="center"/>
              <w:rPr>
                <w:rFonts w:cstheme="minorBidi"/>
                <w:b/>
                <w:bCs/>
                <w:sz w:val="20"/>
              </w:rPr>
            </w:pPr>
          </w:p>
          <w:p w:rsidR="0090580B" w:rsidRPr="001E7797" w:rsidRDefault="0090580B" w:rsidP="001C6640">
            <w:pPr>
              <w:jc w:val="center"/>
              <w:rPr>
                <w:rFonts w:cstheme="minorBidi"/>
                <w:b/>
                <w:bCs/>
                <w:sz w:val="20"/>
              </w:rPr>
            </w:pPr>
            <w:r w:rsidRPr="001E7797">
              <w:rPr>
                <w:rFonts w:cstheme="minorBidi"/>
                <w:b/>
                <w:bCs/>
                <w:sz w:val="20"/>
              </w:rPr>
              <w:t>Two Ca(</w:t>
            </w:r>
            <w:r w:rsidR="001C6640">
              <w:rPr>
                <w:rFonts w:cstheme="minorBidi"/>
                <w:b/>
                <w:bCs/>
                <w:sz w:val="20"/>
              </w:rPr>
              <w:t>O</w:t>
            </w:r>
            <w:r w:rsidRPr="001E7797">
              <w:rPr>
                <w:rFonts w:cstheme="minorBidi"/>
                <w:b/>
                <w:bCs/>
                <w:sz w:val="20"/>
              </w:rPr>
              <w:t>H)</w:t>
            </w:r>
            <w:r w:rsidRPr="001E7797">
              <w:rPr>
                <w:rFonts w:cstheme="minorBidi"/>
                <w:b/>
                <w:bCs/>
                <w:sz w:val="20"/>
                <w:vertAlign w:val="subscript"/>
              </w:rPr>
              <w:t>2</w:t>
            </w:r>
            <w:r w:rsidRPr="001E7797">
              <w:rPr>
                <w:rFonts w:cstheme="minorBidi"/>
                <w:b/>
                <w:bCs/>
                <w:sz w:val="20"/>
              </w:rPr>
              <w:t xml:space="preserve"> pastes</w:t>
            </w:r>
          </w:p>
        </w:tc>
        <w:tc>
          <w:tcPr>
            <w:tcW w:w="2970" w:type="dxa"/>
            <w:shd w:val="clear" w:color="auto" w:fill="F2DBDB" w:themeFill="accent2" w:themeFillTint="33"/>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100% success</w:t>
            </w:r>
          </w:p>
        </w:tc>
      </w:tr>
      <w:tr w:rsidR="0090580B" w:rsidRPr="001E7797" w:rsidTr="001E7797">
        <w:trPr>
          <w:trHeight w:val="1209"/>
        </w:trPr>
        <w:tc>
          <w:tcPr>
            <w:tcW w:w="1343" w:type="dxa"/>
            <w:shd w:val="clear" w:color="auto" w:fill="BFBFBF" w:themeFill="background1" w:themeFillShade="BF"/>
            <w:vAlign w:val="center"/>
          </w:tcPr>
          <w:p w:rsidR="0090580B" w:rsidRPr="001E7797" w:rsidRDefault="0090580B" w:rsidP="008A256E">
            <w:pPr>
              <w:jc w:val="center"/>
              <w:rPr>
                <w:rFonts w:cstheme="minorBidi"/>
                <w:b/>
                <w:bCs/>
                <w:sz w:val="20"/>
              </w:rPr>
            </w:pPr>
            <w:r w:rsidRPr="001E7797">
              <w:rPr>
                <w:rFonts w:cstheme="minorBidi"/>
                <w:b/>
                <w:bCs/>
                <w:sz w:val="20"/>
              </w:rPr>
              <w:t>Coveillo &amp; Brilliant</w:t>
            </w:r>
            <w:r w:rsidR="00693F4C" w:rsidRPr="001E7797">
              <w:rPr>
                <w:rFonts w:cstheme="minorBidi"/>
                <w:b/>
                <w:bCs/>
                <w:sz w:val="20"/>
              </w:rPr>
              <w:t>,</w:t>
            </w:r>
            <w:r w:rsidRPr="001E7797">
              <w:rPr>
                <w:rFonts w:cstheme="minorBidi"/>
                <w:b/>
                <w:bCs/>
                <w:sz w:val="20"/>
              </w:rPr>
              <w:t xml:space="preserve"> 1979</w:t>
            </w:r>
          </w:p>
        </w:tc>
        <w:tc>
          <w:tcPr>
            <w:tcW w:w="1238" w:type="dxa"/>
            <w:shd w:val="clear" w:color="auto" w:fill="DDD9C3" w:themeFill="background2" w:themeFillShade="E6"/>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1-</w:t>
            </w:r>
          </w:p>
        </w:tc>
        <w:tc>
          <w:tcPr>
            <w:tcW w:w="1238" w:type="dxa"/>
            <w:shd w:val="clear" w:color="auto" w:fill="F2F2F2" w:themeFill="background1" w:themeFillShade="F2"/>
            <w:vAlign w:val="center"/>
          </w:tcPr>
          <w:p w:rsidR="0090580B" w:rsidRPr="001E7797" w:rsidRDefault="0090580B" w:rsidP="008A256E">
            <w:pPr>
              <w:jc w:val="center"/>
              <w:rPr>
                <w:rFonts w:cstheme="minorBidi"/>
                <w:b/>
                <w:bCs/>
                <w:sz w:val="20"/>
              </w:rPr>
            </w:pPr>
            <w:r w:rsidRPr="001E7797">
              <w:rPr>
                <w:rFonts w:cstheme="minorBidi"/>
                <w:b/>
                <w:bCs/>
                <w:sz w:val="20"/>
              </w:rPr>
              <w:t>Exp= 42</w:t>
            </w:r>
          </w:p>
          <w:p w:rsidR="0090580B" w:rsidRPr="001E7797" w:rsidRDefault="0090580B" w:rsidP="008A256E">
            <w:pPr>
              <w:jc w:val="center"/>
              <w:rPr>
                <w:rFonts w:cstheme="minorBidi"/>
                <w:b/>
                <w:bCs/>
                <w:sz w:val="20"/>
              </w:rPr>
            </w:pPr>
            <w:r w:rsidRPr="001E7797">
              <w:rPr>
                <w:rFonts w:cstheme="minorBidi"/>
                <w:b/>
                <w:bCs/>
                <w:sz w:val="20"/>
              </w:rPr>
              <w:t>Cont=59</w:t>
            </w:r>
          </w:p>
        </w:tc>
        <w:tc>
          <w:tcPr>
            <w:tcW w:w="1336" w:type="dxa"/>
            <w:shd w:val="clear" w:color="auto" w:fill="F2F2F2" w:themeFill="background1" w:themeFillShade="F2"/>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14</w:t>
            </w:r>
          </w:p>
        </w:tc>
        <w:tc>
          <w:tcPr>
            <w:tcW w:w="1513" w:type="dxa"/>
            <w:shd w:val="clear" w:color="auto" w:fill="F2F2F2" w:themeFill="background1" w:themeFillShade="F2"/>
            <w:vAlign w:val="center"/>
          </w:tcPr>
          <w:p w:rsidR="0090580B" w:rsidRPr="001E7797" w:rsidRDefault="0090580B" w:rsidP="008A256E">
            <w:pPr>
              <w:jc w:val="center"/>
              <w:rPr>
                <w:rFonts w:cstheme="minorBidi"/>
                <w:b/>
                <w:bCs/>
                <w:sz w:val="20"/>
              </w:rPr>
            </w:pPr>
            <w:r w:rsidRPr="001E7797">
              <w:rPr>
                <w:rFonts w:cstheme="minorBidi"/>
                <w:b/>
                <w:bCs/>
                <w:sz w:val="20"/>
              </w:rPr>
              <w:t>Not defined</w:t>
            </w:r>
          </w:p>
        </w:tc>
        <w:tc>
          <w:tcPr>
            <w:tcW w:w="1749" w:type="dxa"/>
            <w:shd w:val="clear" w:color="auto" w:fill="F2F2F2" w:themeFill="background1" w:themeFillShade="F2"/>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9 months</w:t>
            </w:r>
          </w:p>
        </w:tc>
        <w:tc>
          <w:tcPr>
            <w:tcW w:w="2613" w:type="dxa"/>
            <w:shd w:val="clear" w:color="auto" w:fill="F2DBDB" w:themeFill="accent2" w:themeFillTint="33"/>
            <w:vAlign w:val="center"/>
          </w:tcPr>
          <w:p w:rsidR="0090580B" w:rsidRPr="001E7797" w:rsidRDefault="0090580B" w:rsidP="001C6640">
            <w:pPr>
              <w:jc w:val="center"/>
              <w:rPr>
                <w:rFonts w:cstheme="minorBidi"/>
                <w:b/>
                <w:bCs/>
                <w:sz w:val="20"/>
              </w:rPr>
            </w:pPr>
            <w:r w:rsidRPr="001E7797">
              <w:rPr>
                <w:rFonts w:cstheme="minorBidi"/>
                <w:b/>
                <w:bCs/>
                <w:sz w:val="20"/>
              </w:rPr>
              <w:t>Ca(oH)</w:t>
            </w:r>
            <w:r w:rsidRPr="001E7797">
              <w:rPr>
                <w:rFonts w:cstheme="minorBidi"/>
                <w:b/>
                <w:bCs/>
                <w:sz w:val="20"/>
                <w:vertAlign w:val="subscript"/>
              </w:rPr>
              <w:t>2</w:t>
            </w:r>
            <w:r w:rsidRPr="001E7797">
              <w:rPr>
                <w:rFonts w:cstheme="minorBidi"/>
                <w:b/>
                <w:bCs/>
                <w:sz w:val="20"/>
              </w:rPr>
              <w:t>+Tricalciumphosphate &amp; Ca(</w:t>
            </w:r>
            <w:r w:rsidR="001C6640">
              <w:rPr>
                <w:rFonts w:cstheme="minorBidi"/>
                <w:b/>
                <w:bCs/>
                <w:sz w:val="20"/>
              </w:rPr>
              <w:t>O</w:t>
            </w:r>
            <w:r w:rsidRPr="001E7797">
              <w:rPr>
                <w:rFonts w:cstheme="minorBidi"/>
                <w:b/>
                <w:bCs/>
                <w:sz w:val="20"/>
              </w:rPr>
              <w:t>H)</w:t>
            </w:r>
            <w:r w:rsidRPr="001E7797">
              <w:rPr>
                <w:rFonts w:cstheme="minorBidi"/>
                <w:b/>
                <w:bCs/>
                <w:sz w:val="20"/>
                <w:vertAlign w:val="subscript"/>
              </w:rPr>
              <w:t>2</w:t>
            </w:r>
            <w:r w:rsidRPr="001E7797">
              <w:rPr>
                <w:rFonts w:cstheme="minorBidi"/>
                <w:b/>
                <w:bCs/>
                <w:sz w:val="20"/>
              </w:rPr>
              <w:t xml:space="preserve"> Apexification</w:t>
            </w:r>
          </w:p>
        </w:tc>
        <w:tc>
          <w:tcPr>
            <w:tcW w:w="2970" w:type="dxa"/>
            <w:shd w:val="clear" w:color="auto" w:fill="F2DBDB" w:themeFill="accent2" w:themeFillTint="33"/>
            <w:vAlign w:val="center"/>
          </w:tcPr>
          <w:p w:rsidR="0090580B" w:rsidRPr="001E7797" w:rsidRDefault="0090580B" w:rsidP="008A256E">
            <w:pPr>
              <w:jc w:val="center"/>
              <w:rPr>
                <w:rFonts w:cstheme="minorBidi"/>
                <w:b/>
                <w:bCs/>
                <w:sz w:val="20"/>
                <w:vertAlign w:val="subscript"/>
              </w:rPr>
            </w:pPr>
            <w:r w:rsidRPr="001E7797">
              <w:rPr>
                <w:rFonts w:cstheme="minorBidi"/>
                <w:b/>
                <w:bCs/>
                <w:sz w:val="20"/>
              </w:rPr>
              <w:t>82%withCa(</w:t>
            </w:r>
            <w:r w:rsidR="001C6640">
              <w:rPr>
                <w:rFonts w:cstheme="minorBidi"/>
                <w:b/>
                <w:bCs/>
                <w:sz w:val="20"/>
              </w:rPr>
              <w:t>O</w:t>
            </w:r>
            <w:r w:rsidRPr="001E7797">
              <w:rPr>
                <w:rFonts w:cstheme="minorBidi"/>
                <w:b/>
                <w:bCs/>
                <w:sz w:val="20"/>
              </w:rPr>
              <w:t>H)</w:t>
            </w:r>
            <w:r w:rsidRPr="001E7797">
              <w:rPr>
                <w:rFonts w:cstheme="minorBidi"/>
                <w:b/>
                <w:bCs/>
                <w:sz w:val="20"/>
                <w:vertAlign w:val="subscript"/>
              </w:rPr>
              <w:t>2+</w:t>
            </w:r>
            <w:r w:rsidRPr="001E7797">
              <w:rPr>
                <w:rFonts w:cstheme="minorBidi"/>
                <w:b/>
                <w:bCs/>
                <w:sz w:val="20"/>
              </w:rPr>
              <w:t>Tricalciumphosphate</w:t>
            </w:r>
            <w:r w:rsidR="001C6640">
              <w:rPr>
                <w:rFonts w:cstheme="minorBidi"/>
                <w:b/>
                <w:bCs/>
                <w:sz w:val="20"/>
              </w:rPr>
              <w:t xml:space="preserve"> </w:t>
            </w:r>
            <w:r w:rsidRPr="001E7797">
              <w:rPr>
                <w:rFonts w:cstheme="minorBidi"/>
                <w:b/>
                <w:bCs/>
                <w:sz w:val="20"/>
              </w:rPr>
              <w:t>&amp; 63.5 with Ca(</w:t>
            </w:r>
            <w:r w:rsidR="001C6640">
              <w:rPr>
                <w:rFonts w:cstheme="minorBidi"/>
                <w:b/>
                <w:bCs/>
                <w:sz w:val="20"/>
              </w:rPr>
              <w:t>O</w:t>
            </w:r>
            <w:r w:rsidRPr="001E7797">
              <w:rPr>
                <w:rFonts w:cstheme="minorBidi"/>
                <w:b/>
                <w:bCs/>
                <w:sz w:val="20"/>
              </w:rPr>
              <w:t>H)</w:t>
            </w:r>
            <w:r w:rsidRPr="001E7797">
              <w:rPr>
                <w:rFonts w:cstheme="minorBidi"/>
                <w:b/>
                <w:bCs/>
                <w:sz w:val="20"/>
                <w:vertAlign w:val="subscript"/>
              </w:rPr>
              <w:t>2</w:t>
            </w:r>
            <w:r w:rsidRPr="001E7797">
              <w:rPr>
                <w:rFonts w:cstheme="minorBidi"/>
                <w:b/>
                <w:bCs/>
                <w:sz w:val="20"/>
              </w:rPr>
              <w:t xml:space="preserve"> Apexification</w:t>
            </w:r>
          </w:p>
          <w:p w:rsidR="0090580B" w:rsidRPr="001E7797" w:rsidRDefault="0090580B" w:rsidP="008A256E">
            <w:pPr>
              <w:jc w:val="center"/>
              <w:rPr>
                <w:rFonts w:cstheme="minorBidi"/>
                <w:b/>
                <w:bCs/>
                <w:sz w:val="20"/>
              </w:rPr>
            </w:pPr>
          </w:p>
        </w:tc>
      </w:tr>
      <w:tr w:rsidR="0090580B" w:rsidRPr="001E7797" w:rsidTr="001E7797">
        <w:trPr>
          <w:trHeight w:val="1209"/>
        </w:trPr>
        <w:tc>
          <w:tcPr>
            <w:tcW w:w="1343" w:type="dxa"/>
            <w:shd w:val="clear" w:color="auto" w:fill="BFBFBF" w:themeFill="background1" w:themeFillShade="BF"/>
            <w:vAlign w:val="center"/>
          </w:tcPr>
          <w:p w:rsidR="0090580B" w:rsidRPr="001E7797" w:rsidRDefault="0090580B" w:rsidP="008A256E">
            <w:pPr>
              <w:jc w:val="center"/>
              <w:rPr>
                <w:rFonts w:cstheme="minorBidi"/>
                <w:b/>
                <w:bCs/>
                <w:sz w:val="20"/>
              </w:rPr>
            </w:pPr>
            <w:r w:rsidRPr="001E7797">
              <w:rPr>
                <w:rFonts w:cstheme="minorBidi"/>
                <w:b/>
                <w:bCs/>
                <w:sz w:val="20"/>
              </w:rPr>
              <w:t>Yates</w:t>
            </w:r>
            <w:r w:rsidR="00693F4C" w:rsidRPr="001E7797">
              <w:rPr>
                <w:rFonts w:cstheme="minorBidi"/>
                <w:b/>
                <w:bCs/>
                <w:sz w:val="20"/>
              </w:rPr>
              <w:t>,</w:t>
            </w:r>
            <w:r w:rsidRPr="001E7797">
              <w:rPr>
                <w:rFonts w:cstheme="minorBidi"/>
                <w:b/>
                <w:bCs/>
                <w:sz w:val="20"/>
              </w:rPr>
              <w:t xml:space="preserve"> 1988</w:t>
            </w:r>
          </w:p>
        </w:tc>
        <w:tc>
          <w:tcPr>
            <w:tcW w:w="1238" w:type="dxa"/>
            <w:shd w:val="clear" w:color="auto" w:fill="DDD9C3" w:themeFill="background2" w:themeFillShade="E6"/>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1-</w:t>
            </w:r>
          </w:p>
        </w:tc>
        <w:tc>
          <w:tcPr>
            <w:tcW w:w="1238" w:type="dxa"/>
            <w:shd w:val="clear" w:color="auto" w:fill="F2F2F2" w:themeFill="background1" w:themeFillShade="F2"/>
            <w:vAlign w:val="center"/>
          </w:tcPr>
          <w:p w:rsidR="0090580B" w:rsidRPr="001E7797" w:rsidRDefault="0090580B" w:rsidP="008A256E">
            <w:pPr>
              <w:jc w:val="center"/>
              <w:rPr>
                <w:rFonts w:cstheme="minorBidi"/>
                <w:b/>
                <w:bCs/>
                <w:sz w:val="20"/>
              </w:rPr>
            </w:pPr>
            <w:r w:rsidRPr="001E7797">
              <w:rPr>
                <w:rFonts w:cstheme="minorBidi"/>
                <w:b/>
                <w:bCs/>
                <w:sz w:val="20"/>
              </w:rPr>
              <w:t>Exp= 22</w:t>
            </w:r>
          </w:p>
          <w:p w:rsidR="0090580B" w:rsidRPr="001E7797" w:rsidRDefault="0090580B" w:rsidP="008A256E">
            <w:pPr>
              <w:jc w:val="center"/>
              <w:rPr>
                <w:rFonts w:cstheme="minorBidi"/>
                <w:b/>
                <w:bCs/>
                <w:sz w:val="20"/>
              </w:rPr>
            </w:pPr>
            <w:r w:rsidRPr="001E7797">
              <w:rPr>
                <w:rFonts w:cstheme="minorBidi"/>
                <w:b/>
                <w:bCs/>
                <w:sz w:val="20"/>
              </w:rPr>
              <w:t>Cont=26</w:t>
            </w:r>
          </w:p>
        </w:tc>
        <w:tc>
          <w:tcPr>
            <w:tcW w:w="1336" w:type="dxa"/>
            <w:shd w:val="clear" w:color="auto" w:fill="F2F2F2" w:themeFill="background1" w:themeFillShade="F2"/>
            <w:vAlign w:val="center"/>
          </w:tcPr>
          <w:p w:rsidR="0090580B" w:rsidRPr="001E7797" w:rsidRDefault="0090580B" w:rsidP="008A256E">
            <w:pPr>
              <w:jc w:val="center"/>
              <w:rPr>
                <w:rFonts w:cstheme="minorBidi"/>
                <w:b/>
                <w:bCs/>
                <w:sz w:val="20"/>
              </w:rPr>
            </w:pPr>
            <w:r w:rsidRPr="001E7797">
              <w:rPr>
                <w:rFonts w:cstheme="minorBidi"/>
                <w:b/>
                <w:bCs/>
                <w:sz w:val="20"/>
              </w:rPr>
              <w:t>Not reported</w:t>
            </w:r>
          </w:p>
        </w:tc>
        <w:tc>
          <w:tcPr>
            <w:tcW w:w="1513" w:type="dxa"/>
            <w:shd w:val="clear" w:color="auto" w:fill="F2F2F2" w:themeFill="background1" w:themeFillShade="F2"/>
            <w:vAlign w:val="center"/>
          </w:tcPr>
          <w:p w:rsidR="0090580B" w:rsidRPr="001E7797" w:rsidRDefault="0090580B" w:rsidP="008A256E">
            <w:pPr>
              <w:jc w:val="center"/>
              <w:rPr>
                <w:rFonts w:cstheme="minorBidi"/>
                <w:b/>
                <w:bCs/>
                <w:sz w:val="20"/>
              </w:rPr>
            </w:pPr>
            <w:r w:rsidRPr="001E7797">
              <w:rPr>
                <w:rFonts w:cstheme="minorBidi"/>
                <w:b/>
                <w:bCs/>
                <w:sz w:val="20"/>
              </w:rPr>
              <w:t>Mean 10.3y</w:t>
            </w:r>
          </w:p>
          <w:p w:rsidR="0090580B" w:rsidRPr="001E7797" w:rsidRDefault="0090580B" w:rsidP="008A256E">
            <w:pPr>
              <w:jc w:val="center"/>
              <w:rPr>
                <w:rFonts w:cstheme="minorBidi"/>
                <w:b/>
                <w:bCs/>
                <w:sz w:val="20"/>
              </w:rPr>
            </w:pPr>
            <w:r w:rsidRPr="001E7797">
              <w:rPr>
                <w:rFonts w:cstheme="minorBidi"/>
                <w:b/>
                <w:bCs/>
                <w:sz w:val="20"/>
              </w:rPr>
              <w:t>9.5 years</w:t>
            </w:r>
          </w:p>
        </w:tc>
        <w:tc>
          <w:tcPr>
            <w:tcW w:w="1749" w:type="dxa"/>
            <w:shd w:val="clear" w:color="auto" w:fill="F2F2F2" w:themeFill="background1" w:themeFillShade="F2"/>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1 – 7 years</w:t>
            </w:r>
          </w:p>
        </w:tc>
        <w:tc>
          <w:tcPr>
            <w:tcW w:w="2613" w:type="dxa"/>
            <w:shd w:val="clear" w:color="auto" w:fill="F2DBDB" w:themeFill="accent2" w:themeFillTint="33"/>
            <w:vAlign w:val="center"/>
          </w:tcPr>
          <w:p w:rsidR="0090580B" w:rsidRPr="001E7797" w:rsidRDefault="0090580B" w:rsidP="008A256E">
            <w:pPr>
              <w:jc w:val="center"/>
              <w:rPr>
                <w:rFonts w:cstheme="minorBidi"/>
                <w:b/>
                <w:bCs/>
                <w:sz w:val="20"/>
              </w:rPr>
            </w:pPr>
          </w:p>
          <w:p w:rsidR="0090580B" w:rsidRPr="001E7797" w:rsidRDefault="0090580B" w:rsidP="001C6640">
            <w:pPr>
              <w:jc w:val="center"/>
              <w:rPr>
                <w:rFonts w:cstheme="minorBidi"/>
                <w:b/>
                <w:bCs/>
                <w:sz w:val="20"/>
              </w:rPr>
            </w:pPr>
            <w:r w:rsidRPr="001E7797">
              <w:rPr>
                <w:rFonts w:cstheme="minorBidi"/>
                <w:b/>
                <w:bCs/>
                <w:sz w:val="20"/>
              </w:rPr>
              <w:t>Ca(</w:t>
            </w:r>
            <w:r w:rsidR="001C6640">
              <w:rPr>
                <w:rFonts w:cstheme="minorBidi"/>
                <w:b/>
                <w:bCs/>
                <w:sz w:val="20"/>
              </w:rPr>
              <w:t>O</w:t>
            </w:r>
            <w:r w:rsidRPr="001E7797">
              <w:rPr>
                <w:rFonts w:cstheme="minorBidi"/>
                <w:b/>
                <w:bCs/>
                <w:sz w:val="20"/>
              </w:rPr>
              <w:t>H)</w:t>
            </w:r>
            <w:r w:rsidRPr="001E7797">
              <w:rPr>
                <w:rFonts w:cstheme="minorBidi"/>
                <w:b/>
                <w:bCs/>
                <w:sz w:val="20"/>
                <w:vertAlign w:val="subscript"/>
              </w:rPr>
              <w:t>2</w:t>
            </w:r>
            <w:r w:rsidRPr="001E7797">
              <w:rPr>
                <w:rFonts w:cstheme="minorBidi"/>
                <w:b/>
                <w:bCs/>
                <w:sz w:val="20"/>
              </w:rPr>
              <w:t xml:space="preserve"> Apexification</w:t>
            </w:r>
          </w:p>
        </w:tc>
        <w:tc>
          <w:tcPr>
            <w:tcW w:w="2970" w:type="dxa"/>
            <w:shd w:val="clear" w:color="auto" w:fill="F2DBDB" w:themeFill="accent2" w:themeFillTint="33"/>
            <w:vAlign w:val="center"/>
          </w:tcPr>
          <w:p w:rsidR="0090580B" w:rsidRPr="001E7797" w:rsidRDefault="0090580B" w:rsidP="008A256E">
            <w:pPr>
              <w:jc w:val="center"/>
              <w:rPr>
                <w:rFonts w:cstheme="minorBidi"/>
                <w:b/>
                <w:bCs/>
                <w:sz w:val="20"/>
              </w:rPr>
            </w:pPr>
            <w:r w:rsidRPr="001E7797">
              <w:rPr>
                <w:rFonts w:cstheme="minorBidi"/>
                <w:b/>
                <w:bCs/>
                <w:sz w:val="20"/>
              </w:rPr>
              <w:t>100% success with 9 months better formation</w:t>
            </w:r>
          </w:p>
        </w:tc>
      </w:tr>
      <w:tr w:rsidR="0090580B" w:rsidRPr="001E7797" w:rsidTr="001E7797">
        <w:trPr>
          <w:trHeight w:val="1209"/>
        </w:trPr>
        <w:tc>
          <w:tcPr>
            <w:tcW w:w="1343" w:type="dxa"/>
            <w:shd w:val="clear" w:color="auto" w:fill="BFBFBF" w:themeFill="background1" w:themeFillShade="BF"/>
            <w:vAlign w:val="center"/>
          </w:tcPr>
          <w:p w:rsidR="0090580B" w:rsidRPr="001E7797" w:rsidRDefault="0090580B" w:rsidP="008A256E">
            <w:pPr>
              <w:jc w:val="center"/>
              <w:rPr>
                <w:rFonts w:cstheme="minorBidi"/>
                <w:b/>
                <w:bCs/>
                <w:sz w:val="20"/>
              </w:rPr>
            </w:pPr>
            <w:r w:rsidRPr="001E7797">
              <w:rPr>
                <w:rFonts w:cstheme="minorBidi"/>
                <w:b/>
                <w:bCs/>
                <w:sz w:val="20"/>
              </w:rPr>
              <w:t>M</w:t>
            </w:r>
            <w:r w:rsidR="00A15FA8">
              <w:rPr>
                <w:rFonts w:cstheme="minorBidi"/>
                <w:b/>
                <w:bCs/>
                <w:sz w:val="20"/>
              </w:rPr>
              <w:t>er</w:t>
            </w:r>
            <w:r w:rsidRPr="001E7797">
              <w:rPr>
                <w:rFonts w:cstheme="minorBidi"/>
                <w:b/>
                <w:bCs/>
                <w:sz w:val="20"/>
              </w:rPr>
              <w:t>glova</w:t>
            </w:r>
            <w:r w:rsidR="00693F4C" w:rsidRPr="001E7797">
              <w:rPr>
                <w:rFonts w:cstheme="minorBidi"/>
                <w:b/>
                <w:bCs/>
                <w:sz w:val="20"/>
              </w:rPr>
              <w:t>,</w:t>
            </w:r>
            <w:r w:rsidRPr="001E7797">
              <w:rPr>
                <w:rFonts w:cstheme="minorBidi"/>
                <w:b/>
                <w:bCs/>
                <w:sz w:val="20"/>
              </w:rPr>
              <w:t xml:space="preserve"> 2001</w:t>
            </w:r>
          </w:p>
        </w:tc>
        <w:tc>
          <w:tcPr>
            <w:tcW w:w="1238" w:type="dxa"/>
            <w:shd w:val="clear" w:color="auto" w:fill="DDD9C3" w:themeFill="background2" w:themeFillShade="E6"/>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1-</w:t>
            </w:r>
          </w:p>
        </w:tc>
        <w:tc>
          <w:tcPr>
            <w:tcW w:w="1238" w:type="dxa"/>
            <w:shd w:val="clear" w:color="auto" w:fill="F2F2F2" w:themeFill="background1" w:themeFillShade="F2"/>
            <w:vAlign w:val="center"/>
          </w:tcPr>
          <w:p w:rsidR="0090580B" w:rsidRPr="001E7797" w:rsidRDefault="0090580B" w:rsidP="008A256E">
            <w:pPr>
              <w:jc w:val="center"/>
              <w:rPr>
                <w:rFonts w:cstheme="minorBidi"/>
                <w:b/>
                <w:bCs/>
                <w:sz w:val="20"/>
              </w:rPr>
            </w:pPr>
            <w:r w:rsidRPr="001E7797">
              <w:rPr>
                <w:rFonts w:cstheme="minorBidi"/>
                <w:b/>
                <w:bCs/>
                <w:sz w:val="20"/>
              </w:rPr>
              <w:t>Exp= 103</w:t>
            </w:r>
          </w:p>
          <w:p w:rsidR="0090580B" w:rsidRPr="001E7797" w:rsidRDefault="0090580B" w:rsidP="008A256E">
            <w:pPr>
              <w:jc w:val="center"/>
              <w:rPr>
                <w:rFonts w:cstheme="minorBidi"/>
                <w:b/>
                <w:bCs/>
                <w:sz w:val="20"/>
              </w:rPr>
            </w:pPr>
            <w:r w:rsidRPr="001E7797">
              <w:rPr>
                <w:rFonts w:cstheme="minorBidi"/>
                <w:b/>
                <w:bCs/>
                <w:sz w:val="20"/>
              </w:rPr>
              <w:t>Cont=193</w:t>
            </w:r>
          </w:p>
        </w:tc>
        <w:tc>
          <w:tcPr>
            <w:tcW w:w="1336" w:type="dxa"/>
            <w:shd w:val="clear" w:color="auto" w:fill="F2F2F2" w:themeFill="background1" w:themeFillShade="F2"/>
            <w:vAlign w:val="center"/>
          </w:tcPr>
          <w:p w:rsidR="0090580B" w:rsidRPr="001E7797" w:rsidRDefault="0090580B" w:rsidP="008A256E">
            <w:pPr>
              <w:jc w:val="center"/>
              <w:rPr>
                <w:rFonts w:cstheme="minorBidi"/>
                <w:b/>
                <w:bCs/>
                <w:sz w:val="20"/>
              </w:rPr>
            </w:pPr>
            <w:r w:rsidRPr="001E7797">
              <w:rPr>
                <w:rFonts w:cstheme="minorBidi"/>
                <w:b/>
                <w:bCs/>
                <w:sz w:val="20"/>
              </w:rPr>
              <w:t>Not reported</w:t>
            </w:r>
          </w:p>
        </w:tc>
        <w:tc>
          <w:tcPr>
            <w:tcW w:w="1513" w:type="dxa"/>
            <w:shd w:val="clear" w:color="auto" w:fill="F2F2F2" w:themeFill="background1" w:themeFillShade="F2"/>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6-15 years</w:t>
            </w:r>
          </w:p>
        </w:tc>
        <w:tc>
          <w:tcPr>
            <w:tcW w:w="1749" w:type="dxa"/>
            <w:shd w:val="clear" w:color="auto" w:fill="F2F2F2" w:themeFill="background1" w:themeFillShade="F2"/>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1 – 4 years</w:t>
            </w:r>
          </w:p>
        </w:tc>
        <w:tc>
          <w:tcPr>
            <w:tcW w:w="2613" w:type="dxa"/>
            <w:shd w:val="clear" w:color="auto" w:fill="F2DBDB" w:themeFill="accent2" w:themeFillTint="33"/>
            <w:vAlign w:val="center"/>
          </w:tcPr>
          <w:p w:rsidR="0090580B" w:rsidRPr="001E7797" w:rsidRDefault="0090580B" w:rsidP="008A256E">
            <w:pPr>
              <w:jc w:val="center"/>
              <w:rPr>
                <w:rFonts w:cstheme="minorBidi"/>
                <w:b/>
                <w:bCs/>
                <w:sz w:val="20"/>
              </w:rPr>
            </w:pPr>
          </w:p>
          <w:p w:rsidR="0090580B" w:rsidRPr="001E7797" w:rsidRDefault="0090580B" w:rsidP="001C6640">
            <w:pPr>
              <w:jc w:val="center"/>
              <w:rPr>
                <w:rFonts w:cstheme="minorBidi"/>
                <w:b/>
                <w:bCs/>
                <w:sz w:val="20"/>
              </w:rPr>
            </w:pPr>
            <w:r w:rsidRPr="001E7797">
              <w:rPr>
                <w:rFonts w:cstheme="minorBidi"/>
                <w:b/>
                <w:bCs/>
                <w:sz w:val="20"/>
              </w:rPr>
              <w:t>Ca(</w:t>
            </w:r>
            <w:r w:rsidR="001C6640">
              <w:rPr>
                <w:rFonts w:cstheme="minorBidi"/>
                <w:b/>
                <w:bCs/>
                <w:sz w:val="20"/>
              </w:rPr>
              <w:t>O</w:t>
            </w:r>
            <w:r w:rsidRPr="001E7797">
              <w:rPr>
                <w:rFonts w:cstheme="minorBidi"/>
                <w:b/>
                <w:bCs/>
                <w:sz w:val="20"/>
              </w:rPr>
              <w:t>H)</w:t>
            </w:r>
            <w:r w:rsidRPr="001E7797">
              <w:rPr>
                <w:rFonts w:cstheme="minorBidi"/>
                <w:b/>
                <w:bCs/>
                <w:sz w:val="20"/>
                <w:vertAlign w:val="subscript"/>
              </w:rPr>
              <w:t>2</w:t>
            </w:r>
            <w:r w:rsidRPr="001E7797">
              <w:rPr>
                <w:rFonts w:cstheme="minorBidi"/>
                <w:b/>
                <w:bCs/>
                <w:sz w:val="20"/>
              </w:rPr>
              <w:t xml:space="preserve"> Apexification</w:t>
            </w:r>
          </w:p>
        </w:tc>
        <w:tc>
          <w:tcPr>
            <w:tcW w:w="2970" w:type="dxa"/>
            <w:shd w:val="clear" w:color="auto" w:fill="F2DBDB" w:themeFill="accent2" w:themeFillTint="33"/>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94.2% success</w:t>
            </w:r>
          </w:p>
        </w:tc>
      </w:tr>
      <w:tr w:rsidR="0090580B" w:rsidRPr="001E7797" w:rsidTr="001E7797">
        <w:trPr>
          <w:trHeight w:val="1209"/>
        </w:trPr>
        <w:tc>
          <w:tcPr>
            <w:tcW w:w="1343" w:type="dxa"/>
            <w:shd w:val="clear" w:color="auto" w:fill="BFBFBF" w:themeFill="background1" w:themeFillShade="BF"/>
            <w:vAlign w:val="center"/>
          </w:tcPr>
          <w:p w:rsidR="0090580B" w:rsidRPr="001E7797" w:rsidRDefault="0090580B" w:rsidP="008A256E">
            <w:pPr>
              <w:jc w:val="center"/>
              <w:rPr>
                <w:rFonts w:cstheme="minorBidi"/>
                <w:b/>
                <w:bCs/>
                <w:sz w:val="20"/>
              </w:rPr>
            </w:pPr>
            <w:r w:rsidRPr="001E7797">
              <w:rPr>
                <w:rFonts w:cstheme="minorBidi"/>
                <w:b/>
                <w:bCs/>
                <w:sz w:val="20"/>
              </w:rPr>
              <w:t xml:space="preserve">Reyes </w:t>
            </w:r>
            <w:r w:rsidRPr="001E7797">
              <w:rPr>
                <w:rFonts w:cstheme="minorBidi"/>
                <w:b/>
                <w:bCs/>
                <w:i/>
                <w:iCs/>
                <w:sz w:val="20"/>
              </w:rPr>
              <w:t>et al</w:t>
            </w:r>
            <w:r w:rsidR="00693F4C" w:rsidRPr="001E7797">
              <w:rPr>
                <w:rFonts w:cstheme="minorBidi"/>
                <w:b/>
                <w:bCs/>
                <w:i/>
                <w:iCs/>
                <w:sz w:val="20"/>
              </w:rPr>
              <w:t>.,</w:t>
            </w:r>
            <w:r w:rsidRPr="001E7797">
              <w:rPr>
                <w:rFonts w:cstheme="minorBidi"/>
                <w:b/>
                <w:bCs/>
                <w:i/>
                <w:iCs/>
                <w:sz w:val="20"/>
              </w:rPr>
              <w:t xml:space="preserve"> </w:t>
            </w:r>
            <w:r w:rsidRPr="001E7797">
              <w:rPr>
                <w:rFonts w:cstheme="minorBidi"/>
                <w:b/>
                <w:bCs/>
                <w:sz w:val="20"/>
              </w:rPr>
              <w:t>2005</w:t>
            </w:r>
          </w:p>
        </w:tc>
        <w:tc>
          <w:tcPr>
            <w:tcW w:w="1238" w:type="dxa"/>
            <w:shd w:val="clear" w:color="auto" w:fill="DDD9C3" w:themeFill="background2" w:themeFillShade="E6"/>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1-</w:t>
            </w:r>
          </w:p>
        </w:tc>
        <w:tc>
          <w:tcPr>
            <w:tcW w:w="1238" w:type="dxa"/>
            <w:shd w:val="clear" w:color="auto" w:fill="F2F2F2" w:themeFill="background1" w:themeFillShade="F2"/>
            <w:vAlign w:val="center"/>
          </w:tcPr>
          <w:p w:rsidR="0090580B" w:rsidRPr="001E7797" w:rsidRDefault="0090580B" w:rsidP="008A256E">
            <w:pPr>
              <w:jc w:val="center"/>
              <w:rPr>
                <w:rFonts w:cstheme="minorBidi"/>
                <w:b/>
                <w:bCs/>
                <w:sz w:val="20"/>
              </w:rPr>
            </w:pPr>
            <w:r w:rsidRPr="001E7797">
              <w:rPr>
                <w:rFonts w:cstheme="minorBidi"/>
                <w:b/>
                <w:bCs/>
                <w:sz w:val="20"/>
              </w:rPr>
              <w:t>Exp= 26</w:t>
            </w:r>
          </w:p>
          <w:p w:rsidR="0090580B" w:rsidRPr="001E7797" w:rsidRDefault="0090580B" w:rsidP="008A256E">
            <w:pPr>
              <w:jc w:val="center"/>
              <w:rPr>
                <w:rFonts w:cstheme="minorBidi"/>
                <w:b/>
                <w:bCs/>
                <w:sz w:val="20"/>
              </w:rPr>
            </w:pPr>
            <w:r w:rsidRPr="001E7797">
              <w:rPr>
                <w:rFonts w:cstheme="minorBidi"/>
                <w:b/>
                <w:bCs/>
                <w:sz w:val="20"/>
              </w:rPr>
              <w:t>Cont=13</w:t>
            </w:r>
          </w:p>
        </w:tc>
        <w:tc>
          <w:tcPr>
            <w:tcW w:w="1336" w:type="dxa"/>
            <w:shd w:val="clear" w:color="auto" w:fill="F2F2F2" w:themeFill="background1" w:themeFillShade="F2"/>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1</w:t>
            </w:r>
          </w:p>
        </w:tc>
        <w:tc>
          <w:tcPr>
            <w:tcW w:w="1513" w:type="dxa"/>
            <w:shd w:val="clear" w:color="auto" w:fill="F2F2F2" w:themeFill="background1" w:themeFillShade="F2"/>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6-9 years</w:t>
            </w:r>
          </w:p>
        </w:tc>
        <w:tc>
          <w:tcPr>
            <w:tcW w:w="1749" w:type="dxa"/>
            <w:shd w:val="clear" w:color="auto" w:fill="F2F2F2" w:themeFill="background1" w:themeFillShade="F2"/>
            <w:vAlign w:val="center"/>
          </w:tcPr>
          <w:p w:rsidR="0090580B" w:rsidRPr="001E7797" w:rsidRDefault="0090580B" w:rsidP="001C6640">
            <w:pPr>
              <w:jc w:val="center"/>
              <w:rPr>
                <w:rFonts w:cstheme="minorBidi"/>
                <w:b/>
                <w:bCs/>
                <w:sz w:val="20"/>
              </w:rPr>
            </w:pPr>
            <w:r w:rsidRPr="001E7797">
              <w:rPr>
                <w:rFonts w:cstheme="minorBidi"/>
                <w:b/>
                <w:bCs/>
                <w:sz w:val="20"/>
              </w:rPr>
              <w:t>No follow</w:t>
            </w:r>
            <w:r w:rsidR="001C6640">
              <w:rPr>
                <w:rFonts w:cstheme="minorBidi"/>
                <w:b/>
                <w:bCs/>
                <w:sz w:val="20"/>
              </w:rPr>
              <w:t>-</w:t>
            </w:r>
            <w:r w:rsidRPr="001E7797">
              <w:rPr>
                <w:rFonts w:cstheme="minorBidi"/>
                <w:b/>
                <w:bCs/>
                <w:sz w:val="20"/>
              </w:rPr>
              <w:t>up after obturation</w:t>
            </w:r>
          </w:p>
        </w:tc>
        <w:tc>
          <w:tcPr>
            <w:tcW w:w="2613" w:type="dxa"/>
            <w:shd w:val="clear" w:color="auto" w:fill="F2DBDB" w:themeFill="accent2" w:themeFillTint="33"/>
            <w:vAlign w:val="center"/>
          </w:tcPr>
          <w:p w:rsidR="0090580B" w:rsidRPr="001E7797" w:rsidRDefault="0090580B" w:rsidP="001C6640">
            <w:pPr>
              <w:jc w:val="center"/>
              <w:rPr>
                <w:rFonts w:cstheme="minorBidi"/>
                <w:b/>
                <w:bCs/>
                <w:sz w:val="20"/>
              </w:rPr>
            </w:pPr>
            <w:r w:rsidRPr="001E7797">
              <w:rPr>
                <w:rFonts w:cstheme="minorBidi"/>
                <w:b/>
                <w:bCs/>
                <w:sz w:val="20"/>
              </w:rPr>
              <w:t>Ca(</w:t>
            </w:r>
            <w:r w:rsidR="001C6640">
              <w:rPr>
                <w:rFonts w:cstheme="minorBidi"/>
                <w:b/>
                <w:bCs/>
                <w:sz w:val="20"/>
              </w:rPr>
              <w:t>O</w:t>
            </w:r>
            <w:r w:rsidRPr="001E7797">
              <w:rPr>
                <w:rFonts w:cstheme="minorBidi"/>
                <w:b/>
                <w:bCs/>
                <w:sz w:val="20"/>
              </w:rPr>
              <w:t>H)</w:t>
            </w:r>
            <w:r w:rsidRPr="001E7797">
              <w:rPr>
                <w:rFonts w:cstheme="minorBidi"/>
                <w:b/>
                <w:bCs/>
                <w:sz w:val="20"/>
                <w:vertAlign w:val="subscript"/>
              </w:rPr>
              <w:t>2</w:t>
            </w:r>
            <w:r w:rsidRPr="001E7797">
              <w:rPr>
                <w:rFonts w:cstheme="minorBidi"/>
                <w:b/>
                <w:bCs/>
                <w:sz w:val="20"/>
              </w:rPr>
              <w:t xml:space="preserve"> Apexification</w:t>
            </w:r>
          </w:p>
        </w:tc>
        <w:tc>
          <w:tcPr>
            <w:tcW w:w="2970" w:type="dxa"/>
            <w:shd w:val="clear" w:color="auto" w:fill="F2DBDB" w:themeFill="accent2" w:themeFillTint="33"/>
            <w:vAlign w:val="center"/>
          </w:tcPr>
          <w:p w:rsidR="0090580B" w:rsidRPr="001E7797" w:rsidRDefault="0090580B" w:rsidP="008A256E">
            <w:pPr>
              <w:jc w:val="center"/>
              <w:rPr>
                <w:rFonts w:cstheme="minorBidi"/>
                <w:b/>
                <w:bCs/>
                <w:sz w:val="20"/>
              </w:rPr>
            </w:pPr>
          </w:p>
          <w:p w:rsidR="0090580B" w:rsidRPr="001E7797" w:rsidRDefault="0090580B" w:rsidP="008A256E">
            <w:pPr>
              <w:jc w:val="center"/>
              <w:rPr>
                <w:rFonts w:cstheme="minorBidi"/>
                <w:b/>
                <w:bCs/>
                <w:sz w:val="20"/>
              </w:rPr>
            </w:pPr>
            <w:r w:rsidRPr="001E7797">
              <w:rPr>
                <w:rFonts w:cstheme="minorBidi"/>
                <w:b/>
                <w:bCs/>
                <w:sz w:val="20"/>
              </w:rPr>
              <w:t>100% success</w:t>
            </w:r>
          </w:p>
        </w:tc>
      </w:tr>
    </w:tbl>
    <w:p w:rsidR="0090580B" w:rsidRDefault="0090580B">
      <w:pPr>
        <w:rPr>
          <w:rFonts w:ascii="Arial" w:eastAsia="Times New Roman" w:hAnsi="Arial" w:cs="Arial"/>
          <w:b/>
          <w:bCs/>
          <w:sz w:val="20"/>
          <w:szCs w:val="20"/>
          <w:lang w:eastAsia="zh-CN"/>
        </w:rPr>
      </w:pPr>
      <w:r>
        <w:br w:type="page"/>
      </w:r>
    </w:p>
    <w:p w:rsidR="00BF2D74" w:rsidRPr="00782EDD" w:rsidRDefault="00BF2D74" w:rsidP="00782EDD">
      <w:pPr>
        <w:rPr>
          <w:rFonts w:cstheme="minorBidi"/>
          <w:b/>
          <w:bCs/>
          <w:sz w:val="20"/>
          <w:szCs w:val="20"/>
        </w:rPr>
      </w:pPr>
      <w:bookmarkStart w:id="50" w:name="_Ref361491623"/>
      <w:bookmarkStart w:id="51" w:name="_Toc370511723"/>
      <w:bookmarkEnd w:id="48"/>
      <w:bookmarkEnd w:id="49"/>
      <w:proofErr w:type="gramStart"/>
      <w:r w:rsidRPr="00782EDD">
        <w:rPr>
          <w:rFonts w:cstheme="minorBidi"/>
          <w:b/>
          <w:bCs/>
          <w:sz w:val="20"/>
          <w:szCs w:val="20"/>
        </w:rPr>
        <w:lastRenderedPageBreak/>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1</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2</w:t>
      </w:r>
      <w:r w:rsidR="00E7089D">
        <w:rPr>
          <w:rFonts w:cstheme="minorBidi"/>
          <w:b/>
          <w:bCs/>
          <w:sz w:val="20"/>
          <w:szCs w:val="20"/>
        </w:rPr>
        <w:fldChar w:fldCharType="end"/>
      </w:r>
      <w:bookmarkEnd w:id="50"/>
      <w:r w:rsidRPr="00782EDD">
        <w:rPr>
          <w:rFonts w:cstheme="minorBidi"/>
          <w:b/>
          <w:bCs/>
          <w:sz w:val="20"/>
          <w:szCs w:val="20"/>
          <w:lang w:val="en-US"/>
        </w:rPr>
        <w:t xml:space="preserve"> Summary of validity assessment criteria applied to reviewed clinical trials for calcium hydroxide apexification</w:t>
      </w:r>
      <w:bookmarkEnd w:id="51"/>
    </w:p>
    <w:tbl>
      <w:tblPr>
        <w:tblW w:w="5000" w:type="pct"/>
        <w:jc w:val="center"/>
        <w:tblBorders>
          <w:insideH w:val="single" w:sz="18" w:space="0" w:color="FFFFFF"/>
          <w:insideV w:val="single" w:sz="18" w:space="0" w:color="FFFFFF"/>
        </w:tblBorders>
        <w:tblLayout w:type="fixed"/>
        <w:tblLook w:val="01E0" w:firstRow="1" w:lastRow="1" w:firstColumn="1" w:lastColumn="1" w:noHBand="0" w:noVBand="0"/>
      </w:tblPr>
      <w:tblGrid>
        <w:gridCol w:w="2024"/>
        <w:gridCol w:w="2147"/>
        <w:gridCol w:w="2147"/>
        <w:gridCol w:w="2147"/>
        <w:gridCol w:w="1799"/>
        <w:gridCol w:w="1724"/>
        <w:gridCol w:w="1500"/>
      </w:tblGrid>
      <w:tr w:rsidR="0090580B" w:rsidRPr="003C6064" w:rsidTr="008A256E">
        <w:trPr>
          <w:trHeight w:val="230"/>
          <w:jc w:val="center"/>
        </w:trPr>
        <w:tc>
          <w:tcPr>
            <w:tcW w:w="750" w:type="pct"/>
            <w:vMerge w:val="restart"/>
            <w:tcBorders>
              <w:top w:val="nil"/>
            </w:tcBorders>
            <w:shd w:val="clear" w:color="auto" w:fill="003366"/>
            <w:vAlign w:val="center"/>
          </w:tcPr>
          <w:p w:rsidR="0090580B" w:rsidRPr="003C6064" w:rsidRDefault="0090580B" w:rsidP="0090580B">
            <w:pPr>
              <w:spacing w:before="120" w:after="0" w:line="240" w:lineRule="auto"/>
              <w:jc w:val="center"/>
              <w:rPr>
                <w:rFonts w:cstheme="minorBidi"/>
                <w:b/>
                <w:bCs/>
                <w:color w:val="FFFFFF"/>
                <w:sz w:val="20"/>
                <w:szCs w:val="20"/>
              </w:rPr>
            </w:pPr>
            <w:r w:rsidRPr="003C6064">
              <w:rPr>
                <w:rFonts w:cstheme="minorBidi"/>
                <w:b/>
                <w:bCs/>
                <w:color w:val="FFFFFF"/>
                <w:sz w:val="20"/>
                <w:szCs w:val="20"/>
              </w:rPr>
              <w:t>Quality assessment</w:t>
            </w:r>
          </w:p>
        </w:tc>
        <w:tc>
          <w:tcPr>
            <w:tcW w:w="1592" w:type="pct"/>
            <w:gridSpan w:val="2"/>
            <w:tcBorders>
              <w:top w:val="nil"/>
              <w:bottom w:val="single" w:sz="18" w:space="0" w:color="FFFFFF"/>
            </w:tcBorders>
            <w:shd w:val="clear" w:color="auto" w:fill="943634"/>
            <w:vAlign w:val="center"/>
          </w:tcPr>
          <w:p w:rsidR="0090580B" w:rsidRPr="003C6064" w:rsidRDefault="0090580B" w:rsidP="001C6640">
            <w:pPr>
              <w:spacing w:before="120" w:after="0" w:line="240" w:lineRule="auto"/>
              <w:jc w:val="center"/>
              <w:rPr>
                <w:rFonts w:cstheme="minorBidi"/>
                <w:b/>
                <w:bCs/>
                <w:color w:val="FFFFFF"/>
                <w:sz w:val="20"/>
                <w:szCs w:val="20"/>
              </w:rPr>
            </w:pPr>
            <w:r w:rsidRPr="003C6064">
              <w:rPr>
                <w:rFonts w:cstheme="minorBidi"/>
                <w:b/>
                <w:bCs/>
                <w:color w:val="FFFFFF"/>
                <w:sz w:val="20"/>
                <w:szCs w:val="20"/>
              </w:rPr>
              <w:t>Met most of criteria</w:t>
            </w:r>
          </w:p>
        </w:tc>
        <w:tc>
          <w:tcPr>
            <w:tcW w:w="2658" w:type="pct"/>
            <w:gridSpan w:val="4"/>
            <w:tcBorders>
              <w:top w:val="single" w:sz="18" w:space="0" w:color="FFFFFF"/>
              <w:bottom w:val="single" w:sz="18" w:space="0" w:color="FFFFFF"/>
              <w:right w:val="single" w:sz="18" w:space="0" w:color="FFFFFF"/>
            </w:tcBorders>
            <w:shd w:val="clear" w:color="000000" w:fill="404040"/>
            <w:vAlign w:val="center"/>
          </w:tcPr>
          <w:p w:rsidR="0090580B" w:rsidRPr="003C6064" w:rsidRDefault="0090580B" w:rsidP="001C6640">
            <w:pPr>
              <w:spacing w:before="120" w:after="0" w:line="240" w:lineRule="auto"/>
              <w:jc w:val="center"/>
              <w:rPr>
                <w:rFonts w:cstheme="minorBidi"/>
                <w:b/>
                <w:bCs/>
                <w:color w:val="FFFFFF"/>
                <w:sz w:val="20"/>
                <w:szCs w:val="20"/>
              </w:rPr>
            </w:pPr>
            <w:r w:rsidRPr="003C6064">
              <w:rPr>
                <w:rFonts w:cstheme="minorBidi"/>
                <w:b/>
                <w:bCs/>
                <w:color w:val="FFFFFF"/>
                <w:sz w:val="20"/>
                <w:szCs w:val="20"/>
              </w:rPr>
              <w:t>Met some criteria</w:t>
            </w:r>
          </w:p>
        </w:tc>
      </w:tr>
      <w:tr w:rsidR="0090580B" w:rsidRPr="003C6064" w:rsidTr="008A256E">
        <w:trPr>
          <w:trHeight w:val="230"/>
          <w:jc w:val="center"/>
        </w:trPr>
        <w:tc>
          <w:tcPr>
            <w:tcW w:w="750" w:type="pct"/>
            <w:vMerge/>
            <w:tcBorders>
              <w:bottom w:val="single" w:sz="18" w:space="0" w:color="FFFFFF"/>
            </w:tcBorders>
            <w:shd w:val="clear" w:color="auto" w:fill="003366"/>
            <w:vAlign w:val="center"/>
          </w:tcPr>
          <w:p w:rsidR="0090580B" w:rsidRPr="003C6064" w:rsidRDefault="0090580B" w:rsidP="0090580B">
            <w:pPr>
              <w:spacing w:before="120" w:after="0" w:line="240" w:lineRule="auto"/>
              <w:jc w:val="center"/>
              <w:rPr>
                <w:rFonts w:cstheme="minorBidi"/>
                <w:b/>
                <w:bCs/>
                <w:color w:val="FFFFFF"/>
                <w:sz w:val="20"/>
                <w:szCs w:val="20"/>
              </w:rPr>
            </w:pPr>
          </w:p>
        </w:tc>
        <w:tc>
          <w:tcPr>
            <w:tcW w:w="796" w:type="pct"/>
            <w:tcBorders>
              <w:top w:val="nil"/>
              <w:bottom w:val="single" w:sz="18" w:space="0" w:color="FFFFFF"/>
            </w:tcBorders>
            <w:shd w:val="clear" w:color="auto" w:fill="943634"/>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color w:val="FFFFFF"/>
                <w:sz w:val="20"/>
                <w:szCs w:val="20"/>
              </w:rPr>
              <w:t>Roberts &amp; Brilliant 1975</w:t>
            </w:r>
          </w:p>
        </w:tc>
        <w:tc>
          <w:tcPr>
            <w:tcW w:w="796" w:type="pct"/>
            <w:tcBorders>
              <w:top w:val="nil"/>
              <w:bottom w:val="single" w:sz="18" w:space="0" w:color="FFFFFF"/>
            </w:tcBorders>
            <w:shd w:val="clear" w:color="auto" w:fill="943634"/>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color w:val="FFFFFF"/>
                <w:sz w:val="20"/>
                <w:szCs w:val="20"/>
              </w:rPr>
              <w:t>Mackie et al. 1994</w:t>
            </w:r>
          </w:p>
        </w:tc>
        <w:tc>
          <w:tcPr>
            <w:tcW w:w="796" w:type="pct"/>
            <w:tcBorders>
              <w:top w:val="single" w:sz="18" w:space="0" w:color="FFFFFF"/>
              <w:bottom w:val="single" w:sz="18" w:space="0" w:color="FFFFFF"/>
            </w:tcBorders>
            <w:shd w:val="clear" w:color="000000" w:fill="404040"/>
            <w:vAlign w:val="center"/>
          </w:tcPr>
          <w:p w:rsidR="0090580B" w:rsidRPr="003C6064" w:rsidRDefault="0090580B" w:rsidP="0090580B">
            <w:pPr>
              <w:spacing w:before="120" w:after="0" w:line="240" w:lineRule="auto"/>
              <w:jc w:val="center"/>
              <w:rPr>
                <w:rFonts w:cstheme="minorBidi"/>
                <w:b/>
                <w:bCs/>
                <w:color w:val="FFFFFF"/>
                <w:sz w:val="20"/>
                <w:szCs w:val="20"/>
              </w:rPr>
            </w:pPr>
            <w:r w:rsidRPr="003C6064">
              <w:rPr>
                <w:rFonts w:cstheme="minorBidi"/>
                <w:b/>
                <w:bCs/>
                <w:color w:val="FFFFFF"/>
                <w:sz w:val="20"/>
                <w:szCs w:val="20"/>
              </w:rPr>
              <w:t>Coviello &amp; Brilliant 1979</w:t>
            </w:r>
          </w:p>
        </w:tc>
        <w:tc>
          <w:tcPr>
            <w:tcW w:w="667" w:type="pct"/>
            <w:tcBorders>
              <w:top w:val="single" w:sz="18" w:space="0" w:color="FFFFFF"/>
              <w:bottom w:val="single" w:sz="18" w:space="0" w:color="FFFFFF"/>
            </w:tcBorders>
            <w:shd w:val="clear" w:color="000000" w:fill="40404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color w:val="FFFFFF"/>
                <w:sz w:val="20"/>
                <w:szCs w:val="20"/>
              </w:rPr>
              <w:t>Yates 1988</w:t>
            </w:r>
          </w:p>
        </w:tc>
        <w:tc>
          <w:tcPr>
            <w:tcW w:w="639" w:type="pct"/>
            <w:tcBorders>
              <w:top w:val="single" w:sz="18" w:space="0" w:color="FFFFFF"/>
              <w:bottom w:val="single" w:sz="18" w:space="0" w:color="FFFFFF"/>
            </w:tcBorders>
            <w:shd w:val="clear" w:color="000000" w:fill="404040"/>
            <w:vAlign w:val="center"/>
          </w:tcPr>
          <w:p w:rsidR="0090580B" w:rsidRPr="003C6064" w:rsidRDefault="0090580B" w:rsidP="0090580B">
            <w:pPr>
              <w:spacing w:before="120" w:after="0" w:line="240" w:lineRule="auto"/>
              <w:jc w:val="center"/>
              <w:rPr>
                <w:rFonts w:cstheme="minorBidi"/>
                <w:b/>
                <w:bCs/>
                <w:color w:val="FFFFFF"/>
                <w:sz w:val="20"/>
                <w:szCs w:val="20"/>
              </w:rPr>
            </w:pPr>
            <w:r w:rsidRPr="003C6064">
              <w:rPr>
                <w:rFonts w:cstheme="minorBidi"/>
                <w:b/>
                <w:bCs/>
                <w:color w:val="FFFFFF"/>
                <w:sz w:val="20"/>
                <w:szCs w:val="20"/>
              </w:rPr>
              <w:t>Merglova 2001</w:t>
            </w:r>
          </w:p>
        </w:tc>
        <w:tc>
          <w:tcPr>
            <w:tcW w:w="556" w:type="pct"/>
            <w:tcBorders>
              <w:top w:val="single" w:sz="18" w:space="0" w:color="FFFFFF"/>
              <w:bottom w:val="single" w:sz="18" w:space="0" w:color="FFFFFF"/>
            </w:tcBorders>
            <w:shd w:val="clear" w:color="000000" w:fill="404040"/>
            <w:vAlign w:val="center"/>
          </w:tcPr>
          <w:p w:rsidR="0090580B" w:rsidRPr="003C6064" w:rsidRDefault="0090580B" w:rsidP="0090580B">
            <w:pPr>
              <w:spacing w:before="120" w:after="0" w:line="240" w:lineRule="auto"/>
              <w:jc w:val="center"/>
              <w:rPr>
                <w:rFonts w:cstheme="minorBidi"/>
                <w:b/>
                <w:bCs/>
                <w:color w:val="FFFFFF"/>
                <w:sz w:val="20"/>
                <w:szCs w:val="20"/>
              </w:rPr>
            </w:pPr>
            <w:r w:rsidRPr="003C6064">
              <w:rPr>
                <w:rFonts w:cstheme="minorBidi"/>
                <w:b/>
                <w:bCs/>
                <w:color w:val="FFFFFF"/>
                <w:sz w:val="20"/>
                <w:szCs w:val="20"/>
              </w:rPr>
              <w:t>Reyes et al. 2005</w:t>
            </w:r>
          </w:p>
        </w:tc>
      </w:tr>
      <w:tr w:rsidR="0090580B" w:rsidRPr="003C6064" w:rsidTr="008A256E">
        <w:tblPrEx>
          <w:tblLook w:val="00A0" w:firstRow="1" w:lastRow="0" w:firstColumn="1" w:lastColumn="0" w:noHBand="0" w:noVBand="0"/>
        </w:tblPrEx>
        <w:trPr>
          <w:trHeight w:val="230"/>
          <w:jc w:val="center"/>
        </w:trPr>
        <w:tc>
          <w:tcPr>
            <w:tcW w:w="750" w:type="pct"/>
            <w:tcBorders>
              <w:top w:val="single" w:sz="18" w:space="0" w:color="FFFFFF"/>
              <w:bottom w:val="single" w:sz="18" w:space="0" w:color="FFFFFF"/>
            </w:tcBorders>
            <w:shd w:val="clear" w:color="auto" w:fill="808080"/>
            <w:vAlign w:val="center"/>
          </w:tcPr>
          <w:p w:rsidR="0090580B" w:rsidRPr="003C6064" w:rsidRDefault="0090580B" w:rsidP="0090580B">
            <w:pPr>
              <w:spacing w:before="120" w:after="0" w:line="240" w:lineRule="auto"/>
              <w:jc w:val="center"/>
              <w:rPr>
                <w:rFonts w:cstheme="minorBidi"/>
                <w:b/>
                <w:bCs/>
                <w:color w:val="FFFFFF"/>
                <w:sz w:val="20"/>
                <w:szCs w:val="20"/>
              </w:rPr>
            </w:pPr>
            <w:bookmarkStart w:id="52" w:name="OLE_LINK3"/>
            <w:r w:rsidRPr="003C6064">
              <w:rPr>
                <w:rFonts w:cstheme="minorBidi"/>
                <w:b/>
                <w:bCs/>
                <w:color w:val="FFFFFF"/>
                <w:sz w:val="20"/>
                <w:szCs w:val="20"/>
              </w:rPr>
              <w:t>Randomisation &amp; allocation concealment</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color w:val="FF0000"/>
                <w:sz w:val="20"/>
                <w:szCs w:val="20"/>
              </w:rPr>
            </w:pPr>
            <w:r w:rsidRPr="003C6064">
              <w:rPr>
                <w:rFonts w:cstheme="minorBidi"/>
                <w:b/>
                <w:bCs/>
                <w:color w:val="FF0000"/>
                <w:sz w:val="20"/>
                <w:szCs w:val="20"/>
              </w:rPr>
              <w:t xml:space="preserve">unmet: </w:t>
            </w:r>
            <w:r w:rsidRPr="003C6064">
              <w:rPr>
                <w:rFonts w:cstheme="minorBidi"/>
                <w:b/>
                <w:bCs/>
                <w:sz w:val="20"/>
                <w:szCs w:val="20"/>
              </w:rPr>
              <w:t>Inadequate randomisation &amp; no concealment</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partially met: adequate randomisation &amp; No concealment</w:t>
            </w:r>
          </w:p>
        </w:tc>
        <w:tc>
          <w:tcPr>
            <w:tcW w:w="79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color w:val="FF0000"/>
                <w:sz w:val="20"/>
                <w:szCs w:val="20"/>
              </w:rPr>
            </w:pPr>
            <w:r w:rsidRPr="003C6064">
              <w:rPr>
                <w:rFonts w:cstheme="minorBidi"/>
                <w:b/>
                <w:bCs/>
                <w:color w:val="FF0000"/>
                <w:sz w:val="20"/>
                <w:szCs w:val="20"/>
              </w:rPr>
              <w:t>unmet:</w:t>
            </w:r>
            <w:r w:rsidRPr="003C6064">
              <w:rPr>
                <w:rFonts w:cstheme="minorBidi"/>
                <w:b/>
                <w:bCs/>
                <w:sz w:val="20"/>
                <w:szCs w:val="20"/>
              </w:rPr>
              <w:t xml:space="preserve"> Inadequate randomisation &amp; no concealment</w:t>
            </w:r>
          </w:p>
        </w:tc>
        <w:tc>
          <w:tcPr>
            <w:tcW w:w="667"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color w:val="FF0000"/>
                <w:sz w:val="20"/>
                <w:szCs w:val="20"/>
              </w:rPr>
            </w:pPr>
            <w:r w:rsidRPr="003C6064">
              <w:rPr>
                <w:rFonts w:cstheme="minorBidi"/>
                <w:b/>
                <w:bCs/>
                <w:color w:val="FF0000"/>
                <w:sz w:val="20"/>
                <w:szCs w:val="20"/>
              </w:rPr>
              <w:t>unmet</w:t>
            </w:r>
          </w:p>
        </w:tc>
        <w:tc>
          <w:tcPr>
            <w:tcW w:w="639"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color w:val="FF0000"/>
                <w:sz w:val="20"/>
                <w:szCs w:val="20"/>
              </w:rPr>
            </w:pPr>
            <w:r w:rsidRPr="003C6064">
              <w:rPr>
                <w:rFonts w:cstheme="minorBidi"/>
                <w:b/>
                <w:bCs/>
                <w:color w:val="FF0000"/>
                <w:sz w:val="20"/>
                <w:szCs w:val="20"/>
              </w:rPr>
              <w:t>unmet</w:t>
            </w:r>
          </w:p>
        </w:tc>
        <w:tc>
          <w:tcPr>
            <w:tcW w:w="55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color w:val="FF0000"/>
                <w:sz w:val="20"/>
                <w:szCs w:val="20"/>
              </w:rPr>
            </w:pPr>
            <w:r w:rsidRPr="003C6064">
              <w:rPr>
                <w:rFonts w:cstheme="minorBidi"/>
                <w:b/>
                <w:bCs/>
                <w:color w:val="FF0000"/>
                <w:sz w:val="20"/>
                <w:szCs w:val="20"/>
              </w:rPr>
              <w:t>unmet</w:t>
            </w:r>
          </w:p>
        </w:tc>
      </w:tr>
      <w:tr w:rsidR="0090580B" w:rsidRPr="003C6064" w:rsidTr="008A256E">
        <w:trPr>
          <w:trHeight w:val="230"/>
          <w:jc w:val="center"/>
        </w:trPr>
        <w:tc>
          <w:tcPr>
            <w:tcW w:w="750" w:type="pct"/>
            <w:tcBorders>
              <w:top w:val="single" w:sz="18" w:space="0" w:color="FFFFFF"/>
              <w:bottom w:val="single" w:sz="18" w:space="0" w:color="FFFFFF"/>
            </w:tcBorders>
            <w:shd w:val="clear" w:color="auto" w:fill="808080"/>
            <w:vAlign w:val="center"/>
          </w:tcPr>
          <w:p w:rsidR="0090580B" w:rsidRPr="003C6064" w:rsidRDefault="0090580B" w:rsidP="0090580B">
            <w:pPr>
              <w:spacing w:before="120" w:after="0" w:line="240" w:lineRule="auto"/>
              <w:jc w:val="center"/>
              <w:rPr>
                <w:rFonts w:cstheme="minorBidi"/>
                <w:b/>
                <w:bCs/>
                <w:color w:val="FFFFFF"/>
                <w:sz w:val="20"/>
                <w:szCs w:val="20"/>
              </w:rPr>
            </w:pPr>
            <w:r w:rsidRPr="003C6064">
              <w:rPr>
                <w:rFonts w:cstheme="minorBidi"/>
                <w:b/>
                <w:bCs/>
                <w:color w:val="FFFFFF"/>
                <w:sz w:val="20"/>
                <w:szCs w:val="20"/>
              </w:rPr>
              <w:t>Exclusion &amp; inclusion criteria</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unclear</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unclear</w:t>
            </w:r>
          </w:p>
        </w:tc>
        <w:tc>
          <w:tcPr>
            <w:tcW w:w="79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unclear</w:t>
            </w:r>
          </w:p>
        </w:tc>
        <w:tc>
          <w:tcPr>
            <w:tcW w:w="667"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met</w:t>
            </w:r>
          </w:p>
        </w:tc>
        <w:tc>
          <w:tcPr>
            <w:tcW w:w="639"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unclear</w:t>
            </w:r>
          </w:p>
        </w:tc>
        <w:tc>
          <w:tcPr>
            <w:tcW w:w="55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unclear</w:t>
            </w:r>
          </w:p>
        </w:tc>
      </w:tr>
      <w:tr w:rsidR="0090580B" w:rsidRPr="003C6064" w:rsidTr="008A256E">
        <w:trPr>
          <w:trHeight w:val="230"/>
          <w:jc w:val="center"/>
        </w:trPr>
        <w:tc>
          <w:tcPr>
            <w:tcW w:w="750" w:type="pct"/>
            <w:tcBorders>
              <w:top w:val="single" w:sz="18" w:space="0" w:color="FFFFFF"/>
              <w:bottom w:val="single" w:sz="18" w:space="0" w:color="FFFFFF"/>
            </w:tcBorders>
            <w:shd w:val="clear" w:color="auto" w:fill="808080"/>
            <w:vAlign w:val="center"/>
          </w:tcPr>
          <w:p w:rsidR="0090580B" w:rsidRPr="003C6064" w:rsidRDefault="0090580B" w:rsidP="0090580B">
            <w:pPr>
              <w:spacing w:before="120" w:after="0" w:line="240" w:lineRule="auto"/>
              <w:jc w:val="center"/>
              <w:rPr>
                <w:rFonts w:cstheme="minorBidi"/>
                <w:b/>
                <w:bCs/>
                <w:color w:val="FFFFFF"/>
                <w:sz w:val="20"/>
                <w:szCs w:val="20"/>
              </w:rPr>
            </w:pPr>
            <w:r w:rsidRPr="003C6064">
              <w:rPr>
                <w:rFonts w:cstheme="minorBidi"/>
                <w:b/>
                <w:bCs/>
                <w:color w:val="FFFFFF"/>
                <w:sz w:val="20"/>
                <w:szCs w:val="20"/>
              </w:rPr>
              <w:t>Control &amp; treatment groups comparability</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confounding small</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good comparability &amp; confounding adjusted for</w:t>
            </w:r>
          </w:p>
        </w:tc>
        <w:tc>
          <w:tcPr>
            <w:tcW w:w="79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color w:val="FF0000"/>
                <w:sz w:val="20"/>
                <w:szCs w:val="20"/>
              </w:rPr>
              <w:t xml:space="preserve">unmet: </w:t>
            </w:r>
            <w:r w:rsidRPr="003C6064">
              <w:rPr>
                <w:rFonts w:cstheme="minorBidi"/>
                <w:b/>
                <w:bCs/>
                <w:sz w:val="20"/>
                <w:szCs w:val="20"/>
              </w:rPr>
              <w:t>large potential for confounding</w:t>
            </w:r>
          </w:p>
        </w:tc>
        <w:tc>
          <w:tcPr>
            <w:tcW w:w="667"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color w:val="FF0000"/>
                <w:sz w:val="20"/>
                <w:szCs w:val="20"/>
              </w:rPr>
            </w:pPr>
            <w:r w:rsidRPr="003C6064">
              <w:rPr>
                <w:rFonts w:cstheme="minorBidi"/>
                <w:b/>
                <w:bCs/>
                <w:color w:val="FF0000"/>
                <w:sz w:val="20"/>
                <w:szCs w:val="20"/>
              </w:rPr>
              <w:t>unmet:</w:t>
            </w:r>
            <w:r w:rsidRPr="003C6064">
              <w:rPr>
                <w:rFonts w:cstheme="minorBidi"/>
                <w:b/>
                <w:bCs/>
                <w:sz w:val="20"/>
                <w:szCs w:val="20"/>
              </w:rPr>
              <w:t xml:space="preserve"> large potential for confounding</w:t>
            </w:r>
          </w:p>
        </w:tc>
        <w:tc>
          <w:tcPr>
            <w:tcW w:w="639"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color w:val="FF0000"/>
                <w:sz w:val="20"/>
                <w:szCs w:val="20"/>
              </w:rPr>
            </w:pPr>
            <w:r w:rsidRPr="003C6064">
              <w:rPr>
                <w:rFonts w:cstheme="minorBidi"/>
                <w:b/>
                <w:bCs/>
                <w:color w:val="FF0000"/>
                <w:sz w:val="20"/>
                <w:szCs w:val="20"/>
              </w:rPr>
              <w:t>unmet</w:t>
            </w:r>
          </w:p>
        </w:tc>
        <w:tc>
          <w:tcPr>
            <w:tcW w:w="55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color w:val="FF0000"/>
                <w:sz w:val="20"/>
                <w:szCs w:val="20"/>
              </w:rPr>
            </w:pPr>
            <w:r w:rsidRPr="003C6064">
              <w:rPr>
                <w:rFonts w:cstheme="minorBidi"/>
                <w:b/>
                <w:bCs/>
                <w:color w:val="FF0000"/>
                <w:sz w:val="20"/>
                <w:szCs w:val="20"/>
              </w:rPr>
              <w:t>unmet</w:t>
            </w:r>
          </w:p>
        </w:tc>
      </w:tr>
      <w:tr w:rsidR="0090580B" w:rsidRPr="003C6064" w:rsidTr="008A256E">
        <w:trPr>
          <w:trHeight w:val="230"/>
          <w:jc w:val="center"/>
        </w:trPr>
        <w:tc>
          <w:tcPr>
            <w:tcW w:w="750" w:type="pct"/>
            <w:tcBorders>
              <w:top w:val="single" w:sz="18" w:space="0" w:color="FFFFFF"/>
              <w:bottom w:val="single" w:sz="18" w:space="0" w:color="FFFFFF"/>
            </w:tcBorders>
            <w:shd w:val="clear" w:color="auto" w:fill="808080"/>
            <w:vAlign w:val="center"/>
          </w:tcPr>
          <w:p w:rsidR="0090580B" w:rsidRPr="003C6064" w:rsidRDefault="0090580B" w:rsidP="0090580B">
            <w:pPr>
              <w:spacing w:before="120" w:after="0" w:line="240" w:lineRule="auto"/>
              <w:jc w:val="center"/>
              <w:rPr>
                <w:rFonts w:cstheme="minorBidi"/>
                <w:b/>
                <w:bCs/>
                <w:color w:val="FFFFFF"/>
                <w:sz w:val="20"/>
                <w:szCs w:val="20"/>
              </w:rPr>
            </w:pPr>
            <w:r w:rsidRPr="003C6064">
              <w:rPr>
                <w:rFonts w:cstheme="minorBidi"/>
                <w:b/>
                <w:bCs/>
                <w:color w:val="FFFFFF"/>
                <w:sz w:val="20"/>
                <w:szCs w:val="20"/>
              </w:rPr>
              <w:t>Protection against performance bias (blindness of the study)</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partially met</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unclear: not reported</w:t>
            </w:r>
          </w:p>
        </w:tc>
        <w:tc>
          <w:tcPr>
            <w:tcW w:w="79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partially met</w:t>
            </w:r>
          </w:p>
        </w:tc>
        <w:tc>
          <w:tcPr>
            <w:tcW w:w="667"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color w:val="FF0000"/>
                <w:sz w:val="20"/>
                <w:szCs w:val="20"/>
              </w:rPr>
            </w:pPr>
            <w:r w:rsidRPr="003C6064">
              <w:rPr>
                <w:rFonts w:cstheme="minorBidi"/>
                <w:b/>
                <w:bCs/>
                <w:color w:val="FF0000"/>
                <w:sz w:val="20"/>
                <w:szCs w:val="20"/>
              </w:rPr>
              <w:t xml:space="preserve">unmet: </w:t>
            </w:r>
            <w:r w:rsidRPr="003C6064">
              <w:rPr>
                <w:rFonts w:cstheme="minorBidi"/>
                <w:b/>
                <w:bCs/>
                <w:sz w:val="20"/>
                <w:szCs w:val="20"/>
              </w:rPr>
              <w:t>no blinding</w:t>
            </w:r>
          </w:p>
        </w:tc>
        <w:tc>
          <w:tcPr>
            <w:tcW w:w="639"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blinding not possible</w:t>
            </w:r>
          </w:p>
        </w:tc>
        <w:tc>
          <w:tcPr>
            <w:tcW w:w="55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color w:val="FF0000"/>
                <w:sz w:val="20"/>
                <w:szCs w:val="20"/>
              </w:rPr>
              <w:t xml:space="preserve">unmet: </w:t>
            </w:r>
            <w:r w:rsidRPr="003C6064">
              <w:rPr>
                <w:rFonts w:cstheme="minorBidi"/>
                <w:b/>
                <w:bCs/>
                <w:sz w:val="20"/>
                <w:szCs w:val="20"/>
              </w:rPr>
              <w:t>no blinding</w:t>
            </w:r>
          </w:p>
        </w:tc>
      </w:tr>
      <w:tr w:rsidR="0090580B" w:rsidRPr="003C6064" w:rsidTr="008A256E">
        <w:trPr>
          <w:trHeight w:val="230"/>
          <w:jc w:val="center"/>
        </w:trPr>
        <w:tc>
          <w:tcPr>
            <w:tcW w:w="750" w:type="pct"/>
            <w:tcBorders>
              <w:top w:val="single" w:sz="18" w:space="0" w:color="FFFFFF"/>
              <w:bottom w:val="single" w:sz="18" w:space="0" w:color="FFFFFF"/>
            </w:tcBorders>
            <w:shd w:val="clear" w:color="auto" w:fill="808080"/>
            <w:vAlign w:val="center"/>
          </w:tcPr>
          <w:p w:rsidR="0090580B" w:rsidRPr="003C6064" w:rsidRDefault="0090580B" w:rsidP="001C6640">
            <w:pPr>
              <w:spacing w:before="120" w:after="0" w:line="240" w:lineRule="auto"/>
              <w:jc w:val="center"/>
              <w:rPr>
                <w:rFonts w:cstheme="minorBidi"/>
                <w:b/>
                <w:bCs/>
                <w:color w:val="FFFFFF"/>
                <w:sz w:val="20"/>
                <w:szCs w:val="20"/>
              </w:rPr>
            </w:pPr>
            <w:r w:rsidRPr="003C6064">
              <w:rPr>
                <w:rFonts w:cstheme="minorBidi"/>
                <w:b/>
                <w:bCs/>
                <w:color w:val="FFFFFF"/>
                <w:sz w:val="20"/>
                <w:szCs w:val="20"/>
              </w:rPr>
              <w:t>Follow</w:t>
            </w:r>
            <w:r w:rsidR="001C6640">
              <w:rPr>
                <w:rFonts w:cstheme="minorBidi"/>
                <w:b/>
                <w:bCs/>
                <w:color w:val="FFFFFF"/>
                <w:sz w:val="20"/>
                <w:szCs w:val="20"/>
              </w:rPr>
              <w:t>-</w:t>
            </w:r>
            <w:r w:rsidRPr="003C6064">
              <w:rPr>
                <w:rFonts w:cstheme="minorBidi"/>
                <w:b/>
                <w:bCs/>
                <w:color w:val="FFFFFF"/>
                <w:sz w:val="20"/>
                <w:szCs w:val="20"/>
              </w:rPr>
              <w:t>up of participants</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met: more than 80% are included in analysis</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met: more than 80% are included in analysis</w:t>
            </w:r>
          </w:p>
        </w:tc>
        <w:tc>
          <w:tcPr>
            <w:tcW w:w="79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met: more than 80% are included in analysis</w:t>
            </w:r>
          </w:p>
        </w:tc>
        <w:tc>
          <w:tcPr>
            <w:tcW w:w="667"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unclear: not reported</w:t>
            </w:r>
          </w:p>
        </w:tc>
        <w:tc>
          <w:tcPr>
            <w:tcW w:w="639"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color w:val="FF0000"/>
                <w:sz w:val="20"/>
                <w:szCs w:val="20"/>
              </w:rPr>
            </w:pPr>
            <w:r w:rsidRPr="003C6064">
              <w:rPr>
                <w:rFonts w:cstheme="minorBidi"/>
                <w:b/>
                <w:bCs/>
                <w:color w:val="FF0000"/>
                <w:sz w:val="20"/>
                <w:szCs w:val="20"/>
              </w:rPr>
              <w:t>unmet</w:t>
            </w:r>
          </w:p>
        </w:tc>
        <w:tc>
          <w:tcPr>
            <w:tcW w:w="55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unclear: not reported</w:t>
            </w:r>
          </w:p>
        </w:tc>
      </w:tr>
      <w:tr w:rsidR="0090580B" w:rsidRPr="003C6064" w:rsidTr="008A256E">
        <w:trPr>
          <w:trHeight w:val="230"/>
          <w:jc w:val="center"/>
        </w:trPr>
        <w:tc>
          <w:tcPr>
            <w:tcW w:w="750" w:type="pct"/>
            <w:tcBorders>
              <w:top w:val="single" w:sz="18" w:space="0" w:color="FFFFFF"/>
              <w:bottom w:val="single" w:sz="18" w:space="0" w:color="FFFFFF"/>
            </w:tcBorders>
            <w:shd w:val="clear" w:color="auto" w:fill="808080"/>
            <w:vAlign w:val="center"/>
          </w:tcPr>
          <w:p w:rsidR="0090580B" w:rsidRPr="003C6064" w:rsidRDefault="0090580B" w:rsidP="0090580B">
            <w:pPr>
              <w:spacing w:before="120" w:after="0" w:line="240" w:lineRule="auto"/>
              <w:jc w:val="center"/>
              <w:rPr>
                <w:rFonts w:cstheme="minorBidi"/>
                <w:b/>
                <w:bCs/>
                <w:color w:val="FFFFFF"/>
                <w:sz w:val="20"/>
                <w:szCs w:val="20"/>
              </w:rPr>
            </w:pPr>
            <w:r w:rsidRPr="003C6064">
              <w:rPr>
                <w:rFonts w:cstheme="minorBidi"/>
                <w:b/>
                <w:bCs/>
                <w:color w:val="FFFFFF"/>
                <w:sz w:val="20"/>
                <w:szCs w:val="20"/>
              </w:rPr>
              <w:t>Success &amp; failure criteria</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unclear</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unclear</w:t>
            </w:r>
          </w:p>
        </w:tc>
        <w:tc>
          <w:tcPr>
            <w:tcW w:w="79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unclear</w:t>
            </w:r>
          </w:p>
        </w:tc>
        <w:tc>
          <w:tcPr>
            <w:tcW w:w="667"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met</w:t>
            </w:r>
          </w:p>
        </w:tc>
        <w:tc>
          <w:tcPr>
            <w:tcW w:w="639"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unclear</w:t>
            </w:r>
          </w:p>
        </w:tc>
        <w:tc>
          <w:tcPr>
            <w:tcW w:w="55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met</w:t>
            </w:r>
          </w:p>
        </w:tc>
      </w:tr>
      <w:tr w:rsidR="0090580B" w:rsidRPr="003C6064" w:rsidTr="008A256E">
        <w:trPr>
          <w:trHeight w:val="230"/>
          <w:jc w:val="center"/>
        </w:trPr>
        <w:tc>
          <w:tcPr>
            <w:tcW w:w="750" w:type="pct"/>
            <w:tcBorders>
              <w:top w:val="single" w:sz="18" w:space="0" w:color="FFFFFF"/>
              <w:bottom w:val="single" w:sz="18" w:space="0" w:color="FFFFFF"/>
            </w:tcBorders>
            <w:shd w:val="clear" w:color="auto" w:fill="808080"/>
            <w:vAlign w:val="center"/>
          </w:tcPr>
          <w:p w:rsidR="0090580B" w:rsidRPr="003C6064" w:rsidRDefault="001C6640" w:rsidP="0090580B">
            <w:pPr>
              <w:spacing w:before="120" w:after="0" w:line="240" w:lineRule="auto"/>
              <w:jc w:val="center"/>
              <w:rPr>
                <w:rFonts w:cstheme="minorBidi"/>
                <w:b/>
                <w:bCs/>
                <w:color w:val="FFFFFF"/>
                <w:sz w:val="20"/>
                <w:szCs w:val="20"/>
              </w:rPr>
            </w:pPr>
            <w:r>
              <w:rPr>
                <w:rFonts w:cstheme="minorBidi"/>
                <w:b/>
                <w:bCs/>
                <w:color w:val="FFFFFF"/>
                <w:sz w:val="20"/>
                <w:szCs w:val="20"/>
              </w:rPr>
              <w:t>Intention to treat (</w:t>
            </w:r>
            <w:r w:rsidR="0090580B" w:rsidRPr="003C6064">
              <w:rPr>
                <w:rFonts w:cstheme="minorBidi"/>
                <w:b/>
                <w:bCs/>
                <w:color w:val="FFFFFF"/>
                <w:sz w:val="20"/>
                <w:szCs w:val="20"/>
              </w:rPr>
              <w:t>ITT</w:t>
            </w:r>
            <w:r>
              <w:rPr>
                <w:rFonts w:cstheme="minorBidi"/>
                <w:b/>
                <w:bCs/>
                <w:color w:val="FFFFFF"/>
                <w:sz w:val="20"/>
                <w:szCs w:val="20"/>
              </w:rPr>
              <w:t>)</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partially met: withdrawals stated, analysis unmodified</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partially met: withdrawals stated, analysis unmodified</w:t>
            </w:r>
          </w:p>
        </w:tc>
        <w:tc>
          <w:tcPr>
            <w:tcW w:w="79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partially met: withdrawals stated, analysis unmodified</w:t>
            </w:r>
          </w:p>
        </w:tc>
        <w:tc>
          <w:tcPr>
            <w:tcW w:w="667"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color w:val="FF0000"/>
                <w:sz w:val="20"/>
                <w:szCs w:val="20"/>
              </w:rPr>
              <w:t>unmet</w:t>
            </w:r>
            <w:r w:rsidRPr="003C6064">
              <w:rPr>
                <w:rFonts w:cstheme="minorBidi"/>
                <w:b/>
                <w:bCs/>
                <w:sz w:val="20"/>
                <w:szCs w:val="20"/>
              </w:rPr>
              <w:t>: not mentioned</w:t>
            </w:r>
          </w:p>
        </w:tc>
        <w:tc>
          <w:tcPr>
            <w:tcW w:w="639"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partially met: withdrawals stated, analysis unmodified</w:t>
            </w:r>
          </w:p>
        </w:tc>
        <w:tc>
          <w:tcPr>
            <w:tcW w:w="55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color w:val="FF0000"/>
                <w:sz w:val="20"/>
                <w:szCs w:val="20"/>
              </w:rPr>
            </w:pPr>
            <w:r w:rsidRPr="003C6064">
              <w:rPr>
                <w:rFonts w:cstheme="minorBidi"/>
                <w:b/>
                <w:bCs/>
                <w:color w:val="FF0000"/>
                <w:sz w:val="20"/>
                <w:szCs w:val="20"/>
              </w:rPr>
              <w:t>unmet</w:t>
            </w:r>
            <w:r w:rsidRPr="003C6064">
              <w:rPr>
                <w:rFonts w:cstheme="minorBidi"/>
                <w:b/>
                <w:bCs/>
                <w:sz w:val="20"/>
                <w:szCs w:val="20"/>
              </w:rPr>
              <w:t>: not mentioned</w:t>
            </w:r>
          </w:p>
        </w:tc>
      </w:tr>
      <w:tr w:rsidR="0090580B" w:rsidRPr="003C6064" w:rsidTr="008A256E">
        <w:trPr>
          <w:trHeight w:val="230"/>
          <w:jc w:val="center"/>
        </w:trPr>
        <w:tc>
          <w:tcPr>
            <w:tcW w:w="750" w:type="pct"/>
            <w:tcBorders>
              <w:top w:val="single" w:sz="18" w:space="0" w:color="FFFFFF"/>
              <w:bottom w:val="single" w:sz="18" w:space="0" w:color="FFFFFF"/>
            </w:tcBorders>
            <w:shd w:val="clear" w:color="auto" w:fill="808080"/>
            <w:vAlign w:val="center"/>
          </w:tcPr>
          <w:p w:rsidR="0090580B" w:rsidRPr="003C6064" w:rsidRDefault="0090580B" w:rsidP="0090580B">
            <w:pPr>
              <w:spacing w:before="120" w:after="0" w:line="240" w:lineRule="auto"/>
              <w:jc w:val="center"/>
              <w:rPr>
                <w:rFonts w:cstheme="minorBidi"/>
                <w:b/>
                <w:bCs/>
                <w:color w:val="FFFFFF"/>
                <w:sz w:val="20"/>
                <w:szCs w:val="20"/>
              </w:rPr>
            </w:pPr>
            <w:r w:rsidRPr="003C6064">
              <w:rPr>
                <w:rFonts w:cstheme="minorBidi"/>
                <w:b/>
                <w:bCs/>
                <w:color w:val="FFFFFF"/>
                <w:sz w:val="20"/>
                <w:szCs w:val="20"/>
              </w:rPr>
              <w:t>The global validity of the study</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High risk of bias: one unmet criteria</w:t>
            </w:r>
          </w:p>
        </w:tc>
        <w:tc>
          <w:tcPr>
            <w:tcW w:w="796" w:type="pct"/>
            <w:tcBorders>
              <w:top w:val="single" w:sz="18" w:space="0" w:color="FFFFFF"/>
              <w:bottom w:val="single" w:sz="18" w:space="0" w:color="FFFFFF"/>
            </w:tcBorders>
            <w:shd w:val="clear" w:color="auto" w:fill="E5B8B7"/>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Moderate risk of bias: one or more partially met</w:t>
            </w:r>
          </w:p>
        </w:tc>
        <w:tc>
          <w:tcPr>
            <w:tcW w:w="79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High risk of bias: two unmet criteria</w:t>
            </w:r>
          </w:p>
        </w:tc>
        <w:tc>
          <w:tcPr>
            <w:tcW w:w="667"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High risk of bias: four unmet criteria</w:t>
            </w:r>
          </w:p>
        </w:tc>
        <w:tc>
          <w:tcPr>
            <w:tcW w:w="639"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High risk of bias: three unmet criteria</w:t>
            </w:r>
          </w:p>
        </w:tc>
        <w:tc>
          <w:tcPr>
            <w:tcW w:w="556" w:type="pct"/>
            <w:tcBorders>
              <w:top w:val="single" w:sz="18" w:space="0" w:color="FFFFFF"/>
              <w:bottom w:val="single" w:sz="18" w:space="0" w:color="FFFFFF"/>
            </w:tcBorders>
            <w:shd w:val="clear" w:color="auto" w:fill="E0E0E0"/>
            <w:vAlign w:val="center"/>
          </w:tcPr>
          <w:p w:rsidR="0090580B" w:rsidRPr="003C6064" w:rsidRDefault="0090580B" w:rsidP="0090580B">
            <w:pPr>
              <w:spacing w:before="120" w:after="0" w:line="240" w:lineRule="auto"/>
              <w:jc w:val="center"/>
              <w:rPr>
                <w:rFonts w:cstheme="minorBidi"/>
                <w:b/>
                <w:bCs/>
                <w:sz w:val="20"/>
                <w:szCs w:val="20"/>
              </w:rPr>
            </w:pPr>
            <w:r w:rsidRPr="003C6064">
              <w:rPr>
                <w:rFonts w:cstheme="minorBidi"/>
                <w:b/>
                <w:bCs/>
                <w:sz w:val="20"/>
                <w:szCs w:val="20"/>
              </w:rPr>
              <w:t>High risk of bias: four unmet criteria</w:t>
            </w:r>
          </w:p>
        </w:tc>
      </w:tr>
      <w:bookmarkEnd w:id="52"/>
    </w:tbl>
    <w:p w:rsidR="00F64136" w:rsidRPr="00B013ED" w:rsidRDefault="00F64136" w:rsidP="00F64136">
      <w:pPr>
        <w:rPr>
          <w:rFonts w:cstheme="minorBidi"/>
        </w:rPr>
        <w:sectPr w:rsidR="00F64136" w:rsidRPr="00B013ED" w:rsidSect="00365534">
          <w:pgSz w:w="16838" w:h="11906" w:orient="landscape"/>
          <w:pgMar w:top="1440" w:right="1298" w:bottom="1151" w:left="2268" w:header="709" w:footer="709" w:gutter="0"/>
          <w:cols w:space="708"/>
          <w:docGrid w:linePitch="360"/>
        </w:sectPr>
      </w:pPr>
      <w:r w:rsidRPr="00B013ED">
        <w:rPr>
          <w:rFonts w:cstheme="minorBidi"/>
        </w:rPr>
        <w:br w:type="page"/>
      </w:r>
    </w:p>
    <w:p w:rsidR="008441CB" w:rsidRPr="00B013ED" w:rsidRDefault="008441CB" w:rsidP="005C307B">
      <w:pPr>
        <w:spacing w:line="480" w:lineRule="auto"/>
        <w:jc w:val="both"/>
        <w:rPr>
          <w:rFonts w:cstheme="minorBidi"/>
        </w:rPr>
      </w:pPr>
      <w:r w:rsidRPr="00B013ED">
        <w:rPr>
          <w:rFonts w:cstheme="minorBidi"/>
        </w:rPr>
        <w:lastRenderedPageBreak/>
        <w:t>Out of these six studies three studies (Roberts &amp; Brilliant 1975, Coviello &amp; Brilliant</w:t>
      </w:r>
      <w:r w:rsidR="005C307B" w:rsidRPr="00B013ED">
        <w:rPr>
          <w:rFonts w:cstheme="minorBidi"/>
        </w:rPr>
        <w:t>.,</w:t>
      </w:r>
      <w:r w:rsidRPr="00B013ED">
        <w:rPr>
          <w:rFonts w:cstheme="minorBidi"/>
        </w:rPr>
        <w:t xml:space="preserve"> 1979 and Mackie </w:t>
      </w:r>
      <w:r w:rsidRPr="00B013ED">
        <w:rPr>
          <w:rFonts w:cstheme="minorBidi"/>
          <w:i/>
          <w:iCs/>
        </w:rPr>
        <w:t>et al</w:t>
      </w:r>
      <w:r w:rsidR="005C307B" w:rsidRPr="00B013ED">
        <w:rPr>
          <w:rFonts w:cstheme="minorBidi"/>
          <w:i/>
          <w:iCs/>
        </w:rPr>
        <w:t>.,</w:t>
      </w:r>
      <w:r w:rsidRPr="00B013ED">
        <w:rPr>
          <w:rFonts w:cstheme="minorBidi"/>
        </w:rPr>
        <w:t xml:space="preserve"> 1994) met most of the review's methodological quality assessment criteria.</w:t>
      </w:r>
    </w:p>
    <w:p w:rsidR="008441CB" w:rsidRPr="00B013ED" w:rsidRDefault="008441CB" w:rsidP="00D717B7">
      <w:pPr>
        <w:spacing w:line="480" w:lineRule="auto"/>
        <w:jc w:val="both"/>
        <w:rPr>
          <w:rFonts w:cstheme="minorBidi"/>
        </w:rPr>
      </w:pPr>
      <w:r w:rsidRPr="00B013ED">
        <w:rPr>
          <w:rFonts w:cstheme="minorBidi"/>
        </w:rPr>
        <w:t>The results reported by Roberts &amp; Brilliant</w:t>
      </w:r>
      <w:r w:rsidR="005C307B" w:rsidRPr="00B013ED">
        <w:rPr>
          <w:rFonts w:cstheme="minorBidi"/>
        </w:rPr>
        <w:t>.,</w:t>
      </w:r>
      <w:r w:rsidRPr="00B013ED">
        <w:rPr>
          <w:rFonts w:cstheme="minorBidi"/>
        </w:rPr>
        <w:t xml:space="preserve"> (1975) showed 87.5% (7 out of 8 teeth) had a successful apical barrier formed using calcium hydroxide powder compared to 75% (6 out of 8 teeth) treated with tricalcium phosphate. Small numbers of participants in both groups did not allow any difference between materials to be identified. One dropout was reported (calcium hydroxide group). </w:t>
      </w:r>
      <w:r w:rsidR="001C6640">
        <w:rPr>
          <w:rFonts w:cstheme="minorBidi"/>
        </w:rPr>
        <w:t>Intention to treat (</w:t>
      </w:r>
      <w:r w:rsidRPr="00B013ED">
        <w:rPr>
          <w:rFonts w:cstheme="minorBidi"/>
        </w:rPr>
        <w:t>ITT</w:t>
      </w:r>
      <w:r w:rsidR="001C6640">
        <w:rPr>
          <w:rFonts w:cstheme="minorBidi"/>
        </w:rPr>
        <w:t>)</w:t>
      </w:r>
      <w:r w:rsidRPr="00B013ED">
        <w:rPr>
          <w:rFonts w:cstheme="minorBidi"/>
        </w:rPr>
        <w:t xml:space="preserve"> analysis was carried out this would have reduced the success rate to 75% in this group.</w:t>
      </w:r>
    </w:p>
    <w:p w:rsidR="008441CB" w:rsidRPr="00B013ED" w:rsidRDefault="008441CB" w:rsidP="00D717B7">
      <w:pPr>
        <w:spacing w:line="480" w:lineRule="auto"/>
        <w:jc w:val="both"/>
        <w:rPr>
          <w:rFonts w:cstheme="minorBidi"/>
        </w:rPr>
      </w:pPr>
      <w:r w:rsidRPr="00B013ED">
        <w:rPr>
          <w:rFonts w:cstheme="minorBidi"/>
        </w:rPr>
        <w:t xml:space="preserve"> Coviello &amp; Brilliant</w:t>
      </w:r>
      <w:r w:rsidR="005C307B" w:rsidRPr="00B013ED">
        <w:rPr>
          <w:rFonts w:cstheme="minorBidi"/>
        </w:rPr>
        <w:t>.,</w:t>
      </w:r>
      <w:r w:rsidRPr="00B013ED">
        <w:rPr>
          <w:rFonts w:cstheme="minorBidi"/>
        </w:rPr>
        <w:t xml:space="preserve"> (1979) reported a success in apical barrier formation of 82.9% (29 teeth out of 35) in the apical plug group which had one failure, seven </w:t>
      </w:r>
      <w:r w:rsidR="001C6640">
        <w:rPr>
          <w:rFonts w:cstheme="minorBidi"/>
        </w:rPr>
        <w:t>dropouts</w:t>
      </w:r>
      <w:r w:rsidRPr="00B013ED">
        <w:rPr>
          <w:rFonts w:cstheme="minorBidi"/>
        </w:rPr>
        <w:t xml:space="preserve"> and five questionable teeth. The calculated ITT = 69% success. In the apexification group there were nine failures, seven </w:t>
      </w:r>
      <w:r w:rsidR="001C6640">
        <w:rPr>
          <w:rFonts w:cstheme="minorBidi"/>
        </w:rPr>
        <w:t>dropouts</w:t>
      </w:r>
      <w:r w:rsidRPr="00B013ED">
        <w:rPr>
          <w:rFonts w:cstheme="minorBidi"/>
        </w:rPr>
        <w:t xml:space="preserve"> and 10 questionable teeth with a success of 63.5%. The calculated ITT = 55.9% success. There was no reported significant difference between treatment groups or materials used employing </w:t>
      </w:r>
      <w:r w:rsidR="00D30492">
        <w:rPr>
          <w:rFonts w:cstheme="minorBidi"/>
        </w:rPr>
        <w:t>C</w:t>
      </w:r>
      <w:r w:rsidRPr="00B013ED">
        <w:rPr>
          <w:rFonts w:cstheme="minorBidi"/>
        </w:rPr>
        <w:t xml:space="preserve">hi-square tests at 0.05 probabilities. The relative effectiveness of the single appointment technique using both materials compared to the multi-appointment technique using the same materials cannot be evaluated based on the data presented in this study; the difference in providing treatment to both groups may explain the large number of failures seen in the multi-appointment group which denotes a high risk of performance bias. The same can be applied to the number of visits needed to complete the treatment in this group.  Small numbers of positive </w:t>
      </w:r>
      <w:r w:rsidRPr="00B013ED">
        <w:rPr>
          <w:rFonts w:cstheme="minorBidi"/>
        </w:rPr>
        <w:lastRenderedPageBreak/>
        <w:t>controls in both groups would not allow for observing any difference between both materials using either technique.</w:t>
      </w:r>
    </w:p>
    <w:p w:rsidR="00CB1131" w:rsidRDefault="008441CB" w:rsidP="00BF2D74">
      <w:pPr>
        <w:tabs>
          <w:tab w:val="left" w:pos="360"/>
        </w:tabs>
        <w:spacing w:before="120" w:line="480" w:lineRule="auto"/>
        <w:jc w:val="both"/>
        <w:rPr>
          <w:rFonts w:cstheme="minorBidi"/>
        </w:rPr>
      </w:pPr>
      <w:r w:rsidRPr="00B013ED">
        <w:rPr>
          <w:rFonts w:cstheme="minorBidi"/>
        </w:rPr>
        <w:t xml:space="preserve">Mackie </w:t>
      </w:r>
      <w:r w:rsidRPr="00B013ED">
        <w:rPr>
          <w:rFonts w:cstheme="minorBidi"/>
          <w:i/>
          <w:iCs/>
        </w:rPr>
        <w:t>et al.</w:t>
      </w:r>
      <w:r w:rsidR="00307B6C" w:rsidRPr="00B013ED">
        <w:rPr>
          <w:rFonts w:cstheme="minorBidi"/>
          <w:i/>
          <w:iCs/>
        </w:rPr>
        <w:t>,</w:t>
      </w:r>
      <w:r w:rsidRPr="00B013ED">
        <w:rPr>
          <w:rFonts w:cstheme="minorBidi"/>
        </w:rPr>
        <w:t xml:space="preserve"> (1994) compared two calcium hydroxide paste preparations. The success for both brands was 100% based on available patients at the time of final analysis (33 children with 38 teeth out of 36 children with 41 teeth). </w:t>
      </w:r>
      <w:r w:rsidR="001C6640">
        <w:rPr>
          <w:rFonts w:cstheme="minorBidi"/>
        </w:rPr>
        <w:t>Dropouts</w:t>
      </w:r>
      <w:r w:rsidRPr="00B013ED">
        <w:rPr>
          <w:rFonts w:cstheme="minorBidi"/>
        </w:rPr>
        <w:t xml:space="preserve"> (1 patient with 1 tooth) and excluded cases (2 patients with 2 teeth) were not included in the final analysis. ITT analysis if </w:t>
      </w:r>
      <w:r w:rsidR="00D30492">
        <w:rPr>
          <w:rFonts w:cstheme="minorBidi"/>
        </w:rPr>
        <w:t>performed</w:t>
      </w:r>
      <w:r w:rsidRPr="00B013ED">
        <w:rPr>
          <w:rFonts w:cstheme="minorBidi"/>
        </w:rPr>
        <w:t xml:space="preserve"> would change the total success to 92.7% which </w:t>
      </w:r>
      <w:r w:rsidR="00D30492">
        <w:rPr>
          <w:rFonts w:cstheme="minorBidi"/>
        </w:rPr>
        <w:t>wa</w:t>
      </w:r>
      <w:r w:rsidRPr="00B013ED">
        <w:rPr>
          <w:rFonts w:cstheme="minorBidi"/>
        </w:rPr>
        <w:t>s still a favourable percent</w:t>
      </w:r>
      <w:r w:rsidR="00D30492">
        <w:rPr>
          <w:rFonts w:cstheme="minorBidi"/>
        </w:rPr>
        <w:t>age</w:t>
      </w:r>
      <w:r w:rsidRPr="00B013ED">
        <w:rPr>
          <w:rFonts w:cstheme="minorBidi"/>
        </w:rPr>
        <w:t xml:space="preserve"> of success. It should be noted that both comparison groups were calcium hydroxide preparations and the results should be interpreted on the basis of comparing Reogan Rapid</w:t>
      </w:r>
      <w:r w:rsidRPr="00B013ED">
        <w:rPr>
          <w:rFonts w:cstheme="minorBidi"/>
          <w:vertAlign w:val="superscript"/>
        </w:rPr>
        <w:t>®</w:t>
      </w:r>
      <w:r w:rsidRPr="00B013ED">
        <w:rPr>
          <w:rFonts w:cstheme="minorBidi"/>
        </w:rPr>
        <w:t xml:space="preserve"> to Hypo-cal</w:t>
      </w:r>
      <w:r w:rsidRPr="00B013ED">
        <w:rPr>
          <w:rFonts w:cstheme="minorBidi"/>
          <w:vertAlign w:val="superscript"/>
        </w:rPr>
        <w:t>®</w:t>
      </w:r>
      <w:r w:rsidRPr="00B013ED">
        <w:rPr>
          <w:rFonts w:cstheme="minorBidi"/>
        </w:rPr>
        <w:t xml:space="preserve"> and not to be applied as a general success rate for calcium hydroxide material in multi-visit apexification.  </w:t>
      </w:r>
    </w:p>
    <w:p w:rsidR="008441CB" w:rsidRPr="002D7D0E" w:rsidRDefault="008441CB" w:rsidP="00BF2D74">
      <w:pPr>
        <w:tabs>
          <w:tab w:val="left" w:pos="360"/>
        </w:tabs>
        <w:spacing w:before="120" w:line="480" w:lineRule="auto"/>
        <w:rPr>
          <w:rFonts w:cstheme="minorBidi"/>
          <w:szCs w:val="24"/>
        </w:rPr>
      </w:pPr>
      <w:r w:rsidRPr="002D7D0E">
        <w:rPr>
          <w:rFonts w:cstheme="minorBidi"/>
          <w:szCs w:val="24"/>
        </w:rPr>
        <w:t>The overall success rates reported in these studies is summarised in</w:t>
      </w:r>
      <w:r w:rsidR="00BF2D74" w:rsidRPr="002D7D0E">
        <w:rPr>
          <w:rFonts w:cstheme="minorBidi"/>
          <w:szCs w:val="24"/>
        </w:rPr>
        <w:t xml:space="preserve"> </w:t>
      </w:r>
      <w:r w:rsidR="00BF2D74" w:rsidRPr="002D7D0E">
        <w:rPr>
          <w:rFonts w:cstheme="minorBidi"/>
          <w:szCs w:val="24"/>
        </w:rPr>
        <w:fldChar w:fldCharType="begin"/>
      </w:r>
      <w:r w:rsidR="00BF2D74" w:rsidRPr="002D7D0E">
        <w:rPr>
          <w:rFonts w:cstheme="minorBidi"/>
          <w:szCs w:val="24"/>
        </w:rPr>
        <w:instrText xml:space="preserve"> REF _Ref360794747 \h </w:instrText>
      </w:r>
      <w:r w:rsidR="002D7D0E" w:rsidRPr="002D7D0E">
        <w:rPr>
          <w:rFonts w:cstheme="minorBidi"/>
          <w:szCs w:val="24"/>
        </w:rPr>
        <w:instrText xml:space="preserve"> \* MERGEFORMAT </w:instrText>
      </w:r>
      <w:r w:rsidR="00BF2D74" w:rsidRPr="002D7D0E">
        <w:rPr>
          <w:rFonts w:cstheme="minorBidi"/>
          <w:szCs w:val="24"/>
        </w:rPr>
      </w:r>
      <w:r w:rsidR="00BF2D74" w:rsidRPr="002D7D0E">
        <w:rPr>
          <w:rFonts w:cstheme="minorBidi"/>
          <w:szCs w:val="24"/>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b/>
          <w:bCs/>
          <w:noProof/>
          <w:sz w:val="20"/>
          <w:szCs w:val="20"/>
        </w:rPr>
        <w:t>1.1</w:t>
      </w:r>
      <w:r w:rsidR="00BF2D74" w:rsidRPr="002D7D0E">
        <w:rPr>
          <w:rFonts w:cstheme="minorBidi"/>
          <w:szCs w:val="24"/>
        </w:rPr>
        <w:fldChar w:fldCharType="end"/>
      </w:r>
      <w:r w:rsidRPr="002D7D0E">
        <w:rPr>
          <w:rFonts w:cstheme="minorBidi"/>
          <w:szCs w:val="24"/>
        </w:rPr>
        <w:t xml:space="preserve"> </w:t>
      </w:r>
    </w:p>
    <w:p w:rsidR="00BF2D74" w:rsidRPr="00FC4372" w:rsidRDefault="00BF2D74" w:rsidP="001D3F19">
      <w:pPr>
        <w:rPr>
          <w:rFonts w:cstheme="minorBidi"/>
          <w:b/>
          <w:bCs/>
          <w:sz w:val="20"/>
          <w:szCs w:val="20"/>
        </w:rPr>
      </w:pPr>
      <w:bookmarkStart w:id="53" w:name="_Ref360794747"/>
      <w:bookmarkStart w:id="54" w:name="_Toc361733590"/>
      <w:bookmarkStart w:id="55" w:name="_Toc361734233"/>
      <w:r w:rsidRPr="00FC4372">
        <w:rPr>
          <w:rFonts w:cstheme="minorBidi"/>
          <w:b/>
          <w:bCs/>
          <w:sz w:val="20"/>
          <w:szCs w:val="20"/>
        </w:rPr>
        <w:t xml:space="preserve">Figure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1</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1</w:t>
      </w:r>
      <w:r w:rsidR="00DF37B0">
        <w:rPr>
          <w:rFonts w:cstheme="minorBidi"/>
          <w:b/>
          <w:bCs/>
          <w:sz w:val="20"/>
          <w:szCs w:val="20"/>
        </w:rPr>
        <w:fldChar w:fldCharType="end"/>
      </w:r>
      <w:bookmarkEnd w:id="53"/>
      <w:r w:rsidRPr="00FC4372">
        <w:rPr>
          <w:rFonts w:cstheme="minorBidi"/>
          <w:b/>
          <w:bCs/>
          <w:sz w:val="20"/>
          <w:szCs w:val="20"/>
          <w:lang w:val="en-US"/>
        </w:rPr>
        <w:t xml:space="preserve"> Successes</w:t>
      </w:r>
      <w:r w:rsidRPr="00FC4372">
        <w:rPr>
          <w:rFonts w:cstheme="minorBidi"/>
          <w:b/>
          <w:bCs/>
          <w:sz w:val="20"/>
          <w:szCs w:val="20"/>
        </w:rPr>
        <w:t xml:space="preserve"> of calcium hydroxide apexification in three studies</w:t>
      </w:r>
      <w:bookmarkStart w:id="56" w:name="_Ref361077410"/>
      <w:bookmarkEnd w:id="54"/>
      <w:bookmarkEnd w:id="55"/>
      <w:r w:rsidRPr="00FC4372">
        <w:rPr>
          <w:rFonts w:cstheme="minorBidi"/>
          <w:b/>
          <w:bCs/>
          <w:sz w:val="20"/>
          <w:szCs w:val="20"/>
          <w:lang w:val="en-US"/>
        </w:rPr>
        <w:t xml:space="preserve"> </w:t>
      </w:r>
    </w:p>
    <w:p w:rsidR="008441CB" w:rsidRPr="00B013ED" w:rsidRDefault="008441CB" w:rsidP="008441CB">
      <w:pPr>
        <w:jc w:val="center"/>
        <w:rPr>
          <w:rFonts w:cstheme="minorBidi"/>
          <w:sz w:val="16"/>
          <w:szCs w:val="16"/>
        </w:rPr>
      </w:pPr>
      <w:r w:rsidRPr="00B013ED">
        <w:rPr>
          <w:rFonts w:cstheme="minorBidi"/>
          <w:noProof/>
          <w:lang w:eastAsia="en-GB"/>
        </w:rPr>
        <w:drawing>
          <wp:inline distT="0" distB="0" distL="0" distR="0" wp14:anchorId="61D04336" wp14:editId="0DAF4BAE">
            <wp:extent cx="5400675" cy="3314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5400675" cy="3314700"/>
                    </a:xfrm>
                    <a:prstGeom prst="rect">
                      <a:avLst/>
                    </a:prstGeom>
                    <a:noFill/>
                    <a:ln w="9525">
                      <a:noFill/>
                      <a:miter lim="800000"/>
                      <a:headEnd/>
                      <a:tailEnd/>
                    </a:ln>
                  </pic:spPr>
                </pic:pic>
              </a:graphicData>
            </a:graphic>
          </wp:inline>
        </w:drawing>
      </w:r>
    </w:p>
    <w:p w:rsidR="008441CB" w:rsidRPr="00B013ED" w:rsidRDefault="008441CB" w:rsidP="008441CB">
      <w:pPr>
        <w:tabs>
          <w:tab w:val="left" w:pos="360"/>
        </w:tabs>
        <w:spacing w:before="120" w:line="480" w:lineRule="auto"/>
        <w:rPr>
          <w:rFonts w:cstheme="minorBidi"/>
        </w:rPr>
      </w:pPr>
    </w:p>
    <w:p w:rsidR="008441CB" w:rsidRPr="00B013ED" w:rsidRDefault="008441CB" w:rsidP="00D717B7">
      <w:pPr>
        <w:tabs>
          <w:tab w:val="left" w:pos="360"/>
        </w:tabs>
        <w:spacing w:before="120" w:line="480" w:lineRule="auto"/>
        <w:jc w:val="both"/>
        <w:rPr>
          <w:rFonts w:cstheme="minorBidi"/>
        </w:rPr>
      </w:pPr>
      <w:r w:rsidRPr="00B013ED">
        <w:rPr>
          <w:rFonts w:cstheme="minorBidi"/>
        </w:rPr>
        <w:t xml:space="preserve">Calcium hydroxide apexification has been used over many decades as the treatment of choice for </w:t>
      </w:r>
      <w:r w:rsidR="004B3418">
        <w:rPr>
          <w:rFonts w:cstheme="minorBidi"/>
        </w:rPr>
        <w:t>non-vital</w:t>
      </w:r>
      <w:r w:rsidRPr="00B013ED">
        <w:rPr>
          <w:rFonts w:cstheme="minorBidi"/>
        </w:rPr>
        <w:t xml:space="preserve"> immature incisors where it has been essential to obtain a root end barrier in order to facilitate the placement of a root filling.  However, it can be seen from the review that evidence for this technique cannot be obtained from well conducted randomised controlled trials or even good quality clinical studies, which are not RCT’s.  </w:t>
      </w:r>
    </w:p>
    <w:p w:rsidR="008441CB" w:rsidRPr="00B013ED" w:rsidRDefault="008441CB" w:rsidP="00E7089D">
      <w:pPr>
        <w:tabs>
          <w:tab w:val="left" w:pos="360"/>
        </w:tabs>
        <w:spacing w:before="120" w:line="240" w:lineRule="auto"/>
        <w:rPr>
          <w:rFonts w:cstheme="minorBidi"/>
          <w:b/>
        </w:rPr>
      </w:pPr>
      <w:r w:rsidRPr="00B013ED">
        <w:rPr>
          <w:rFonts w:cstheme="minorBidi"/>
          <w:b/>
        </w:rPr>
        <w:t xml:space="preserve">Therefore the level of recommendation for calcium hydroxide </w:t>
      </w:r>
      <w:bookmarkStart w:id="57" w:name="_GoBack"/>
      <w:bookmarkEnd w:id="57"/>
      <w:r w:rsidRPr="00B013ED">
        <w:rPr>
          <w:rFonts w:cstheme="minorBidi"/>
          <w:b/>
        </w:rPr>
        <w:t>apexification is = C/D</w:t>
      </w:r>
    </w:p>
    <w:tbl>
      <w:tblPr>
        <w:tblStyle w:val="TableGrid"/>
        <w:tblpPr w:leftFromText="180" w:rightFromText="180" w:vertAnchor="text" w:horzAnchor="margin" w:tblpY="584"/>
        <w:tblW w:w="0" w:type="auto"/>
        <w:tblLook w:val="0000" w:firstRow="0" w:lastRow="0" w:firstColumn="0" w:lastColumn="0" w:noHBand="0" w:noVBand="0"/>
      </w:tblPr>
      <w:tblGrid>
        <w:gridCol w:w="1355"/>
        <w:gridCol w:w="7021"/>
      </w:tblGrid>
      <w:tr w:rsidR="00E7089D" w:rsidTr="00E7089D">
        <w:trPr>
          <w:trHeight w:val="288"/>
        </w:trPr>
        <w:tc>
          <w:tcPr>
            <w:tcW w:w="8376" w:type="dxa"/>
            <w:gridSpan w:val="2"/>
            <w:shd w:val="clear" w:color="auto" w:fill="002060"/>
            <w:vAlign w:val="center"/>
          </w:tcPr>
          <w:p w:rsidR="00E7089D" w:rsidRPr="003F5E4B" w:rsidRDefault="00E7089D" w:rsidP="00E7089D">
            <w:pPr>
              <w:jc w:val="center"/>
              <w:rPr>
                <w:b/>
                <w:bCs/>
                <w:color w:val="FFFF00"/>
              </w:rPr>
            </w:pPr>
            <w:r w:rsidRPr="003F5E4B">
              <w:rPr>
                <w:b/>
                <w:bCs/>
                <w:color w:val="FFFF00"/>
              </w:rPr>
              <w:t>Levels of evidence</w:t>
            </w:r>
          </w:p>
        </w:tc>
      </w:tr>
      <w:tr w:rsidR="00E7089D" w:rsidTr="00E7089D">
        <w:tblPrEx>
          <w:tblLook w:val="04A0" w:firstRow="1" w:lastRow="0" w:firstColumn="1" w:lastColumn="0" w:noHBand="0" w:noVBand="1"/>
        </w:tblPrEx>
        <w:trPr>
          <w:trHeight w:val="545"/>
        </w:trPr>
        <w:tc>
          <w:tcPr>
            <w:tcW w:w="1355" w:type="dxa"/>
            <w:shd w:val="clear" w:color="auto" w:fill="EAF1DD" w:themeFill="accent3" w:themeFillTint="33"/>
            <w:vAlign w:val="center"/>
          </w:tcPr>
          <w:p w:rsidR="00E7089D" w:rsidRPr="00E7089D" w:rsidRDefault="00E7089D" w:rsidP="00E7089D">
            <w:pPr>
              <w:jc w:val="center"/>
              <w:rPr>
                <w:b/>
                <w:bCs/>
              </w:rPr>
            </w:pPr>
            <w:r w:rsidRPr="00E7089D">
              <w:rPr>
                <w:b/>
                <w:bCs/>
              </w:rPr>
              <w:t>1++</w:t>
            </w:r>
          </w:p>
        </w:tc>
        <w:tc>
          <w:tcPr>
            <w:tcW w:w="7021" w:type="dxa"/>
            <w:shd w:val="clear" w:color="auto" w:fill="FBD4B4" w:themeFill="accent6" w:themeFillTint="66"/>
          </w:tcPr>
          <w:p w:rsidR="00E7089D" w:rsidRDefault="00E7089D" w:rsidP="00E7089D">
            <w:r w:rsidRPr="003F5E4B">
              <w:t>High quality meta-analyses, systematic reviews of RCTs, or RCTs with a very low risk of bias</w:t>
            </w:r>
          </w:p>
        </w:tc>
      </w:tr>
      <w:tr w:rsidR="00E7089D" w:rsidTr="00E7089D">
        <w:tblPrEx>
          <w:tblLook w:val="04A0" w:firstRow="1" w:lastRow="0" w:firstColumn="1" w:lastColumn="0" w:noHBand="0" w:noVBand="1"/>
        </w:tblPrEx>
        <w:trPr>
          <w:trHeight w:val="560"/>
        </w:trPr>
        <w:tc>
          <w:tcPr>
            <w:tcW w:w="1355" w:type="dxa"/>
            <w:shd w:val="clear" w:color="auto" w:fill="EAF1DD" w:themeFill="accent3" w:themeFillTint="33"/>
            <w:vAlign w:val="center"/>
          </w:tcPr>
          <w:p w:rsidR="00E7089D" w:rsidRPr="00E7089D" w:rsidRDefault="00E7089D" w:rsidP="00E7089D">
            <w:pPr>
              <w:jc w:val="center"/>
              <w:rPr>
                <w:b/>
                <w:bCs/>
              </w:rPr>
            </w:pPr>
            <w:r w:rsidRPr="00E7089D">
              <w:rPr>
                <w:b/>
                <w:bCs/>
              </w:rPr>
              <w:t>1+</w:t>
            </w:r>
          </w:p>
        </w:tc>
        <w:tc>
          <w:tcPr>
            <w:tcW w:w="7021" w:type="dxa"/>
            <w:shd w:val="clear" w:color="auto" w:fill="FBD4B4" w:themeFill="accent6" w:themeFillTint="66"/>
          </w:tcPr>
          <w:p w:rsidR="00E7089D" w:rsidRDefault="00E7089D" w:rsidP="00E7089D">
            <w:r w:rsidRPr="003F5E4B">
              <w:t>Well conducted meta-analyses, systematic reviews of RCTs, or RCTs with a low risk of bias</w:t>
            </w:r>
          </w:p>
        </w:tc>
      </w:tr>
      <w:tr w:rsidR="00E7089D" w:rsidTr="00E7089D">
        <w:tblPrEx>
          <w:tblLook w:val="04A0" w:firstRow="1" w:lastRow="0" w:firstColumn="1" w:lastColumn="0" w:noHBand="0" w:noVBand="1"/>
        </w:tblPrEx>
        <w:trPr>
          <w:trHeight w:val="545"/>
        </w:trPr>
        <w:tc>
          <w:tcPr>
            <w:tcW w:w="1355" w:type="dxa"/>
            <w:shd w:val="clear" w:color="auto" w:fill="EAF1DD" w:themeFill="accent3" w:themeFillTint="33"/>
            <w:vAlign w:val="center"/>
          </w:tcPr>
          <w:p w:rsidR="00E7089D" w:rsidRPr="00E7089D" w:rsidRDefault="00E7089D" w:rsidP="00E7089D">
            <w:pPr>
              <w:jc w:val="center"/>
              <w:rPr>
                <w:b/>
                <w:bCs/>
              </w:rPr>
            </w:pPr>
            <w:r w:rsidRPr="00E7089D">
              <w:rPr>
                <w:b/>
                <w:bCs/>
              </w:rPr>
              <w:t>1-</w:t>
            </w:r>
          </w:p>
        </w:tc>
        <w:tc>
          <w:tcPr>
            <w:tcW w:w="7021" w:type="dxa"/>
            <w:shd w:val="clear" w:color="auto" w:fill="FBD4B4" w:themeFill="accent6" w:themeFillTint="66"/>
          </w:tcPr>
          <w:p w:rsidR="00E7089D" w:rsidRDefault="00E7089D" w:rsidP="00E7089D">
            <w:r w:rsidRPr="003F5E4B">
              <w:t>Meta-analyses, systematic reviews or RCTs, or RCTs with a high risk of bias</w:t>
            </w:r>
          </w:p>
        </w:tc>
      </w:tr>
      <w:tr w:rsidR="00E7089D" w:rsidTr="00E7089D">
        <w:tblPrEx>
          <w:tblLook w:val="04A0" w:firstRow="1" w:lastRow="0" w:firstColumn="1" w:lastColumn="0" w:noHBand="0" w:noVBand="1"/>
        </w:tblPrEx>
        <w:trPr>
          <w:trHeight w:val="832"/>
        </w:trPr>
        <w:tc>
          <w:tcPr>
            <w:tcW w:w="1355" w:type="dxa"/>
            <w:shd w:val="clear" w:color="auto" w:fill="EAF1DD" w:themeFill="accent3" w:themeFillTint="33"/>
            <w:vAlign w:val="center"/>
          </w:tcPr>
          <w:p w:rsidR="00E7089D" w:rsidRPr="00E7089D" w:rsidRDefault="00E7089D" w:rsidP="00E7089D">
            <w:pPr>
              <w:jc w:val="center"/>
              <w:rPr>
                <w:b/>
                <w:bCs/>
              </w:rPr>
            </w:pPr>
            <w:r w:rsidRPr="00E7089D">
              <w:rPr>
                <w:b/>
                <w:bCs/>
              </w:rPr>
              <w:t>2++</w:t>
            </w:r>
          </w:p>
        </w:tc>
        <w:tc>
          <w:tcPr>
            <w:tcW w:w="7021" w:type="dxa"/>
            <w:shd w:val="clear" w:color="auto" w:fill="FBD4B4" w:themeFill="accent6" w:themeFillTint="66"/>
          </w:tcPr>
          <w:p w:rsidR="00E7089D" w:rsidRDefault="00E7089D" w:rsidP="00E7089D">
            <w:r w:rsidRPr="003F5E4B">
              <w:t>High quality systematic reviews, case-control, cohort or high quality studies with a very low risk of confounding, bias, and a high probability that the relationship is causal</w:t>
            </w:r>
          </w:p>
        </w:tc>
      </w:tr>
      <w:tr w:rsidR="00E7089D" w:rsidTr="00E7089D">
        <w:tblPrEx>
          <w:tblLook w:val="04A0" w:firstRow="1" w:lastRow="0" w:firstColumn="1" w:lastColumn="0" w:noHBand="0" w:noVBand="1"/>
        </w:tblPrEx>
        <w:trPr>
          <w:trHeight w:val="832"/>
        </w:trPr>
        <w:tc>
          <w:tcPr>
            <w:tcW w:w="1355" w:type="dxa"/>
            <w:shd w:val="clear" w:color="auto" w:fill="EAF1DD" w:themeFill="accent3" w:themeFillTint="33"/>
            <w:vAlign w:val="center"/>
          </w:tcPr>
          <w:p w:rsidR="00E7089D" w:rsidRPr="00E7089D" w:rsidRDefault="00E7089D" w:rsidP="00E7089D">
            <w:pPr>
              <w:jc w:val="center"/>
              <w:rPr>
                <w:b/>
                <w:bCs/>
              </w:rPr>
            </w:pPr>
            <w:r w:rsidRPr="00E7089D">
              <w:rPr>
                <w:b/>
                <w:bCs/>
              </w:rPr>
              <w:t>2+</w:t>
            </w:r>
          </w:p>
        </w:tc>
        <w:tc>
          <w:tcPr>
            <w:tcW w:w="7021" w:type="dxa"/>
            <w:shd w:val="clear" w:color="auto" w:fill="FBD4B4" w:themeFill="accent6" w:themeFillTint="66"/>
            <w:vAlign w:val="center"/>
          </w:tcPr>
          <w:p w:rsidR="00E7089D" w:rsidRDefault="00E7089D" w:rsidP="00E7089D">
            <w:r w:rsidRPr="003F5E4B">
              <w:t>Well conducted case-control or cohort studies with a low risk of confounding, bias,or chance and a moderate probability that the relationship is causal</w:t>
            </w:r>
          </w:p>
        </w:tc>
      </w:tr>
      <w:tr w:rsidR="00E7089D" w:rsidTr="00E7089D">
        <w:tblPrEx>
          <w:tblLook w:val="04A0" w:firstRow="1" w:lastRow="0" w:firstColumn="1" w:lastColumn="0" w:noHBand="0" w:noVBand="1"/>
        </w:tblPrEx>
        <w:trPr>
          <w:trHeight w:val="832"/>
        </w:trPr>
        <w:tc>
          <w:tcPr>
            <w:tcW w:w="1355" w:type="dxa"/>
            <w:shd w:val="clear" w:color="auto" w:fill="EAF1DD" w:themeFill="accent3" w:themeFillTint="33"/>
            <w:vAlign w:val="center"/>
          </w:tcPr>
          <w:p w:rsidR="00E7089D" w:rsidRPr="00E7089D" w:rsidRDefault="00E7089D" w:rsidP="00E7089D">
            <w:pPr>
              <w:jc w:val="center"/>
              <w:rPr>
                <w:b/>
                <w:bCs/>
              </w:rPr>
            </w:pPr>
            <w:r w:rsidRPr="00E7089D">
              <w:rPr>
                <w:b/>
                <w:bCs/>
              </w:rPr>
              <w:t>2</w:t>
            </w:r>
          </w:p>
        </w:tc>
        <w:tc>
          <w:tcPr>
            <w:tcW w:w="7021" w:type="dxa"/>
            <w:shd w:val="clear" w:color="auto" w:fill="FBD4B4" w:themeFill="accent6" w:themeFillTint="66"/>
          </w:tcPr>
          <w:p w:rsidR="00E7089D" w:rsidRDefault="00E7089D" w:rsidP="00E7089D">
            <w:r w:rsidRPr="003F5E4B">
              <w:t>Case-control or cohort studies with a high risk of confounding, bias, or chance and a significant risk that the relationship is not causal</w:t>
            </w:r>
          </w:p>
        </w:tc>
      </w:tr>
      <w:tr w:rsidR="00E7089D" w:rsidTr="00E7089D">
        <w:tblPrEx>
          <w:tblLook w:val="04A0" w:firstRow="1" w:lastRow="0" w:firstColumn="1" w:lastColumn="0" w:noHBand="0" w:noVBand="1"/>
        </w:tblPrEx>
        <w:trPr>
          <w:trHeight w:val="272"/>
        </w:trPr>
        <w:tc>
          <w:tcPr>
            <w:tcW w:w="1355" w:type="dxa"/>
            <w:shd w:val="clear" w:color="auto" w:fill="EAF1DD" w:themeFill="accent3" w:themeFillTint="33"/>
            <w:vAlign w:val="center"/>
          </w:tcPr>
          <w:p w:rsidR="00E7089D" w:rsidRPr="00E7089D" w:rsidRDefault="00E7089D" w:rsidP="00E7089D">
            <w:pPr>
              <w:jc w:val="center"/>
              <w:rPr>
                <w:b/>
                <w:bCs/>
              </w:rPr>
            </w:pPr>
            <w:r w:rsidRPr="00E7089D">
              <w:rPr>
                <w:b/>
                <w:bCs/>
              </w:rPr>
              <w:t>3</w:t>
            </w:r>
          </w:p>
        </w:tc>
        <w:tc>
          <w:tcPr>
            <w:tcW w:w="7021" w:type="dxa"/>
            <w:shd w:val="clear" w:color="auto" w:fill="FBD4B4" w:themeFill="accent6" w:themeFillTint="66"/>
          </w:tcPr>
          <w:p w:rsidR="00E7089D" w:rsidRDefault="00E7089D" w:rsidP="00E7089D">
            <w:r w:rsidRPr="003F5E4B">
              <w:t>Non-analytic studies, e</w:t>
            </w:r>
            <w:r>
              <w:t>i</w:t>
            </w:r>
            <w:r w:rsidRPr="003F5E4B">
              <w:t>g case reports, case series</w:t>
            </w:r>
          </w:p>
        </w:tc>
      </w:tr>
      <w:tr w:rsidR="00E7089D" w:rsidTr="00E7089D">
        <w:tblPrEx>
          <w:tblLook w:val="04A0" w:firstRow="1" w:lastRow="0" w:firstColumn="1" w:lastColumn="0" w:noHBand="0" w:noVBand="1"/>
        </w:tblPrEx>
        <w:trPr>
          <w:trHeight w:val="288"/>
        </w:trPr>
        <w:tc>
          <w:tcPr>
            <w:tcW w:w="1355" w:type="dxa"/>
            <w:shd w:val="clear" w:color="auto" w:fill="EAF1DD" w:themeFill="accent3" w:themeFillTint="33"/>
            <w:vAlign w:val="center"/>
          </w:tcPr>
          <w:p w:rsidR="00E7089D" w:rsidRPr="00E7089D" w:rsidRDefault="00E7089D" w:rsidP="00E7089D">
            <w:pPr>
              <w:jc w:val="center"/>
              <w:rPr>
                <w:b/>
                <w:bCs/>
              </w:rPr>
            </w:pPr>
            <w:r w:rsidRPr="00E7089D">
              <w:rPr>
                <w:b/>
                <w:bCs/>
              </w:rPr>
              <w:t>4</w:t>
            </w:r>
          </w:p>
        </w:tc>
        <w:tc>
          <w:tcPr>
            <w:tcW w:w="7021" w:type="dxa"/>
            <w:shd w:val="clear" w:color="auto" w:fill="FBD4B4" w:themeFill="accent6" w:themeFillTint="66"/>
          </w:tcPr>
          <w:p w:rsidR="00E7089D" w:rsidRDefault="00E7089D" w:rsidP="00E7089D">
            <w:r w:rsidRPr="003F5E4B">
              <w:t>Expert opinion</w:t>
            </w:r>
          </w:p>
        </w:tc>
      </w:tr>
    </w:tbl>
    <w:p w:rsidR="00E7089D" w:rsidRPr="00A545AD" w:rsidRDefault="003F5E4B" w:rsidP="00E7089D">
      <w:pPr>
        <w:pStyle w:val="Caption"/>
        <w:keepNext/>
        <w:spacing w:line="240" w:lineRule="auto"/>
        <w:rPr>
          <w:rFonts w:cstheme="minorBidi"/>
          <w:b/>
          <w:bCs w:val="0"/>
          <w:sz w:val="20"/>
          <w:szCs w:val="20"/>
        </w:rPr>
      </w:pPr>
      <w:bookmarkStart w:id="58" w:name="_Toc370511724"/>
      <w:proofErr w:type="gramStart"/>
      <w:r w:rsidRPr="00A545AD">
        <w:rPr>
          <w:rFonts w:cstheme="minorBidi"/>
          <w:b/>
          <w:bCs w:val="0"/>
          <w:sz w:val="20"/>
          <w:szCs w:val="20"/>
        </w:rPr>
        <w:t xml:space="preserve">Table </w:t>
      </w:r>
      <w:r w:rsidR="00E7089D" w:rsidRPr="00A545AD">
        <w:rPr>
          <w:rFonts w:cstheme="minorBidi"/>
          <w:b/>
          <w:bCs w:val="0"/>
          <w:sz w:val="20"/>
          <w:szCs w:val="20"/>
        </w:rPr>
        <w:fldChar w:fldCharType="begin"/>
      </w:r>
      <w:r w:rsidR="00E7089D" w:rsidRPr="00A545AD">
        <w:rPr>
          <w:rFonts w:cstheme="minorBidi"/>
          <w:b/>
          <w:bCs w:val="0"/>
          <w:sz w:val="20"/>
          <w:szCs w:val="20"/>
        </w:rPr>
        <w:instrText xml:space="preserve"> STYLEREF 1 \s </w:instrText>
      </w:r>
      <w:r w:rsidR="00E7089D" w:rsidRPr="00A545AD">
        <w:rPr>
          <w:rFonts w:cstheme="minorBidi"/>
          <w:b/>
          <w:bCs w:val="0"/>
          <w:sz w:val="20"/>
          <w:szCs w:val="20"/>
        </w:rPr>
        <w:fldChar w:fldCharType="separate"/>
      </w:r>
      <w:r w:rsidR="00374B77" w:rsidRPr="00A545AD">
        <w:rPr>
          <w:rFonts w:cstheme="minorBidi"/>
          <w:b/>
          <w:bCs w:val="0"/>
          <w:noProof/>
          <w:sz w:val="20"/>
          <w:szCs w:val="20"/>
          <w:cs/>
        </w:rPr>
        <w:t>‎</w:t>
      </w:r>
      <w:r w:rsidR="00374B77" w:rsidRPr="00A545AD">
        <w:rPr>
          <w:rFonts w:cstheme="minorBidi"/>
          <w:b/>
          <w:bCs w:val="0"/>
          <w:noProof/>
          <w:sz w:val="20"/>
          <w:szCs w:val="20"/>
        </w:rPr>
        <w:t>1</w:t>
      </w:r>
      <w:r w:rsidR="00E7089D" w:rsidRPr="00A545AD">
        <w:rPr>
          <w:rFonts w:cstheme="minorBidi"/>
          <w:b/>
          <w:bCs w:val="0"/>
          <w:sz w:val="20"/>
          <w:szCs w:val="20"/>
        </w:rPr>
        <w:fldChar w:fldCharType="end"/>
      </w:r>
      <w:r w:rsidR="00E7089D" w:rsidRPr="00A545AD">
        <w:rPr>
          <w:rFonts w:cstheme="minorBidi"/>
          <w:b/>
          <w:bCs w:val="0"/>
          <w:sz w:val="20"/>
          <w:szCs w:val="20"/>
        </w:rPr>
        <w:t>.</w:t>
      </w:r>
      <w:proofErr w:type="gramEnd"/>
      <w:r w:rsidR="00E7089D" w:rsidRPr="00A545AD">
        <w:rPr>
          <w:rFonts w:cstheme="minorBidi"/>
          <w:b/>
          <w:bCs w:val="0"/>
          <w:sz w:val="20"/>
          <w:szCs w:val="20"/>
        </w:rPr>
        <w:fldChar w:fldCharType="begin"/>
      </w:r>
      <w:r w:rsidR="00E7089D" w:rsidRPr="00A545AD">
        <w:rPr>
          <w:rFonts w:cstheme="minorBidi"/>
          <w:b/>
          <w:bCs w:val="0"/>
          <w:sz w:val="20"/>
          <w:szCs w:val="20"/>
        </w:rPr>
        <w:instrText xml:space="preserve"> SEQ Table \* ARABIC \s 1 </w:instrText>
      </w:r>
      <w:r w:rsidR="00E7089D" w:rsidRPr="00A545AD">
        <w:rPr>
          <w:rFonts w:cstheme="minorBidi"/>
          <w:b/>
          <w:bCs w:val="0"/>
          <w:sz w:val="20"/>
          <w:szCs w:val="20"/>
        </w:rPr>
        <w:fldChar w:fldCharType="separate"/>
      </w:r>
      <w:r w:rsidR="00374B77" w:rsidRPr="00A545AD">
        <w:rPr>
          <w:rFonts w:cstheme="minorBidi"/>
          <w:b/>
          <w:bCs w:val="0"/>
          <w:noProof/>
          <w:sz w:val="20"/>
          <w:szCs w:val="20"/>
        </w:rPr>
        <w:t>3</w:t>
      </w:r>
      <w:r w:rsidR="00E7089D" w:rsidRPr="00A545AD">
        <w:rPr>
          <w:rFonts w:cstheme="minorBidi"/>
          <w:b/>
          <w:bCs w:val="0"/>
          <w:sz w:val="20"/>
          <w:szCs w:val="20"/>
        </w:rPr>
        <w:fldChar w:fldCharType="end"/>
      </w:r>
      <w:r w:rsidRPr="00A545AD">
        <w:rPr>
          <w:rFonts w:cstheme="minorBidi"/>
          <w:b/>
          <w:bCs w:val="0"/>
          <w:sz w:val="20"/>
          <w:szCs w:val="20"/>
        </w:rPr>
        <w:t xml:space="preserve"> Grading system for evidence based guidelines used by SIGN.</w:t>
      </w:r>
      <w:bookmarkEnd w:id="58"/>
    </w:p>
    <w:p w:rsidR="00E7089D" w:rsidRDefault="00E7089D" w:rsidP="00E7089D">
      <w:pPr>
        <w:pStyle w:val="Caption"/>
        <w:keepNext/>
      </w:pPr>
      <w:r w:rsidRPr="00E7089D">
        <w:rPr>
          <w:noProof/>
          <w:lang w:eastAsia="en-GB"/>
        </w:rPr>
        <mc:AlternateContent>
          <mc:Choice Requires="wps">
            <w:drawing>
              <wp:anchor distT="0" distB="0" distL="114300" distR="114300" simplePos="0" relativeHeight="251864064" behindDoc="0" locked="0" layoutInCell="1" allowOverlap="1" wp14:anchorId="18F71C9E" wp14:editId="5B119B09">
                <wp:simplePos x="0" y="0"/>
                <wp:positionH relativeFrom="column">
                  <wp:posOffset>-87630</wp:posOffset>
                </wp:positionH>
                <wp:positionV relativeFrom="paragraph">
                  <wp:posOffset>3308985</wp:posOffset>
                </wp:positionV>
                <wp:extent cx="5372100" cy="419100"/>
                <wp:effectExtent l="0" t="0" r="0" b="76200"/>
                <wp:wrapNone/>
                <wp:docPr id="261" name="TextBox 3"/>
                <wp:cNvGraphicFramePr/>
                <a:graphic xmlns:a="http://schemas.openxmlformats.org/drawingml/2006/main">
                  <a:graphicData uri="http://schemas.microsoft.com/office/word/2010/wordprocessingShape">
                    <wps:wsp>
                      <wps:cNvSpPr txBox="1"/>
                      <wps:spPr>
                        <a:xfrm>
                          <a:off x="0" y="0"/>
                          <a:ext cx="5372100" cy="4191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208E6" w:rsidRPr="00E7089D" w:rsidRDefault="003208E6" w:rsidP="00E7089D">
                            <w:pPr>
                              <w:pStyle w:val="NormalWeb"/>
                              <w:shd w:val="clear" w:color="auto" w:fill="002060"/>
                              <w:spacing w:after="0" w:line="240" w:lineRule="auto"/>
                              <w:jc w:val="center"/>
                              <w:rPr>
                                <w:rFonts w:asciiTheme="minorBidi" w:hAnsiTheme="minorBidi" w:cstheme="minorBidi"/>
                                <w:color w:val="FFFF00"/>
                              </w:rPr>
                            </w:pPr>
                            <w:r w:rsidRPr="00E7089D">
                              <w:rPr>
                                <w:rFonts w:asciiTheme="minorBidi" w:hAnsiTheme="minorBidi" w:cstheme="minorBidi"/>
                                <w:b/>
                                <w:bCs/>
                                <w:color w:val="FFFF00"/>
                                <w:kern w:val="24"/>
                                <w:highlight w:val="darkBlue"/>
                              </w:rPr>
                              <w:t>Levels of recommendation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6.9pt;margin-top:260.55pt;width:423pt;height:3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" filled="f" stroked="f">
                <v:shadow on="t" color="black" opacity="20971f" offset="0,2.2pt"/>
                <v:textbox>
                  <w:txbxContent>
                    <w:p w:rsidR="003208E6" w:rsidRPr="00E7089D" w:rsidRDefault="003208E6" w:rsidP="00E7089D">
                      <w:pPr>
                        <w:pStyle w:val="NormalWeb"/>
                        <w:shd w:val="clear" w:color="auto" w:fill="002060"/>
                        <w:spacing w:after="0" w:line="240" w:lineRule="auto"/>
                        <w:jc w:val="center"/>
                        <w:rPr>
                          <w:rFonts w:asciiTheme="minorBidi" w:hAnsiTheme="minorBidi" w:cstheme="minorBidi"/>
                          <w:color w:val="FFFF00"/>
                        </w:rPr>
                      </w:pPr>
                      <w:r w:rsidRPr="00E7089D">
                        <w:rPr>
                          <w:rFonts w:asciiTheme="minorBidi" w:hAnsiTheme="minorBidi" w:cstheme="minorBidi"/>
                          <w:b/>
                          <w:bCs/>
                          <w:color w:val="FFFF00"/>
                          <w:kern w:val="24"/>
                          <w:highlight w:val="darkBlue"/>
                        </w:rPr>
                        <w:t>Levels of recommendation</w:t>
                      </w:r>
                    </w:p>
                  </w:txbxContent>
                </v:textbox>
              </v:shape>
            </w:pict>
          </mc:Fallback>
        </mc:AlternateContent>
      </w:r>
    </w:p>
    <w:tbl>
      <w:tblPr>
        <w:tblStyle w:val="TableGrid"/>
        <w:tblW w:w="0" w:type="auto"/>
        <w:tblLook w:val="04A0" w:firstRow="1" w:lastRow="0" w:firstColumn="1" w:lastColumn="0" w:noHBand="0" w:noVBand="1"/>
      </w:tblPr>
      <w:tblGrid>
        <w:gridCol w:w="1356"/>
        <w:gridCol w:w="7033"/>
      </w:tblGrid>
      <w:tr w:rsidR="00E7089D" w:rsidTr="00E7089D">
        <w:trPr>
          <w:trHeight w:val="512"/>
        </w:trPr>
        <w:tc>
          <w:tcPr>
            <w:tcW w:w="1356" w:type="dxa"/>
            <w:shd w:val="clear" w:color="auto" w:fill="EAF1DD" w:themeFill="accent3" w:themeFillTint="33"/>
          </w:tcPr>
          <w:p w:rsidR="00E7089D" w:rsidRPr="00E7089D" w:rsidRDefault="00E7089D" w:rsidP="00E7089D">
            <w:pPr>
              <w:spacing w:line="480" w:lineRule="auto"/>
              <w:jc w:val="center"/>
              <w:rPr>
                <w:b/>
                <w:bCs/>
              </w:rPr>
            </w:pPr>
            <w:r w:rsidRPr="00E7089D">
              <w:rPr>
                <w:b/>
                <w:bCs/>
              </w:rPr>
              <w:t>A</w:t>
            </w:r>
          </w:p>
        </w:tc>
        <w:tc>
          <w:tcPr>
            <w:tcW w:w="7033" w:type="dxa"/>
            <w:shd w:val="clear" w:color="auto" w:fill="FBD4B4" w:themeFill="accent6" w:themeFillTint="66"/>
          </w:tcPr>
          <w:p w:rsidR="00E7089D" w:rsidRPr="00E7089D" w:rsidRDefault="00E7089D" w:rsidP="00E7089D">
            <w:pPr>
              <w:spacing w:line="480" w:lineRule="auto"/>
            </w:pPr>
            <w:r w:rsidRPr="00E7089D">
              <w:t>Very strong evidence</w:t>
            </w:r>
          </w:p>
        </w:tc>
      </w:tr>
      <w:tr w:rsidR="00E7089D" w:rsidTr="00E7089D">
        <w:trPr>
          <w:trHeight w:val="500"/>
        </w:trPr>
        <w:tc>
          <w:tcPr>
            <w:tcW w:w="1356" w:type="dxa"/>
            <w:shd w:val="clear" w:color="auto" w:fill="EAF1DD" w:themeFill="accent3" w:themeFillTint="33"/>
          </w:tcPr>
          <w:p w:rsidR="00E7089D" w:rsidRPr="00E7089D" w:rsidRDefault="00E7089D" w:rsidP="00E7089D">
            <w:pPr>
              <w:jc w:val="center"/>
              <w:rPr>
                <w:b/>
                <w:bCs/>
              </w:rPr>
            </w:pPr>
            <w:r w:rsidRPr="00E7089D">
              <w:rPr>
                <w:b/>
                <w:bCs/>
              </w:rPr>
              <w:t>B</w:t>
            </w:r>
          </w:p>
        </w:tc>
        <w:tc>
          <w:tcPr>
            <w:tcW w:w="7033" w:type="dxa"/>
            <w:shd w:val="clear" w:color="auto" w:fill="FBD4B4" w:themeFill="accent6" w:themeFillTint="66"/>
          </w:tcPr>
          <w:p w:rsidR="00E7089D" w:rsidRPr="00E7089D" w:rsidRDefault="00E7089D" w:rsidP="00E7089D">
            <w:r w:rsidRPr="00E7089D">
              <w:t>Medium</w:t>
            </w:r>
          </w:p>
        </w:tc>
      </w:tr>
      <w:tr w:rsidR="00E7089D" w:rsidTr="00E7089D">
        <w:trPr>
          <w:trHeight w:val="512"/>
        </w:trPr>
        <w:tc>
          <w:tcPr>
            <w:tcW w:w="1356" w:type="dxa"/>
            <w:shd w:val="clear" w:color="auto" w:fill="EAF1DD" w:themeFill="accent3" w:themeFillTint="33"/>
          </w:tcPr>
          <w:p w:rsidR="00E7089D" w:rsidRPr="00E7089D" w:rsidRDefault="00E7089D" w:rsidP="00E7089D">
            <w:pPr>
              <w:jc w:val="center"/>
              <w:rPr>
                <w:b/>
                <w:bCs/>
              </w:rPr>
            </w:pPr>
            <w:r w:rsidRPr="00E7089D">
              <w:rPr>
                <w:b/>
                <w:bCs/>
              </w:rPr>
              <w:t>C</w:t>
            </w:r>
          </w:p>
        </w:tc>
        <w:tc>
          <w:tcPr>
            <w:tcW w:w="7033" w:type="dxa"/>
            <w:shd w:val="clear" w:color="auto" w:fill="FBD4B4" w:themeFill="accent6" w:themeFillTint="66"/>
          </w:tcPr>
          <w:p w:rsidR="00E7089D" w:rsidRPr="00E7089D" w:rsidRDefault="00E7089D" w:rsidP="00E7089D">
            <w:r w:rsidRPr="00E7089D">
              <w:t>Low</w:t>
            </w:r>
          </w:p>
        </w:tc>
      </w:tr>
      <w:tr w:rsidR="00E7089D" w:rsidTr="00E7089D">
        <w:trPr>
          <w:trHeight w:val="512"/>
        </w:trPr>
        <w:tc>
          <w:tcPr>
            <w:tcW w:w="1356" w:type="dxa"/>
            <w:shd w:val="clear" w:color="auto" w:fill="EAF1DD" w:themeFill="accent3" w:themeFillTint="33"/>
          </w:tcPr>
          <w:p w:rsidR="00E7089D" w:rsidRPr="00E7089D" w:rsidRDefault="00E7089D" w:rsidP="00E7089D">
            <w:pPr>
              <w:jc w:val="center"/>
              <w:rPr>
                <w:b/>
                <w:bCs/>
              </w:rPr>
            </w:pPr>
            <w:r w:rsidRPr="00E7089D">
              <w:rPr>
                <w:b/>
                <w:bCs/>
              </w:rPr>
              <w:t>D</w:t>
            </w:r>
          </w:p>
        </w:tc>
        <w:tc>
          <w:tcPr>
            <w:tcW w:w="7033" w:type="dxa"/>
            <w:shd w:val="clear" w:color="auto" w:fill="FBD4B4" w:themeFill="accent6" w:themeFillTint="66"/>
          </w:tcPr>
          <w:p w:rsidR="00E7089D" w:rsidRPr="00E7089D" w:rsidRDefault="00E7089D" w:rsidP="00E7089D">
            <w:r w:rsidRPr="00E7089D">
              <w:t>Very Low, expert opinion</w:t>
            </w:r>
          </w:p>
        </w:tc>
      </w:tr>
    </w:tbl>
    <w:p w:rsidR="008441CB" w:rsidRPr="00B013ED" w:rsidRDefault="008441CB" w:rsidP="00D717B7">
      <w:pPr>
        <w:spacing w:after="0" w:line="480" w:lineRule="auto"/>
        <w:rPr>
          <w:rFonts w:eastAsia="Calibri"/>
          <w:b/>
          <w:sz w:val="28"/>
        </w:rPr>
      </w:pPr>
      <w:r w:rsidRPr="00B013ED">
        <w:br w:type="page"/>
      </w:r>
    </w:p>
    <w:p w:rsidR="008441CB" w:rsidRPr="00B013ED" w:rsidRDefault="008441CB" w:rsidP="001E7797">
      <w:pPr>
        <w:pStyle w:val="Heading4"/>
        <w:spacing w:line="480" w:lineRule="auto"/>
      </w:pPr>
      <w:bookmarkStart w:id="59" w:name="_Toc359995748"/>
      <w:r w:rsidRPr="00B013ED">
        <w:lastRenderedPageBreak/>
        <w:t>Detrimental effects of prolonged dressing of root canal with calcium hydroxide</w:t>
      </w:r>
      <w:bookmarkEnd w:id="59"/>
    </w:p>
    <w:p w:rsidR="008441CB" w:rsidRPr="00B013ED" w:rsidRDefault="008441CB" w:rsidP="00D717B7">
      <w:pPr>
        <w:tabs>
          <w:tab w:val="left" w:pos="360"/>
        </w:tabs>
        <w:spacing w:before="120" w:line="480" w:lineRule="auto"/>
        <w:jc w:val="both"/>
        <w:rPr>
          <w:rFonts w:cstheme="minorBidi"/>
        </w:rPr>
      </w:pPr>
      <w:r w:rsidRPr="00B013ED">
        <w:rPr>
          <w:rFonts w:cstheme="minorBidi"/>
        </w:rPr>
        <w:t>It has been suggested that due to its highly alkaline pH, calcium hydroxide can cause desiccation of dentinal proteins thereby leading to the weakening of the tooth structure and predisposing these teeth to fractures.</w:t>
      </w:r>
    </w:p>
    <w:p w:rsidR="008441CB" w:rsidRPr="00B013ED" w:rsidRDefault="008441CB" w:rsidP="00D717B7">
      <w:pPr>
        <w:spacing w:line="480" w:lineRule="auto"/>
        <w:jc w:val="both"/>
        <w:rPr>
          <w:rFonts w:cstheme="minorBidi"/>
        </w:rPr>
      </w:pPr>
      <w:r w:rsidRPr="00B013ED">
        <w:rPr>
          <w:rFonts w:cstheme="minorBidi"/>
        </w:rPr>
        <w:t xml:space="preserve">Prolonged dressing of the immature tooth with non-setting calcium hydroxide has been shown to result in a reduction in the fracture strength of dentine. A retrospective study of luxated non-vital maxillary incisors treated with calcium </w:t>
      </w:r>
    </w:p>
    <w:p w:rsidR="008441CB" w:rsidRPr="00B013ED" w:rsidRDefault="008441CB" w:rsidP="00D717B7">
      <w:pPr>
        <w:spacing w:line="480" w:lineRule="auto"/>
        <w:jc w:val="both"/>
        <w:rPr>
          <w:rFonts w:cstheme="minorBidi"/>
          <w:bCs/>
        </w:rPr>
      </w:pPr>
      <w:r w:rsidRPr="00B013ED">
        <w:rPr>
          <w:rFonts w:cstheme="minorBidi"/>
          <w:b/>
        </w:rPr>
        <w:t xml:space="preserve">Cvek M.  </w:t>
      </w:r>
      <w:r w:rsidRPr="00B013ED">
        <w:rPr>
          <w:rFonts w:cstheme="minorBidi"/>
          <w:bCs/>
        </w:rPr>
        <w:t xml:space="preserve">Prognosis of luxated treated with calcium hydroxide and filled with gutta percha. </w:t>
      </w:r>
      <w:proofErr w:type="gramStart"/>
      <w:r w:rsidRPr="00B013ED">
        <w:rPr>
          <w:rFonts w:cstheme="minorBidi"/>
          <w:bCs/>
        </w:rPr>
        <w:t>A retrospective clinical study.</w:t>
      </w:r>
      <w:proofErr w:type="gramEnd"/>
      <w:r w:rsidRPr="00B013ED">
        <w:rPr>
          <w:rFonts w:cstheme="minorBidi"/>
          <w:bCs/>
        </w:rPr>
        <w:t xml:space="preserve"> </w:t>
      </w:r>
      <w:proofErr w:type="gramStart"/>
      <w:r w:rsidRPr="00B013ED">
        <w:rPr>
          <w:rFonts w:cstheme="minorBidi"/>
          <w:bCs/>
        </w:rPr>
        <w:t>Endodontics and Dental traumatology.</w:t>
      </w:r>
      <w:proofErr w:type="gramEnd"/>
      <w:r w:rsidRPr="00B013ED">
        <w:rPr>
          <w:rFonts w:cstheme="minorBidi"/>
          <w:bCs/>
        </w:rPr>
        <w:t xml:space="preserve"> </w:t>
      </w:r>
      <w:proofErr w:type="gramStart"/>
      <w:r w:rsidRPr="00B013ED">
        <w:rPr>
          <w:rFonts w:cstheme="minorBidi"/>
          <w:bCs/>
        </w:rPr>
        <w:t>1992; 8:45-55.</w:t>
      </w:r>
      <w:proofErr w:type="gramEnd"/>
    </w:p>
    <w:p w:rsidR="008441CB" w:rsidRPr="00B013ED" w:rsidRDefault="008441CB" w:rsidP="00D717B7">
      <w:pPr>
        <w:spacing w:line="480" w:lineRule="auto"/>
        <w:rPr>
          <w:b/>
          <w:bCs/>
        </w:rPr>
      </w:pPr>
      <w:bookmarkStart w:id="60" w:name="_Toc359995749"/>
      <w:r w:rsidRPr="00B013ED">
        <w:rPr>
          <w:b/>
          <w:bCs/>
        </w:rPr>
        <w:t>Level of evidence = C</w:t>
      </w:r>
      <w:bookmarkEnd w:id="60"/>
    </w:p>
    <w:p w:rsidR="008441CB" w:rsidRPr="00B013ED" w:rsidRDefault="008441CB" w:rsidP="00D717B7">
      <w:pPr>
        <w:spacing w:line="480" w:lineRule="auto"/>
        <w:rPr>
          <w:rFonts w:cstheme="minorBidi"/>
        </w:rPr>
      </w:pPr>
      <w:r w:rsidRPr="00B013ED">
        <w:rPr>
          <w:rFonts w:cstheme="minorBidi"/>
        </w:rPr>
        <w:t xml:space="preserve">In the last decade there have been a number of laboratory studies that have also shown a significant reduction of resistance to fracture of teeth following prolonged use of calcium hydroxide. </w:t>
      </w:r>
    </w:p>
    <w:p w:rsidR="008441CB" w:rsidRPr="00B013ED" w:rsidRDefault="008441CB" w:rsidP="00D717B7">
      <w:pPr>
        <w:spacing w:line="480" w:lineRule="auto"/>
        <w:rPr>
          <w:rFonts w:cstheme="minorBidi"/>
          <w:bCs/>
        </w:rPr>
      </w:pPr>
      <w:proofErr w:type="gramStart"/>
      <w:r w:rsidRPr="00B013ED">
        <w:rPr>
          <w:rFonts w:cstheme="minorBidi"/>
          <w:b/>
        </w:rPr>
        <w:t>Andreas</w:t>
      </w:r>
      <w:r w:rsidR="00D55E05">
        <w:rPr>
          <w:rFonts w:cstheme="minorBidi"/>
          <w:b/>
        </w:rPr>
        <w:t>e</w:t>
      </w:r>
      <w:r w:rsidRPr="00B013ED">
        <w:rPr>
          <w:rFonts w:cstheme="minorBidi"/>
          <w:b/>
        </w:rPr>
        <w:t>n  JO</w:t>
      </w:r>
      <w:proofErr w:type="gramEnd"/>
      <w:r w:rsidRPr="00B013ED">
        <w:rPr>
          <w:rFonts w:cstheme="minorBidi"/>
          <w:b/>
        </w:rPr>
        <w:t xml:space="preserve">, Farik B, Munksgaard EC. </w:t>
      </w:r>
      <w:r w:rsidRPr="00B013ED">
        <w:rPr>
          <w:rFonts w:cstheme="minorBidi"/>
          <w:bCs/>
        </w:rPr>
        <w:t xml:space="preserve">Long-term calcium hydroxide as a root canal dressing may increase risk of root fracture.  </w:t>
      </w:r>
      <w:proofErr w:type="gramStart"/>
      <w:r w:rsidRPr="00B013ED">
        <w:rPr>
          <w:rFonts w:cstheme="minorBidi"/>
          <w:bCs/>
        </w:rPr>
        <w:t>Dental Traumatology.</w:t>
      </w:r>
      <w:proofErr w:type="gramEnd"/>
      <w:r w:rsidRPr="00B013ED">
        <w:rPr>
          <w:rFonts w:cstheme="minorBidi"/>
          <w:bCs/>
        </w:rPr>
        <w:t xml:space="preserve"> </w:t>
      </w:r>
      <w:proofErr w:type="gramStart"/>
      <w:r w:rsidRPr="00B013ED">
        <w:rPr>
          <w:rFonts w:cstheme="minorBidi"/>
          <w:bCs/>
        </w:rPr>
        <w:t xml:space="preserve">2002; </w:t>
      </w:r>
      <w:r w:rsidRPr="00B013ED">
        <w:rPr>
          <w:rFonts w:cstheme="minorBidi"/>
          <w:b/>
          <w:bCs/>
        </w:rPr>
        <w:t>18</w:t>
      </w:r>
      <w:r w:rsidRPr="00B013ED">
        <w:rPr>
          <w:rFonts w:cstheme="minorBidi"/>
          <w:bCs/>
        </w:rPr>
        <w:t>: 134-137.</w:t>
      </w:r>
      <w:proofErr w:type="gramEnd"/>
    </w:p>
    <w:p w:rsidR="008441CB" w:rsidRPr="00B013ED" w:rsidRDefault="008441CB" w:rsidP="00D717B7">
      <w:pPr>
        <w:spacing w:line="480" w:lineRule="auto"/>
        <w:rPr>
          <w:rFonts w:cstheme="minorBidi"/>
          <w:b/>
          <w:bCs/>
        </w:rPr>
      </w:pPr>
      <w:bookmarkStart w:id="61" w:name="_Toc359995750"/>
      <w:r w:rsidRPr="00B013ED">
        <w:rPr>
          <w:b/>
          <w:bCs/>
        </w:rPr>
        <w:t>Level of evidence = B</w:t>
      </w:r>
      <w:bookmarkEnd w:id="61"/>
    </w:p>
    <w:p w:rsidR="008441CB" w:rsidRPr="00B013ED" w:rsidRDefault="008441CB" w:rsidP="00D717B7">
      <w:pPr>
        <w:spacing w:line="480" w:lineRule="auto"/>
        <w:rPr>
          <w:rFonts w:cstheme="minorBidi"/>
        </w:rPr>
      </w:pPr>
      <w:proofErr w:type="gramStart"/>
      <w:r w:rsidRPr="00B013ED">
        <w:rPr>
          <w:rFonts w:cstheme="minorBidi"/>
          <w:b/>
          <w:bCs/>
        </w:rPr>
        <w:t>Rosenberg  B</w:t>
      </w:r>
      <w:proofErr w:type="gramEnd"/>
      <w:r w:rsidRPr="00B013ED">
        <w:rPr>
          <w:rFonts w:cstheme="minorBidi"/>
          <w:b/>
          <w:bCs/>
        </w:rPr>
        <w:t>, Murray PE, Namerow K</w:t>
      </w:r>
      <w:r w:rsidRPr="00B013ED">
        <w:rPr>
          <w:rFonts w:cstheme="minorBidi"/>
        </w:rPr>
        <w:t xml:space="preserve">. </w:t>
      </w:r>
      <w:proofErr w:type="gramStart"/>
      <w:r w:rsidRPr="00B013ED">
        <w:rPr>
          <w:rFonts w:cstheme="minorBidi"/>
        </w:rPr>
        <w:t>The effect of calcium hydroxide root filling on dentin</w:t>
      </w:r>
      <w:r w:rsidR="00D55E05">
        <w:rPr>
          <w:rFonts w:cstheme="minorBidi"/>
        </w:rPr>
        <w:t xml:space="preserve">e </w:t>
      </w:r>
      <w:r w:rsidRPr="00B013ED">
        <w:rPr>
          <w:rFonts w:cstheme="minorBidi"/>
        </w:rPr>
        <w:t>fracture strength.</w:t>
      </w:r>
      <w:proofErr w:type="gramEnd"/>
      <w:r w:rsidRPr="00B013ED">
        <w:rPr>
          <w:rFonts w:cstheme="minorBidi"/>
        </w:rPr>
        <w:t xml:space="preserve"> </w:t>
      </w:r>
      <w:proofErr w:type="gramStart"/>
      <w:r w:rsidRPr="00B013ED">
        <w:rPr>
          <w:rFonts w:cstheme="minorBidi"/>
        </w:rPr>
        <w:t>Dental Traumatology.</w:t>
      </w:r>
      <w:proofErr w:type="gramEnd"/>
      <w:r w:rsidRPr="00B013ED">
        <w:rPr>
          <w:rFonts w:cstheme="minorBidi"/>
        </w:rPr>
        <w:t xml:space="preserve"> </w:t>
      </w:r>
      <w:proofErr w:type="gramStart"/>
      <w:r w:rsidRPr="00B013ED">
        <w:rPr>
          <w:rFonts w:cstheme="minorBidi"/>
        </w:rPr>
        <w:t>2007; 23:26-29.</w:t>
      </w:r>
      <w:proofErr w:type="gramEnd"/>
    </w:p>
    <w:p w:rsidR="008441CB" w:rsidRPr="00B013ED" w:rsidRDefault="008441CB" w:rsidP="001E5C4A">
      <w:pPr>
        <w:spacing w:line="480" w:lineRule="auto"/>
        <w:jc w:val="both"/>
        <w:rPr>
          <w:rFonts w:cstheme="minorBidi"/>
        </w:rPr>
      </w:pPr>
      <w:proofErr w:type="gramStart"/>
      <w:r w:rsidRPr="00B013ED">
        <w:rPr>
          <w:rFonts w:cstheme="minorBidi"/>
          <w:b/>
          <w:bCs/>
        </w:rPr>
        <w:lastRenderedPageBreak/>
        <w:t>Doyon  GE</w:t>
      </w:r>
      <w:proofErr w:type="gramEnd"/>
      <w:r w:rsidRPr="00B013ED">
        <w:rPr>
          <w:rFonts w:cstheme="minorBidi"/>
          <w:b/>
          <w:bCs/>
        </w:rPr>
        <w:t>, Dumsha TD, von Fraunhofer A</w:t>
      </w:r>
      <w:r w:rsidRPr="00B013ED">
        <w:rPr>
          <w:rFonts w:cstheme="minorBidi"/>
        </w:rPr>
        <w:t xml:space="preserve">. Fracture resistance of human root dentine exposed to </w:t>
      </w:r>
      <w:r w:rsidR="004B3418">
        <w:rPr>
          <w:rFonts w:cstheme="minorBidi"/>
        </w:rPr>
        <w:t>intra-canal</w:t>
      </w:r>
      <w:r w:rsidRPr="00B013ED">
        <w:rPr>
          <w:rFonts w:cstheme="minorBidi"/>
        </w:rPr>
        <w:t xml:space="preserve"> calcium hydroxide. </w:t>
      </w:r>
      <w:proofErr w:type="gramStart"/>
      <w:r w:rsidRPr="00B013ED">
        <w:rPr>
          <w:rFonts w:cstheme="minorBidi"/>
        </w:rPr>
        <w:t>Journal of Endodontics.</w:t>
      </w:r>
      <w:proofErr w:type="gramEnd"/>
      <w:r w:rsidRPr="00B013ED">
        <w:rPr>
          <w:rFonts w:cstheme="minorBidi"/>
        </w:rPr>
        <w:t xml:space="preserve"> 2005: 895-897.</w:t>
      </w:r>
    </w:p>
    <w:p w:rsidR="008441CB" w:rsidRPr="00B013ED" w:rsidRDefault="008441CB" w:rsidP="001E5C4A">
      <w:pPr>
        <w:spacing w:line="480" w:lineRule="auto"/>
        <w:jc w:val="both"/>
        <w:rPr>
          <w:rFonts w:cstheme="minorBidi"/>
        </w:rPr>
      </w:pPr>
      <w:proofErr w:type="gramStart"/>
      <w:r w:rsidRPr="00B013ED">
        <w:rPr>
          <w:rFonts w:cstheme="minorBidi"/>
          <w:b/>
          <w:bCs/>
        </w:rPr>
        <w:t>Twati W A, Wood DJ Liskiweicz TW, Willmott NS, Duggal MS</w:t>
      </w:r>
      <w:r w:rsidRPr="00B013ED">
        <w:rPr>
          <w:rFonts w:cstheme="minorBidi"/>
        </w:rPr>
        <w:t>.</w:t>
      </w:r>
      <w:proofErr w:type="gramEnd"/>
      <w:r w:rsidRPr="00B013ED">
        <w:rPr>
          <w:rFonts w:cstheme="minorBidi"/>
        </w:rPr>
        <w:t xml:space="preserve"> An evaluation of non</w:t>
      </w:r>
      <w:r w:rsidR="00D55E05">
        <w:rPr>
          <w:rFonts w:cstheme="minorBidi"/>
        </w:rPr>
        <w:t>-</w:t>
      </w:r>
      <w:r w:rsidRPr="00B013ED">
        <w:rPr>
          <w:rFonts w:cstheme="minorBidi"/>
        </w:rPr>
        <w:t xml:space="preserve">setting calcium hydroxide on human dentine: a pilot study. </w:t>
      </w:r>
      <w:proofErr w:type="gramStart"/>
      <w:r w:rsidRPr="00B013ED">
        <w:rPr>
          <w:rFonts w:cstheme="minorBidi"/>
        </w:rPr>
        <w:t>European Archives of Paediatric Dentistry.</w:t>
      </w:r>
      <w:proofErr w:type="gramEnd"/>
      <w:r w:rsidRPr="00B013ED">
        <w:rPr>
          <w:rFonts w:cstheme="minorBidi"/>
        </w:rPr>
        <w:t xml:space="preserve"> </w:t>
      </w:r>
      <w:proofErr w:type="gramStart"/>
      <w:r w:rsidRPr="00B013ED">
        <w:rPr>
          <w:rFonts w:cstheme="minorBidi"/>
        </w:rPr>
        <w:t>2009</w:t>
      </w:r>
      <w:r w:rsidR="00850648" w:rsidRPr="00B013ED">
        <w:rPr>
          <w:rFonts w:cstheme="minorBidi"/>
        </w:rPr>
        <w:t xml:space="preserve"> </w:t>
      </w:r>
      <w:r w:rsidRPr="00B013ED">
        <w:rPr>
          <w:rFonts w:cstheme="minorBidi"/>
        </w:rPr>
        <w:t>:</w:t>
      </w:r>
      <w:proofErr w:type="gramEnd"/>
      <w:r w:rsidRPr="00B013ED">
        <w:rPr>
          <w:rFonts w:cstheme="minorBidi"/>
        </w:rPr>
        <w:t>10(2):104-109</w:t>
      </w:r>
    </w:p>
    <w:p w:rsidR="008441CB" w:rsidRPr="00B013ED" w:rsidRDefault="008441CB" w:rsidP="001E5C4A">
      <w:pPr>
        <w:spacing w:line="480" w:lineRule="auto"/>
        <w:jc w:val="both"/>
        <w:rPr>
          <w:b/>
          <w:bCs/>
        </w:rPr>
      </w:pPr>
      <w:bookmarkStart w:id="62" w:name="_Toc359995751"/>
      <w:r w:rsidRPr="00B013ED">
        <w:rPr>
          <w:b/>
          <w:bCs/>
        </w:rPr>
        <w:t>Level of evidence = D</w:t>
      </w:r>
      <w:bookmarkEnd w:id="62"/>
    </w:p>
    <w:p w:rsidR="008441CB" w:rsidRPr="00B013ED" w:rsidRDefault="008441CB" w:rsidP="00CB1131">
      <w:pPr>
        <w:pStyle w:val="Heading4"/>
        <w:spacing w:line="480" w:lineRule="auto"/>
      </w:pPr>
      <w:r w:rsidRPr="002320D8">
        <w:t xml:space="preserve">Recommended </w:t>
      </w:r>
      <w:r w:rsidRPr="00B013ED">
        <w:t>best practice based on the clinical experience of the guideline development group.</w:t>
      </w:r>
    </w:p>
    <w:p w:rsidR="008441CB" w:rsidRPr="00B013ED" w:rsidRDefault="008441CB" w:rsidP="00594C58">
      <w:pPr>
        <w:tabs>
          <w:tab w:val="left" w:pos="360"/>
        </w:tabs>
        <w:spacing w:before="120" w:line="480" w:lineRule="auto"/>
        <w:jc w:val="both"/>
        <w:rPr>
          <w:rFonts w:cstheme="minorBidi"/>
        </w:rPr>
      </w:pPr>
      <w:r w:rsidRPr="00B013ED">
        <w:rPr>
          <w:rFonts w:cstheme="minorBidi"/>
        </w:rPr>
        <w:t>In view of these findings clinicians should consider discarding the traditional approach of using prolonged dressing of root canals with calcium hydroxide to achieve apexification and consider alternative methods of managing these teeth.</w:t>
      </w:r>
    </w:p>
    <w:p w:rsidR="008441CB" w:rsidRPr="00B013ED" w:rsidRDefault="008441CB" w:rsidP="001E7797">
      <w:pPr>
        <w:pStyle w:val="Heading4"/>
        <w:spacing w:line="480" w:lineRule="auto"/>
      </w:pPr>
      <w:bookmarkStart w:id="63" w:name="_Toc359995752"/>
      <w:r w:rsidRPr="00B013ED">
        <w:t>USE OF MINERAL TRIOXIDE AGGREGATE (MTA)</w:t>
      </w:r>
      <w:bookmarkEnd w:id="63"/>
    </w:p>
    <w:p w:rsidR="008441CB" w:rsidRPr="00B013ED" w:rsidRDefault="008441CB" w:rsidP="001E5C4A">
      <w:pPr>
        <w:autoSpaceDE w:val="0"/>
        <w:autoSpaceDN w:val="0"/>
        <w:adjustRightInd w:val="0"/>
        <w:spacing w:line="480" w:lineRule="auto"/>
        <w:jc w:val="both"/>
        <w:rPr>
          <w:rFonts w:cstheme="minorBidi"/>
        </w:rPr>
      </w:pPr>
      <w:r w:rsidRPr="00B013ED">
        <w:rPr>
          <w:rFonts w:cstheme="minorBidi"/>
        </w:rPr>
        <w:t xml:space="preserve">Mineral trioxide aggregate (MTA) first received Food and Drug Administration (FDA) approval in 1998. It was introduced to function as the apical barrier, reducing the time needed for completion of treatment and for restoration of the tooth. The treatment with MTA can be completed in one or two visits. </w:t>
      </w:r>
    </w:p>
    <w:p w:rsidR="008441CB" w:rsidRPr="00B013ED" w:rsidRDefault="008441CB" w:rsidP="001E5C4A">
      <w:pPr>
        <w:autoSpaceDE w:val="0"/>
        <w:autoSpaceDN w:val="0"/>
        <w:adjustRightInd w:val="0"/>
        <w:spacing w:line="480" w:lineRule="auto"/>
        <w:jc w:val="both"/>
        <w:rPr>
          <w:rFonts w:cstheme="minorBidi"/>
        </w:rPr>
      </w:pPr>
      <w:r w:rsidRPr="00B013ED">
        <w:rPr>
          <w:rFonts w:cstheme="minorBidi"/>
        </w:rPr>
        <w:t xml:space="preserve">MTA is a powder that consists of fine hydrophilic particles that set in the presence of moisture. Hydration of the powder results in </w:t>
      </w:r>
      <w:r w:rsidR="00E84D4E">
        <w:rPr>
          <w:rFonts w:cstheme="minorBidi"/>
        </w:rPr>
        <w:t xml:space="preserve">a </w:t>
      </w:r>
      <w:r w:rsidRPr="00B013ED">
        <w:rPr>
          <w:rFonts w:cstheme="minorBidi"/>
        </w:rPr>
        <w:t xml:space="preserve">colloidal gel with a pH of 12.5 that solidifies to a hard structure. </w:t>
      </w:r>
    </w:p>
    <w:p w:rsidR="008441CB" w:rsidRPr="00B013ED" w:rsidRDefault="008441CB" w:rsidP="001E5C4A">
      <w:pPr>
        <w:autoSpaceDE w:val="0"/>
        <w:autoSpaceDN w:val="0"/>
        <w:adjustRightInd w:val="0"/>
        <w:spacing w:line="480" w:lineRule="auto"/>
        <w:jc w:val="both"/>
        <w:rPr>
          <w:rFonts w:cstheme="minorBidi"/>
        </w:rPr>
      </w:pPr>
    </w:p>
    <w:p w:rsidR="008441CB" w:rsidRPr="00B013ED" w:rsidRDefault="008441CB" w:rsidP="00033813">
      <w:pPr>
        <w:autoSpaceDE w:val="0"/>
        <w:autoSpaceDN w:val="0"/>
        <w:adjustRightInd w:val="0"/>
        <w:spacing w:line="480" w:lineRule="auto"/>
        <w:jc w:val="both"/>
        <w:rPr>
          <w:rFonts w:cstheme="minorBidi"/>
        </w:rPr>
      </w:pPr>
      <w:r w:rsidRPr="00B013ED">
        <w:rPr>
          <w:rFonts w:cstheme="minorBidi"/>
        </w:rPr>
        <w:lastRenderedPageBreak/>
        <w:t>MTA is available as grey or white. The major component</w:t>
      </w:r>
      <w:r w:rsidR="00E84D4E">
        <w:rPr>
          <w:rFonts w:cstheme="minorBidi"/>
        </w:rPr>
        <w:t>s</w:t>
      </w:r>
      <w:r w:rsidRPr="00B013ED">
        <w:rPr>
          <w:rFonts w:cstheme="minorBidi"/>
        </w:rPr>
        <w:t xml:space="preserve"> of MTA are tricalcium silicate, dicalcium silicate, tricalcium aluminate, calcium sulphate dehydrate and bismuth oxide.     </w:t>
      </w:r>
    </w:p>
    <w:p w:rsidR="008441CB" w:rsidRPr="00B013ED" w:rsidRDefault="008441CB" w:rsidP="001E7797">
      <w:pPr>
        <w:pStyle w:val="Heading4"/>
        <w:spacing w:line="480" w:lineRule="auto"/>
      </w:pPr>
      <w:bookmarkStart w:id="64" w:name="_Toc359995753"/>
      <w:r w:rsidRPr="00B013ED">
        <w:t>Properties of MTA</w:t>
      </w:r>
      <w:bookmarkEnd w:id="64"/>
      <w:r w:rsidRPr="00B013ED">
        <w:t xml:space="preserve"> </w:t>
      </w:r>
    </w:p>
    <w:p w:rsidR="008441CB" w:rsidRPr="00B013ED" w:rsidRDefault="008441CB" w:rsidP="00E67E7F">
      <w:pPr>
        <w:pStyle w:val="ListParagraph"/>
        <w:numPr>
          <w:ilvl w:val="0"/>
          <w:numId w:val="48"/>
        </w:numPr>
        <w:autoSpaceDE w:val="0"/>
        <w:autoSpaceDN w:val="0"/>
        <w:adjustRightInd w:val="0"/>
        <w:spacing w:after="0" w:line="480" w:lineRule="auto"/>
        <w:jc w:val="both"/>
        <w:rPr>
          <w:rFonts w:cstheme="minorBidi"/>
          <w:szCs w:val="24"/>
        </w:rPr>
      </w:pPr>
      <w:r w:rsidRPr="00B013ED">
        <w:rPr>
          <w:rFonts w:cstheme="minorBidi"/>
          <w:szCs w:val="24"/>
        </w:rPr>
        <w:t xml:space="preserve">reduces number of visits for the patients </w:t>
      </w:r>
    </w:p>
    <w:p w:rsidR="008441CB" w:rsidRPr="00B013ED" w:rsidRDefault="008441CB" w:rsidP="00E67E7F">
      <w:pPr>
        <w:pStyle w:val="ListParagraph"/>
        <w:numPr>
          <w:ilvl w:val="0"/>
          <w:numId w:val="48"/>
        </w:numPr>
        <w:autoSpaceDE w:val="0"/>
        <w:autoSpaceDN w:val="0"/>
        <w:adjustRightInd w:val="0"/>
        <w:spacing w:after="0" w:line="480" w:lineRule="auto"/>
        <w:jc w:val="both"/>
        <w:rPr>
          <w:rFonts w:cstheme="minorBidi"/>
          <w:szCs w:val="24"/>
        </w:rPr>
      </w:pPr>
      <w:r w:rsidRPr="00B013ED">
        <w:rPr>
          <w:rFonts w:cstheme="minorBidi"/>
          <w:szCs w:val="24"/>
        </w:rPr>
        <w:t xml:space="preserve">Good biocompatibility </w:t>
      </w:r>
    </w:p>
    <w:p w:rsidR="008441CB" w:rsidRPr="00B013ED" w:rsidRDefault="008441CB" w:rsidP="00E67E7F">
      <w:pPr>
        <w:pStyle w:val="ListParagraph"/>
        <w:numPr>
          <w:ilvl w:val="0"/>
          <w:numId w:val="48"/>
        </w:numPr>
        <w:autoSpaceDE w:val="0"/>
        <w:autoSpaceDN w:val="0"/>
        <w:adjustRightInd w:val="0"/>
        <w:spacing w:after="0" w:line="480" w:lineRule="auto"/>
        <w:jc w:val="both"/>
        <w:rPr>
          <w:rFonts w:cstheme="minorBidi"/>
          <w:szCs w:val="24"/>
        </w:rPr>
      </w:pPr>
      <w:r w:rsidRPr="00B013ED">
        <w:rPr>
          <w:rFonts w:cstheme="minorBidi"/>
          <w:szCs w:val="24"/>
        </w:rPr>
        <w:t>Prevent</w:t>
      </w:r>
      <w:r w:rsidR="00E84D4E">
        <w:rPr>
          <w:rFonts w:cstheme="minorBidi"/>
          <w:szCs w:val="24"/>
        </w:rPr>
        <w:t>s</w:t>
      </w:r>
      <w:r w:rsidRPr="00B013ED">
        <w:rPr>
          <w:rFonts w:cstheme="minorBidi"/>
          <w:szCs w:val="24"/>
        </w:rPr>
        <w:t xml:space="preserve"> microleakage</w:t>
      </w:r>
    </w:p>
    <w:p w:rsidR="008441CB" w:rsidRPr="00B013ED" w:rsidRDefault="008441CB" w:rsidP="00E67E7F">
      <w:pPr>
        <w:pStyle w:val="ListParagraph"/>
        <w:numPr>
          <w:ilvl w:val="0"/>
          <w:numId w:val="48"/>
        </w:numPr>
        <w:autoSpaceDE w:val="0"/>
        <w:autoSpaceDN w:val="0"/>
        <w:adjustRightInd w:val="0"/>
        <w:spacing w:after="0" w:line="480" w:lineRule="auto"/>
        <w:jc w:val="both"/>
        <w:rPr>
          <w:rFonts w:cstheme="minorBidi"/>
          <w:szCs w:val="24"/>
        </w:rPr>
      </w:pPr>
      <w:r w:rsidRPr="00B013ED">
        <w:rPr>
          <w:rFonts w:cstheme="minorBidi"/>
          <w:szCs w:val="24"/>
        </w:rPr>
        <w:t>Induction of odontoblasts, cementoblasts and hard tissue barrier</w:t>
      </w:r>
    </w:p>
    <w:p w:rsidR="008441CB" w:rsidRPr="00B013ED" w:rsidRDefault="008441CB" w:rsidP="00E67E7F">
      <w:pPr>
        <w:pStyle w:val="ListParagraph"/>
        <w:numPr>
          <w:ilvl w:val="0"/>
          <w:numId w:val="48"/>
        </w:numPr>
        <w:autoSpaceDE w:val="0"/>
        <w:autoSpaceDN w:val="0"/>
        <w:adjustRightInd w:val="0"/>
        <w:spacing w:after="0" w:line="480" w:lineRule="auto"/>
        <w:jc w:val="both"/>
        <w:rPr>
          <w:rFonts w:cstheme="minorBidi"/>
          <w:szCs w:val="24"/>
        </w:rPr>
      </w:pPr>
      <w:r w:rsidRPr="00B013ED">
        <w:rPr>
          <w:rFonts w:cstheme="minorBidi"/>
          <w:szCs w:val="24"/>
        </w:rPr>
        <w:t xml:space="preserve">Capacity to set in a moist environment </w:t>
      </w:r>
    </w:p>
    <w:p w:rsidR="008441CB" w:rsidRPr="00B013ED" w:rsidRDefault="008441CB" w:rsidP="00E67E7F">
      <w:pPr>
        <w:pStyle w:val="ListParagraph"/>
        <w:numPr>
          <w:ilvl w:val="0"/>
          <w:numId w:val="48"/>
        </w:numPr>
        <w:autoSpaceDE w:val="0"/>
        <w:autoSpaceDN w:val="0"/>
        <w:adjustRightInd w:val="0"/>
        <w:spacing w:after="0" w:line="480" w:lineRule="auto"/>
        <w:jc w:val="both"/>
        <w:rPr>
          <w:rFonts w:cstheme="minorBidi"/>
          <w:szCs w:val="24"/>
        </w:rPr>
      </w:pPr>
      <w:r w:rsidRPr="00B013ED">
        <w:rPr>
          <w:rFonts w:cstheme="minorBidi"/>
          <w:szCs w:val="24"/>
        </w:rPr>
        <w:t xml:space="preserve">Radiopacity that is slightly greater than dentine </w:t>
      </w:r>
    </w:p>
    <w:p w:rsidR="008441CB" w:rsidRPr="00B013ED" w:rsidRDefault="008441CB" w:rsidP="00E67E7F">
      <w:pPr>
        <w:pStyle w:val="ListParagraph"/>
        <w:numPr>
          <w:ilvl w:val="0"/>
          <w:numId w:val="48"/>
        </w:numPr>
        <w:autoSpaceDE w:val="0"/>
        <w:autoSpaceDN w:val="0"/>
        <w:adjustRightInd w:val="0"/>
        <w:spacing w:after="0" w:line="480" w:lineRule="auto"/>
        <w:jc w:val="both"/>
        <w:rPr>
          <w:rFonts w:cstheme="minorBidi"/>
          <w:szCs w:val="24"/>
        </w:rPr>
      </w:pPr>
      <w:r w:rsidRPr="00B013ED">
        <w:rPr>
          <w:rFonts w:cstheme="minorBidi"/>
          <w:szCs w:val="24"/>
        </w:rPr>
        <w:t>Low solubility</w:t>
      </w:r>
    </w:p>
    <w:p w:rsidR="008441CB" w:rsidRPr="00B013ED" w:rsidRDefault="008441CB" w:rsidP="00912C5E">
      <w:pPr>
        <w:pStyle w:val="ListParagraph"/>
        <w:numPr>
          <w:ilvl w:val="0"/>
          <w:numId w:val="48"/>
        </w:numPr>
        <w:autoSpaceDE w:val="0"/>
        <w:autoSpaceDN w:val="0"/>
        <w:adjustRightInd w:val="0"/>
        <w:spacing w:after="0" w:line="480" w:lineRule="auto"/>
        <w:jc w:val="both"/>
        <w:rPr>
          <w:rFonts w:cstheme="minorBidi"/>
          <w:szCs w:val="24"/>
        </w:rPr>
      </w:pPr>
      <w:r w:rsidRPr="00B013ED">
        <w:rPr>
          <w:rFonts w:cstheme="minorBidi"/>
          <w:szCs w:val="24"/>
        </w:rPr>
        <w:t>setting time of 3-4 hours</w:t>
      </w:r>
    </w:p>
    <w:p w:rsidR="008441CB" w:rsidRPr="00B013ED" w:rsidRDefault="008441CB" w:rsidP="00912C5E">
      <w:pPr>
        <w:pStyle w:val="ListParagraph"/>
        <w:numPr>
          <w:ilvl w:val="0"/>
          <w:numId w:val="48"/>
        </w:numPr>
        <w:autoSpaceDE w:val="0"/>
        <w:autoSpaceDN w:val="0"/>
        <w:adjustRightInd w:val="0"/>
        <w:spacing w:after="0" w:line="480" w:lineRule="auto"/>
        <w:jc w:val="both"/>
        <w:rPr>
          <w:rFonts w:cstheme="minorBidi"/>
          <w:szCs w:val="24"/>
        </w:rPr>
      </w:pPr>
      <w:r w:rsidRPr="00B013ED">
        <w:rPr>
          <w:rFonts w:cstheme="minorBidi"/>
          <w:szCs w:val="24"/>
        </w:rPr>
        <w:t>pH of 12.5 after setting which is said to impart antimicrobial properties</w:t>
      </w:r>
    </w:p>
    <w:p w:rsidR="008441CB" w:rsidRPr="00B013ED" w:rsidRDefault="008441CB" w:rsidP="00912C5E">
      <w:pPr>
        <w:pStyle w:val="ListParagraph"/>
        <w:numPr>
          <w:ilvl w:val="0"/>
          <w:numId w:val="48"/>
        </w:numPr>
        <w:autoSpaceDE w:val="0"/>
        <w:autoSpaceDN w:val="0"/>
        <w:adjustRightInd w:val="0"/>
        <w:spacing w:after="0" w:line="480" w:lineRule="auto"/>
        <w:jc w:val="both"/>
        <w:rPr>
          <w:rFonts w:cstheme="minorBidi"/>
          <w:szCs w:val="24"/>
        </w:rPr>
      </w:pPr>
      <w:r w:rsidRPr="00B013ED">
        <w:rPr>
          <w:rFonts w:cstheme="minorBidi"/>
          <w:szCs w:val="24"/>
        </w:rPr>
        <w:t xml:space="preserve">Compressive strength after setting is 70 Mpa </w:t>
      </w:r>
    </w:p>
    <w:p w:rsidR="008441CB" w:rsidRPr="00B013ED" w:rsidRDefault="008441CB" w:rsidP="00912C5E">
      <w:pPr>
        <w:pStyle w:val="ListParagraph"/>
        <w:numPr>
          <w:ilvl w:val="0"/>
          <w:numId w:val="48"/>
        </w:numPr>
        <w:autoSpaceDE w:val="0"/>
        <w:autoSpaceDN w:val="0"/>
        <w:adjustRightInd w:val="0"/>
        <w:spacing w:after="0" w:line="480" w:lineRule="auto"/>
        <w:jc w:val="both"/>
        <w:rPr>
          <w:rFonts w:cstheme="minorBidi"/>
          <w:szCs w:val="24"/>
        </w:rPr>
      </w:pPr>
      <w:r w:rsidRPr="00B013ED">
        <w:rPr>
          <w:rFonts w:cstheme="minorBidi"/>
          <w:szCs w:val="24"/>
        </w:rPr>
        <w:t xml:space="preserve">Ability to create an apical stop that allows the tooth to be filled immediately </w:t>
      </w:r>
    </w:p>
    <w:p w:rsidR="00594C58" w:rsidRPr="00B013ED" w:rsidRDefault="008441CB" w:rsidP="00912C5E">
      <w:pPr>
        <w:pStyle w:val="ListParagraph"/>
        <w:numPr>
          <w:ilvl w:val="0"/>
          <w:numId w:val="48"/>
        </w:numPr>
        <w:autoSpaceDE w:val="0"/>
        <w:autoSpaceDN w:val="0"/>
        <w:adjustRightInd w:val="0"/>
        <w:spacing w:after="0" w:line="480" w:lineRule="auto"/>
        <w:jc w:val="both"/>
        <w:rPr>
          <w:rFonts w:cstheme="minorBidi"/>
          <w:szCs w:val="24"/>
        </w:rPr>
      </w:pPr>
      <w:r w:rsidRPr="00B013ED">
        <w:rPr>
          <w:rFonts w:cstheme="minorBidi"/>
          <w:szCs w:val="24"/>
        </w:rPr>
        <w:t xml:space="preserve">Potential for fracture of thin roots is reduced as a bonded core can be placed immediately within the root canal. </w:t>
      </w:r>
    </w:p>
    <w:p w:rsidR="008441CB" w:rsidRPr="00B013ED" w:rsidRDefault="008441CB" w:rsidP="00912C5E">
      <w:pPr>
        <w:tabs>
          <w:tab w:val="left" w:pos="360"/>
        </w:tabs>
        <w:spacing w:before="120" w:line="480" w:lineRule="auto"/>
        <w:jc w:val="both"/>
        <w:rPr>
          <w:rFonts w:cstheme="minorBidi"/>
        </w:rPr>
      </w:pPr>
      <w:r w:rsidRPr="00B013ED">
        <w:rPr>
          <w:rFonts w:cstheme="minorBidi"/>
        </w:rPr>
        <w:t>MTA can be used to physically create a barrier at the root end thereby allowing root canal obturation to be carried out in the same or the next visit.  The following procedure is currently recommended:</w:t>
      </w:r>
    </w:p>
    <w:p w:rsidR="008441CB" w:rsidRPr="00B013ED" w:rsidRDefault="008441CB" w:rsidP="00E67E7F">
      <w:pPr>
        <w:pStyle w:val="ListParagraph"/>
        <w:numPr>
          <w:ilvl w:val="0"/>
          <w:numId w:val="49"/>
        </w:numPr>
        <w:autoSpaceDE w:val="0"/>
        <w:autoSpaceDN w:val="0"/>
        <w:adjustRightInd w:val="0"/>
        <w:spacing w:after="0" w:line="480" w:lineRule="auto"/>
        <w:jc w:val="both"/>
        <w:rPr>
          <w:rFonts w:cstheme="minorBidi"/>
          <w:szCs w:val="24"/>
        </w:rPr>
      </w:pPr>
      <w:r w:rsidRPr="00B013ED">
        <w:rPr>
          <w:rFonts w:cstheme="minorBidi"/>
          <w:szCs w:val="24"/>
        </w:rPr>
        <w:t xml:space="preserve">Clean Root canal system and dress with calcium hydroxide paste for at least 1 week. </w:t>
      </w:r>
    </w:p>
    <w:p w:rsidR="008441CB" w:rsidRPr="00B013ED" w:rsidRDefault="008441CB" w:rsidP="00E67E7F">
      <w:pPr>
        <w:pStyle w:val="ListParagraph"/>
        <w:numPr>
          <w:ilvl w:val="0"/>
          <w:numId w:val="49"/>
        </w:numPr>
        <w:autoSpaceDE w:val="0"/>
        <w:autoSpaceDN w:val="0"/>
        <w:adjustRightInd w:val="0"/>
        <w:spacing w:after="0" w:line="480" w:lineRule="auto"/>
        <w:jc w:val="both"/>
        <w:rPr>
          <w:rFonts w:cstheme="minorBidi"/>
          <w:szCs w:val="24"/>
        </w:rPr>
      </w:pPr>
      <w:r w:rsidRPr="00B013ED">
        <w:rPr>
          <w:rFonts w:cstheme="minorBidi"/>
          <w:szCs w:val="24"/>
        </w:rPr>
        <w:t>Mix MTA immediately before its use</w:t>
      </w:r>
    </w:p>
    <w:p w:rsidR="008441CB" w:rsidRPr="00B013ED" w:rsidRDefault="008441CB" w:rsidP="008441CB">
      <w:pPr>
        <w:pStyle w:val="ListParagraph"/>
        <w:autoSpaceDE w:val="0"/>
        <w:autoSpaceDN w:val="0"/>
        <w:adjustRightInd w:val="0"/>
        <w:spacing w:line="480" w:lineRule="auto"/>
        <w:rPr>
          <w:rFonts w:cstheme="minorBidi"/>
          <w:szCs w:val="24"/>
        </w:rPr>
      </w:pPr>
      <w:r w:rsidRPr="00B013ED">
        <w:rPr>
          <w:rFonts w:cstheme="minorBidi"/>
          <w:szCs w:val="24"/>
        </w:rPr>
        <w:t>Powder: sterile water (3:1)</w:t>
      </w:r>
    </w:p>
    <w:p w:rsidR="008441CB" w:rsidRPr="00B013ED" w:rsidRDefault="008441CB" w:rsidP="00E67E7F">
      <w:pPr>
        <w:pStyle w:val="ListParagraph"/>
        <w:numPr>
          <w:ilvl w:val="0"/>
          <w:numId w:val="49"/>
        </w:numPr>
        <w:autoSpaceDE w:val="0"/>
        <w:autoSpaceDN w:val="0"/>
        <w:adjustRightInd w:val="0"/>
        <w:spacing w:after="0" w:line="480" w:lineRule="auto"/>
        <w:jc w:val="both"/>
        <w:rPr>
          <w:rFonts w:cstheme="minorBidi"/>
          <w:szCs w:val="24"/>
        </w:rPr>
      </w:pPr>
      <w:r w:rsidRPr="00B013ED">
        <w:rPr>
          <w:rFonts w:cstheme="minorBidi"/>
          <w:szCs w:val="24"/>
        </w:rPr>
        <w:lastRenderedPageBreak/>
        <w:t xml:space="preserve">Carry mix in a small amalgam carrier </w:t>
      </w:r>
    </w:p>
    <w:p w:rsidR="008441CB" w:rsidRPr="00B013ED" w:rsidRDefault="008441CB" w:rsidP="00E67E7F">
      <w:pPr>
        <w:pStyle w:val="ListParagraph"/>
        <w:numPr>
          <w:ilvl w:val="0"/>
          <w:numId w:val="49"/>
        </w:numPr>
        <w:autoSpaceDE w:val="0"/>
        <w:autoSpaceDN w:val="0"/>
        <w:adjustRightInd w:val="0"/>
        <w:spacing w:after="0" w:line="480" w:lineRule="auto"/>
        <w:jc w:val="both"/>
        <w:rPr>
          <w:rFonts w:cstheme="minorBidi"/>
          <w:szCs w:val="24"/>
        </w:rPr>
      </w:pPr>
      <w:r w:rsidRPr="00B013ED">
        <w:rPr>
          <w:rFonts w:cstheme="minorBidi"/>
          <w:szCs w:val="24"/>
        </w:rPr>
        <w:t xml:space="preserve">Lightly condense the MTA with plugger or back end of paper points. </w:t>
      </w:r>
    </w:p>
    <w:p w:rsidR="008441CB" w:rsidRPr="00B013ED" w:rsidRDefault="008441CB" w:rsidP="00E67E7F">
      <w:pPr>
        <w:pStyle w:val="ListParagraph"/>
        <w:numPr>
          <w:ilvl w:val="0"/>
          <w:numId w:val="49"/>
        </w:numPr>
        <w:autoSpaceDE w:val="0"/>
        <w:autoSpaceDN w:val="0"/>
        <w:adjustRightInd w:val="0"/>
        <w:spacing w:after="0" w:line="480" w:lineRule="auto"/>
        <w:jc w:val="both"/>
        <w:rPr>
          <w:rFonts w:cstheme="minorBidi"/>
          <w:szCs w:val="24"/>
        </w:rPr>
      </w:pPr>
      <w:r w:rsidRPr="00B013ED">
        <w:rPr>
          <w:rFonts w:cstheme="minorBidi"/>
          <w:szCs w:val="24"/>
        </w:rPr>
        <w:t>Create 3-4 mm apical plug and check radiographically</w:t>
      </w:r>
    </w:p>
    <w:p w:rsidR="008441CB" w:rsidRPr="00B013ED" w:rsidRDefault="008441CB" w:rsidP="00E67E7F">
      <w:pPr>
        <w:pStyle w:val="ListParagraph"/>
        <w:numPr>
          <w:ilvl w:val="0"/>
          <w:numId w:val="49"/>
        </w:numPr>
        <w:autoSpaceDE w:val="0"/>
        <w:autoSpaceDN w:val="0"/>
        <w:adjustRightInd w:val="0"/>
        <w:spacing w:after="0" w:line="480" w:lineRule="auto"/>
        <w:jc w:val="both"/>
        <w:rPr>
          <w:rFonts w:cstheme="minorBidi"/>
          <w:szCs w:val="24"/>
        </w:rPr>
      </w:pPr>
      <w:r w:rsidRPr="00B013ED">
        <w:rPr>
          <w:rFonts w:cstheme="minorBidi"/>
          <w:szCs w:val="24"/>
        </w:rPr>
        <w:t>Place a moist cotton pellet and wait for 20-30 minutes or until next visit</w:t>
      </w:r>
    </w:p>
    <w:p w:rsidR="008441CB" w:rsidRPr="00B013ED" w:rsidRDefault="008441CB" w:rsidP="00E67E7F">
      <w:pPr>
        <w:pStyle w:val="ListParagraph"/>
        <w:numPr>
          <w:ilvl w:val="0"/>
          <w:numId w:val="49"/>
        </w:numPr>
        <w:autoSpaceDE w:val="0"/>
        <w:autoSpaceDN w:val="0"/>
        <w:adjustRightInd w:val="0"/>
        <w:spacing w:after="0" w:line="480" w:lineRule="auto"/>
        <w:jc w:val="both"/>
        <w:rPr>
          <w:rFonts w:cstheme="minorBidi"/>
          <w:szCs w:val="24"/>
        </w:rPr>
      </w:pPr>
      <w:r w:rsidRPr="00B013ED">
        <w:rPr>
          <w:rFonts w:cstheme="minorBidi"/>
          <w:szCs w:val="24"/>
        </w:rPr>
        <w:t>Obturate the root canal using thermoplasticised gutta percha or another obturation technique.</w:t>
      </w:r>
    </w:p>
    <w:p w:rsidR="008441CB" w:rsidRPr="000D0B10" w:rsidRDefault="008441CB" w:rsidP="000D0B10">
      <w:pPr>
        <w:pStyle w:val="ListParagraph"/>
        <w:numPr>
          <w:ilvl w:val="0"/>
          <w:numId w:val="49"/>
        </w:numPr>
        <w:autoSpaceDE w:val="0"/>
        <w:autoSpaceDN w:val="0"/>
        <w:adjustRightInd w:val="0"/>
        <w:spacing w:after="0" w:line="480" w:lineRule="auto"/>
        <w:jc w:val="both"/>
        <w:rPr>
          <w:rFonts w:cstheme="minorBidi"/>
          <w:szCs w:val="24"/>
        </w:rPr>
      </w:pPr>
      <w:r w:rsidRPr="00B013ED">
        <w:rPr>
          <w:rFonts w:cstheme="minorBidi"/>
          <w:szCs w:val="24"/>
        </w:rPr>
        <w:t>The coronal portion of the tooth is restored and reinforced to prevent fractures</w:t>
      </w:r>
    </w:p>
    <w:p w:rsidR="008441CB" w:rsidRPr="00B013ED" w:rsidRDefault="008441CB" w:rsidP="00912C5E">
      <w:pPr>
        <w:autoSpaceDE w:val="0"/>
        <w:autoSpaceDN w:val="0"/>
        <w:adjustRightInd w:val="0"/>
        <w:spacing w:line="480" w:lineRule="auto"/>
        <w:jc w:val="both"/>
        <w:rPr>
          <w:rFonts w:cstheme="minorBidi"/>
        </w:rPr>
      </w:pPr>
      <w:r w:rsidRPr="00B013ED">
        <w:rPr>
          <w:rFonts w:cstheme="minorBidi"/>
        </w:rPr>
        <w:t>In reviewing the evidence for MTA use it became very clear that the current available evidence d</w:t>
      </w:r>
      <w:r w:rsidR="00E84D4E">
        <w:rPr>
          <w:rFonts w:cstheme="minorBidi"/>
        </w:rPr>
        <w:t>id</w:t>
      </w:r>
      <w:r w:rsidRPr="00B013ED">
        <w:rPr>
          <w:rFonts w:cstheme="minorBidi"/>
        </w:rPr>
        <w:t xml:space="preserve"> not meet the strict criteria set out by Cochrane collaboration.  Most studies </w:t>
      </w:r>
      <w:r w:rsidR="00E84D4E">
        <w:rPr>
          <w:rFonts w:cstheme="minorBidi"/>
        </w:rPr>
        <w:t>we</w:t>
      </w:r>
      <w:r w:rsidRPr="00B013ED">
        <w:rPr>
          <w:rFonts w:cstheme="minorBidi"/>
        </w:rPr>
        <w:t xml:space="preserve">re in the form of case reports, case control/cohort or retrospective evaluations of </w:t>
      </w:r>
      <w:r w:rsidRPr="00912C5E">
        <w:rPr>
          <w:rFonts w:cstheme="minorBidi"/>
          <w:szCs w:val="24"/>
        </w:rPr>
        <w:t>cases (</w:t>
      </w:r>
      <w:r w:rsidR="001D3F19" w:rsidRPr="00912C5E">
        <w:rPr>
          <w:rFonts w:cstheme="minorBidi"/>
          <w:szCs w:val="24"/>
        </w:rPr>
        <w:fldChar w:fldCharType="begin"/>
      </w:r>
      <w:r w:rsidR="001D3F19" w:rsidRPr="00912C5E">
        <w:rPr>
          <w:rFonts w:cstheme="minorBidi"/>
          <w:szCs w:val="24"/>
        </w:rPr>
        <w:instrText xml:space="preserve"> REF _Ref361166340 \h </w:instrText>
      </w:r>
      <w:r w:rsidR="00912C5E" w:rsidRPr="00912C5E">
        <w:rPr>
          <w:rFonts w:cstheme="minorBidi"/>
          <w:szCs w:val="24"/>
        </w:rPr>
        <w:instrText xml:space="preserve"> \* MERGEFORMAT </w:instrText>
      </w:r>
      <w:r w:rsidR="001D3F19" w:rsidRPr="00912C5E">
        <w:rPr>
          <w:rFonts w:cstheme="minorBidi"/>
          <w:szCs w:val="24"/>
        </w:rPr>
      </w:r>
      <w:r w:rsidR="001D3F19" w:rsidRPr="00912C5E">
        <w:rPr>
          <w:rFonts w:cstheme="minorBidi"/>
          <w:szCs w:val="24"/>
        </w:rPr>
        <w:fldChar w:fldCharType="separate"/>
      </w:r>
      <w:r w:rsidR="00374B77" w:rsidRPr="00374B77">
        <w:rPr>
          <w:rFonts w:cstheme="minorBidi"/>
          <w:szCs w:val="24"/>
        </w:rPr>
        <w:t xml:space="preserve">Table </w:t>
      </w:r>
      <w:r w:rsidR="00374B77" w:rsidRPr="00374B77">
        <w:rPr>
          <w:rFonts w:cstheme="minorBidi"/>
          <w:noProof/>
          <w:szCs w:val="24"/>
          <w:cs/>
        </w:rPr>
        <w:t>‎</w:t>
      </w:r>
      <w:r w:rsidR="00374B77">
        <w:rPr>
          <w:rFonts w:cstheme="minorBidi"/>
          <w:b/>
          <w:bCs/>
          <w:noProof/>
          <w:sz w:val="20"/>
          <w:szCs w:val="20"/>
        </w:rPr>
        <w:t>1.4</w:t>
      </w:r>
      <w:r w:rsidR="001D3F19" w:rsidRPr="00912C5E">
        <w:rPr>
          <w:rFonts w:cstheme="minorBidi"/>
          <w:szCs w:val="24"/>
        </w:rPr>
        <w:fldChar w:fldCharType="end"/>
      </w:r>
      <w:r w:rsidRPr="00912C5E">
        <w:rPr>
          <w:rFonts w:cstheme="minorBidi"/>
          <w:szCs w:val="24"/>
        </w:rPr>
        <w:t>).</w:t>
      </w:r>
      <w:r w:rsidRPr="00B013ED">
        <w:rPr>
          <w:rFonts w:cstheme="minorBidi"/>
        </w:rPr>
        <w:t xml:space="preserve"> However in our opinion these substantial numbers of studies supporting the use of MTA should not be overlooked. Conducting a prospective randomised control trial on treatment outcome comparing calcium hydroxide with MTA for managing non-vital immature permanent incisor teeth with an appropriate </w:t>
      </w:r>
      <w:r w:rsidR="00E84D4E">
        <w:rPr>
          <w:rFonts w:cstheme="minorBidi"/>
        </w:rPr>
        <w:t>follow-up</w:t>
      </w:r>
      <w:r w:rsidRPr="00B013ED">
        <w:rPr>
          <w:rFonts w:cstheme="minorBidi"/>
        </w:rPr>
        <w:t xml:space="preserve"> period is not only difficult but also expensive to undertake.      </w:t>
      </w:r>
    </w:p>
    <w:p w:rsidR="001E7797" w:rsidRDefault="001E7797" w:rsidP="00912C5E">
      <w:pPr>
        <w:jc w:val="both"/>
        <w:rPr>
          <w:rFonts w:eastAsiaTheme="majorEastAsia"/>
          <w:b/>
          <w:bCs/>
          <w:sz w:val="28"/>
        </w:rPr>
      </w:pPr>
      <w:bookmarkStart w:id="65" w:name="_Toc359995754"/>
      <w:r>
        <w:br w:type="page"/>
      </w:r>
    </w:p>
    <w:p w:rsidR="008441CB" w:rsidRPr="00A16330" w:rsidRDefault="008441CB" w:rsidP="00620F69">
      <w:pPr>
        <w:pStyle w:val="Heading4"/>
        <w:spacing w:line="480" w:lineRule="auto"/>
      </w:pPr>
      <w:r w:rsidRPr="00A16330">
        <w:lastRenderedPageBreak/>
        <w:t>Recommended best practice based on the clinical experience of the guideline development group</w:t>
      </w:r>
      <w:r w:rsidR="00620F69">
        <w:t xml:space="preserve"> </w:t>
      </w:r>
      <w:r w:rsidR="00620F69" w:rsidRPr="00620F69">
        <w:t>(SIGN)</w:t>
      </w:r>
      <w:r w:rsidRPr="00A16330">
        <w:t>.</w:t>
      </w:r>
      <w:bookmarkEnd w:id="65"/>
    </w:p>
    <w:p w:rsidR="008441CB" w:rsidRPr="00A16330" w:rsidRDefault="008441CB" w:rsidP="00594C58">
      <w:pPr>
        <w:tabs>
          <w:tab w:val="left" w:pos="360"/>
        </w:tabs>
        <w:spacing w:before="120" w:line="480" w:lineRule="auto"/>
        <w:rPr>
          <w:rFonts w:cstheme="minorBidi"/>
          <w:b/>
        </w:rPr>
      </w:pPr>
      <w:r w:rsidRPr="00A16330">
        <w:rPr>
          <w:rFonts w:cstheme="minorBidi"/>
        </w:rPr>
        <w:t>In view of these findings clinicians should consider using MTA routinely as a method for creating an apical barrier to allow root canal obturation to be carried out</w:t>
      </w:r>
    </w:p>
    <w:p w:rsidR="008441CB" w:rsidRPr="00A16330" w:rsidRDefault="008441CB" w:rsidP="00264DE2">
      <w:pPr>
        <w:spacing w:line="480" w:lineRule="auto"/>
        <w:rPr>
          <w:rFonts w:cstheme="minorBidi"/>
          <w:b/>
        </w:rPr>
      </w:pPr>
      <w:bookmarkStart w:id="66" w:name="_Toc359995755"/>
      <w:r w:rsidRPr="00A16330">
        <w:rPr>
          <w:b/>
          <w:bCs/>
        </w:rPr>
        <w:t xml:space="preserve">The level of recommendation for MTA = </w:t>
      </w:r>
      <w:bookmarkEnd w:id="66"/>
      <w:r w:rsidR="0073228D" w:rsidRPr="00A16330">
        <w:rPr>
          <w:b/>
          <w:bCs/>
        </w:rPr>
        <w:t>C</w:t>
      </w:r>
    </w:p>
    <w:bookmarkStart w:id="67" w:name="_Toc360367422"/>
    <w:p w:rsidR="008441CB" w:rsidRPr="00A16330" w:rsidRDefault="002320D8" w:rsidP="00264DE2">
      <w:pPr>
        <w:spacing w:line="480" w:lineRule="auto"/>
      </w:pPr>
      <w:r w:rsidRPr="00264DE2">
        <w:rPr>
          <w:szCs w:val="24"/>
        </w:rPr>
        <w:fldChar w:fldCharType="begin"/>
      </w:r>
      <w:r w:rsidRPr="00264DE2">
        <w:rPr>
          <w:szCs w:val="24"/>
        </w:rPr>
        <w:instrText xml:space="preserve"> REF _Ref361166340 \h </w:instrText>
      </w:r>
      <w:r w:rsidR="00264DE2" w:rsidRPr="00264DE2">
        <w:rPr>
          <w:szCs w:val="24"/>
        </w:rPr>
        <w:instrText xml:space="preserve"> \* MERGEFORMAT </w:instrText>
      </w:r>
      <w:r w:rsidRPr="00264DE2">
        <w:rPr>
          <w:szCs w:val="24"/>
        </w:rPr>
      </w:r>
      <w:r w:rsidRPr="00264DE2">
        <w:rPr>
          <w:szCs w:val="24"/>
        </w:rPr>
        <w:fldChar w:fldCharType="separate"/>
      </w:r>
      <w:proofErr w:type="gramStart"/>
      <w:r w:rsidR="00374B77" w:rsidRPr="00374B77">
        <w:rPr>
          <w:rFonts w:cstheme="minorBidi"/>
          <w:szCs w:val="24"/>
        </w:rPr>
        <w:t xml:space="preserve">Table </w:t>
      </w:r>
      <w:r w:rsidR="00374B77" w:rsidRPr="00374B77">
        <w:rPr>
          <w:rFonts w:cstheme="minorBidi"/>
          <w:noProof/>
          <w:szCs w:val="24"/>
          <w:cs/>
        </w:rPr>
        <w:t>‎</w:t>
      </w:r>
      <w:r w:rsidR="00374B77">
        <w:rPr>
          <w:rFonts w:cstheme="minorBidi"/>
          <w:b/>
          <w:bCs/>
          <w:noProof/>
          <w:sz w:val="20"/>
          <w:szCs w:val="20"/>
        </w:rPr>
        <w:t>1.4</w:t>
      </w:r>
      <w:r w:rsidRPr="00264DE2">
        <w:rPr>
          <w:szCs w:val="24"/>
        </w:rPr>
        <w:fldChar w:fldCharType="end"/>
      </w:r>
      <w:r>
        <w:t xml:space="preserve"> </w:t>
      </w:r>
      <w:r w:rsidR="008441CB" w:rsidRPr="00A16330">
        <w:t>Characteristics of clinical studies evaluating the use of MTA to facilitate obturation of root canal.</w:t>
      </w:r>
      <w:bookmarkEnd w:id="67"/>
      <w:proofErr w:type="gramEnd"/>
    </w:p>
    <w:p w:rsidR="008441CB" w:rsidRPr="00A16330" w:rsidRDefault="0073228D" w:rsidP="00594C58">
      <w:pPr>
        <w:spacing w:line="480" w:lineRule="auto"/>
        <w:jc w:val="both"/>
        <w:rPr>
          <w:rFonts w:cstheme="minorBidi"/>
        </w:rPr>
      </w:pPr>
      <w:r w:rsidRPr="00A16330">
        <w:rPr>
          <w:rFonts w:cstheme="minorBidi"/>
        </w:rPr>
        <w:t>Calcium hydroxide</w:t>
      </w:r>
      <w:r w:rsidR="008441CB" w:rsidRPr="00A16330">
        <w:rPr>
          <w:rFonts w:cstheme="minorBidi"/>
        </w:rPr>
        <w:t xml:space="preserve"> in the root canal found that the frequency of cervical fracture was higher in these teeth.</w:t>
      </w:r>
    </w:p>
    <w:p w:rsidR="008441CB" w:rsidRPr="00A16330" w:rsidRDefault="008441CB" w:rsidP="00594C58">
      <w:pPr>
        <w:spacing w:line="480" w:lineRule="auto"/>
        <w:jc w:val="both"/>
        <w:rPr>
          <w:rFonts w:cstheme="minorBidi"/>
        </w:rPr>
      </w:pPr>
      <w:r w:rsidRPr="00A16330">
        <w:rPr>
          <w:rFonts w:cstheme="minorBidi"/>
          <w:b/>
        </w:rPr>
        <w:t>Al-Jundi SH</w:t>
      </w:r>
      <w:r w:rsidRPr="00A16330">
        <w:rPr>
          <w:rFonts w:cstheme="minorBidi"/>
        </w:rPr>
        <w:t xml:space="preserve">. Type of treatment, prognosis and estimation of time spent to manage dental trauma in late presentation cases at a dental teaching hospital: a longitudinal and retrospective study. </w:t>
      </w:r>
      <w:proofErr w:type="gramStart"/>
      <w:r w:rsidRPr="00A16330">
        <w:rPr>
          <w:rFonts w:cstheme="minorBidi"/>
        </w:rPr>
        <w:t>Dental Traumatology.</w:t>
      </w:r>
      <w:proofErr w:type="gramEnd"/>
      <w:r w:rsidRPr="00A16330">
        <w:rPr>
          <w:rFonts w:cstheme="minorBidi"/>
        </w:rPr>
        <w:t xml:space="preserve"> </w:t>
      </w:r>
      <w:proofErr w:type="gramStart"/>
      <w:r w:rsidRPr="00A16330">
        <w:rPr>
          <w:rFonts w:cstheme="minorBidi"/>
        </w:rPr>
        <w:t>2004; 20:1-5.</w:t>
      </w:r>
      <w:proofErr w:type="gramEnd"/>
    </w:p>
    <w:p w:rsidR="008441CB" w:rsidRPr="00A16330" w:rsidRDefault="008441CB" w:rsidP="00594C58">
      <w:pPr>
        <w:spacing w:line="480" w:lineRule="auto"/>
        <w:jc w:val="both"/>
        <w:rPr>
          <w:rFonts w:cstheme="minorBidi"/>
          <w:bCs/>
        </w:rPr>
      </w:pPr>
      <w:r w:rsidRPr="00A16330">
        <w:rPr>
          <w:rFonts w:cstheme="minorBidi"/>
          <w:b/>
        </w:rPr>
        <w:t xml:space="preserve">Cvek M.  </w:t>
      </w:r>
      <w:r w:rsidRPr="00A16330">
        <w:rPr>
          <w:rFonts w:cstheme="minorBidi"/>
          <w:bCs/>
        </w:rPr>
        <w:t xml:space="preserve">Prognosis of luxated treated with calcium hydroxide and filled with gutta percha. </w:t>
      </w:r>
      <w:proofErr w:type="gramStart"/>
      <w:r w:rsidRPr="00A16330">
        <w:rPr>
          <w:rFonts w:cstheme="minorBidi"/>
          <w:bCs/>
        </w:rPr>
        <w:t>A retrospective clinical study.</w:t>
      </w:r>
      <w:proofErr w:type="gramEnd"/>
      <w:r w:rsidRPr="00A16330">
        <w:rPr>
          <w:rFonts w:cstheme="minorBidi"/>
          <w:bCs/>
        </w:rPr>
        <w:t xml:space="preserve"> </w:t>
      </w:r>
      <w:proofErr w:type="gramStart"/>
      <w:r w:rsidRPr="00A16330">
        <w:rPr>
          <w:rFonts w:cstheme="minorBidi"/>
          <w:bCs/>
        </w:rPr>
        <w:t>Endodontics and Dental traumatology.</w:t>
      </w:r>
      <w:proofErr w:type="gramEnd"/>
      <w:r w:rsidRPr="00A16330">
        <w:rPr>
          <w:rFonts w:cstheme="minorBidi"/>
          <w:bCs/>
        </w:rPr>
        <w:t xml:space="preserve"> </w:t>
      </w:r>
      <w:proofErr w:type="gramStart"/>
      <w:r w:rsidRPr="00A16330">
        <w:rPr>
          <w:rFonts w:cstheme="minorBidi"/>
          <w:bCs/>
        </w:rPr>
        <w:t>1992; 8:45-55.</w:t>
      </w:r>
      <w:proofErr w:type="gramEnd"/>
    </w:p>
    <w:p w:rsidR="008441CB" w:rsidRPr="00A16330" w:rsidRDefault="008441CB" w:rsidP="00594C58">
      <w:pPr>
        <w:spacing w:line="480" w:lineRule="auto"/>
        <w:jc w:val="both"/>
        <w:rPr>
          <w:b/>
          <w:bCs/>
        </w:rPr>
      </w:pPr>
      <w:bookmarkStart w:id="68" w:name="_Toc359995756"/>
      <w:r w:rsidRPr="00A16330">
        <w:rPr>
          <w:b/>
          <w:bCs/>
        </w:rPr>
        <w:t>Level of evidence = C</w:t>
      </w:r>
      <w:bookmarkEnd w:id="68"/>
    </w:p>
    <w:p w:rsidR="008441CB" w:rsidRPr="00A16330" w:rsidRDefault="008441CB" w:rsidP="00594C58">
      <w:pPr>
        <w:spacing w:line="480" w:lineRule="auto"/>
        <w:jc w:val="both"/>
        <w:rPr>
          <w:rFonts w:cstheme="minorBidi"/>
        </w:rPr>
      </w:pPr>
      <w:r w:rsidRPr="00A16330">
        <w:rPr>
          <w:rFonts w:cstheme="minorBidi"/>
        </w:rPr>
        <w:t xml:space="preserve">In the last decade there have been a number of laboratory studies that have also shown a significant reduction of resistance to fracture of teeth following prolonged use of calcium hydroxide. </w:t>
      </w:r>
    </w:p>
    <w:p w:rsidR="008441CB" w:rsidRPr="00A16330" w:rsidRDefault="008441CB" w:rsidP="00594C58">
      <w:pPr>
        <w:spacing w:line="480" w:lineRule="auto"/>
        <w:jc w:val="both"/>
        <w:rPr>
          <w:rFonts w:cstheme="minorBidi"/>
          <w:bCs/>
        </w:rPr>
      </w:pPr>
      <w:proofErr w:type="gramStart"/>
      <w:r w:rsidRPr="00A16330">
        <w:rPr>
          <w:rFonts w:cstheme="minorBidi"/>
          <w:b/>
        </w:rPr>
        <w:t>Andreas</w:t>
      </w:r>
      <w:r w:rsidR="00E84D4E" w:rsidRPr="00A16330">
        <w:rPr>
          <w:rFonts w:cstheme="minorBidi"/>
          <w:b/>
        </w:rPr>
        <w:t>e</w:t>
      </w:r>
      <w:r w:rsidRPr="00A16330">
        <w:rPr>
          <w:rFonts w:cstheme="minorBidi"/>
          <w:b/>
        </w:rPr>
        <w:t>n  JO</w:t>
      </w:r>
      <w:proofErr w:type="gramEnd"/>
      <w:r w:rsidRPr="00A16330">
        <w:rPr>
          <w:rFonts w:cstheme="minorBidi"/>
          <w:b/>
        </w:rPr>
        <w:t xml:space="preserve">, Farik B, Munksgaard EC. </w:t>
      </w:r>
      <w:r w:rsidRPr="00A16330">
        <w:rPr>
          <w:rFonts w:cstheme="minorBidi"/>
          <w:bCs/>
        </w:rPr>
        <w:t xml:space="preserve">Long-term calcium hydroxide as a root canal dressing may increase risk of root fracture.  </w:t>
      </w:r>
      <w:proofErr w:type="gramStart"/>
      <w:r w:rsidRPr="00A16330">
        <w:rPr>
          <w:rFonts w:cstheme="minorBidi"/>
          <w:bCs/>
        </w:rPr>
        <w:t>Dental Traumatology.</w:t>
      </w:r>
      <w:proofErr w:type="gramEnd"/>
      <w:r w:rsidRPr="00A16330">
        <w:rPr>
          <w:rFonts w:cstheme="minorBidi"/>
          <w:bCs/>
        </w:rPr>
        <w:t xml:space="preserve"> </w:t>
      </w:r>
      <w:proofErr w:type="gramStart"/>
      <w:r w:rsidRPr="00A16330">
        <w:rPr>
          <w:rFonts w:cstheme="minorBidi"/>
          <w:bCs/>
        </w:rPr>
        <w:t xml:space="preserve">2002; </w:t>
      </w:r>
      <w:r w:rsidRPr="00A16330">
        <w:rPr>
          <w:rFonts w:cstheme="minorBidi"/>
          <w:b/>
          <w:bCs/>
        </w:rPr>
        <w:t>18</w:t>
      </w:r>
      <w:r w:rsidRPr="00A16330">
        <w:rPr>
          <w:rFonts w:cstheme="minorBidi"/>
          <w:bCs/>
        </w:rPr>
        <w:t>: 134-137.</w:t>
      </w:r>
      <w:proofErr w:type="gramEnd"/>
    </w:p>
    <w:p w:rsidR="008441CB" w:rsidRPr="00A16330" w:rsidRDefault="008441CB" w:rsidP="00594C58">
      <w:pPr>
        <w:spacing w:line="480" w:lineRule="auto"/>
        <w:jc w:val="both"/>
        <w:rPr>
          <w:b/>
          <w:bCs/>
        </w:rPr>
      </w:pPr>
      <w:bookmarkStart w:id="69" w:name="_Toc359995757"/>
      <w:r w:rsidRPr="00A16330">
        <w:rPr>
          <w:b/>
          <w:bCs/>
        </w:rPr>
        <w:lastRenderedPageBreak/>
        <w:t>Level of evidence = B</w:t>
      </w:r>
      <w:bookmarkEnd w:id="69"/>
    </w:p>
    <w:p w:rsidR="008441CB" w:rsidRPr="00A16330" w:rsidRDefault="008441CB" w:rsidP="00912C5E">
      <w:pPr>
        <w:spacing w:line="480" w:lineRule="auto"/>
        <w:jc w:val="both"/>
        <w:rPr>
          <w:rFonts w:cstheme="minorBidi"/>
        </w:rPr>
      </w:pPr>
      <w:proofErr w:type="gramStart"/>
      <w:r w:rsidRPr="00A16330">
        <w:rPr>
          <w:rFonts w:cstheme="minorBidi"/>
          <w:b/>
          <w:bCs/>
        </w:rPr>
        <w:t>Rosenberg  B</w:t>
      </w:r>
      <w:proofErr w:type="gramEnd"/>
      <w:r w:rsidRPr="00A16330">
        <w:rPr>
          <w:rFonts w:cstheme="minorBidi"/>
          <w:b/>
          <w:bCs/>
        </w:rPr>
        <w:t>, Murray PE, Namerow K</w:t>
      </w:r>
      <w:r w:rsidRPr="00A16330">
        <w:rPr>
          <w:rFonts w:cstheme="minorBidi"/>
        </w:rPr>
        <w:t xml:space="preserve">. </w:t>
      </w:r>
      <w:proofErr w:type="gramStart"/>
      <w:r w:rsidRPr="00A16330">
        <w:rPr>
          <w:rFonts w:cstheme="minorBidi"/>
        </w:rPr>
        <w:t>The effect of calcium hydroxide root filling on dentin</w:t>
      </w:r>
      <w:r w:rsidR="00E84D4E" w:rsidRPr="00A16330">
        <w:rPr>
          <w:rFonts w:cstheme="minorBidi"/>
        </w:rPr>
        <w:t xml:space="preserve">e </w:t>
      </w:r>
      <w:r w:rsidRPr="00A16330">
        <w:rPr>
          <w:rFonts w:cstheme="minorBidi"/>
        </w:rPr>
        <w:t>fracture strength.</w:t>
      </w:r>
      <w:proofErr w:type="gramEnd"/>
      <w:r w:rsidRPr="00A16330">
        <w:rPr>
          <w:rFonts w:cstheme="minorBidi"/>
        </w:rPr>
        <w:t xml:space="preserve"> </w:t>
      </w:r>
      <w:proofErr w:type="gramStart"/>
      <w:r w:rsidRPr="00A16330">
        <w:rPr>
          <w:rFonts w:cstheme="minorBidi"/>
        </w:rPr>
        <w:t>Dental Traumatology.</w:t>
      </w:r>
      <w:proofErr w:type="gramEnd"/>
      <w:r w:rsidRPr="00A16330">
        <w:rPr>
          <w:rFonts w:cstheme="minorBidi"/>
        </w:rPr>
        <w:t xml:space="preserve"> </w:t>
      </w:r>
      <w:proofErr w:type="gramStart"/>
      <w:r w:rsidRPr="00A16330">
        <w:rPr>
          <w:rFonts w:cstheme="minorBidi"/>
        </w:rPr>
        <w:t>2007; 23:26-29.</w:t>
      </w:r>
      <w:proofErr w:type="gramEnd"/>
      <w:r w:rsidRPr="00A16330">
        <w:rPr>
          <w:rFonts w:cstheme="minorBidi"/>
        </w:rPr>
        <w:t xml:space="preserve"> </w:t>
      </w:r>
    </w:p>
    <w:p w:rsidR="008441CB" w:rsidRPr="00A16330" w:rsidRDefault="008441CB" w:rsidP="00594C58">
      <w:pPr>
        <w:spacing w:line="480" w:lineRule="auto"/>
        <w:jc w:val="both"/>
        <w:rPr>
          <w:rFonts w:cstheme="minorBidi"/>
        </w:rPr>
      </w:pPr>
      <w:proofErr w:type="gramStart"/>
      <w:r w:rsidRPr="00A16330">
        <w:rPr>
          <w:rFonts w:cstheme="minorBidi"/>
          <w:b/>
          <w:bCs/>
        </w:rPr>
        <w:t>Doyon  GE</w:t>
      </w:r>
      <w:proofErr w:type="gramEnd"/>
      <w:r w:rsidRPr="00A16330">
        <w:rPr>
          <w:rFonts w:cstheme="minorBidi"/>
          <w:b/>
          <w:bCs/>
        </w:rPr>
        <w:t>, Dumsha TD, von Fraunhofer A</w:t>
      </w:r>
      <w:r w:rsidRPr="00A16330">
        <w:rPr>
          <w:rFonts w:cstheme="minorBidi"/>
        </w:rPr>
        <w:t xml:space="preserve">. Fracture resistance of human root dentine exposed to </w:t>
      </w:r>
      <w:r w:rsidR="004B3418" w:rsidRPr="00A16330">
        <w:rPr>
          <w:rFonts w:cstheme="minorBidi"/>
        </w:rPr>
        <w:t>intra-canal</w:t>
      </w:r>
      <w:r w:rsidRPr="00A16330">
        <w:rPr>
          <w:rFonts w:cstheme="minorBidi"/>
        </w:rPr>
        <w:t xml:space="preserve"> calcium hydroxide. </w:t>
      </w:r>
      <w:proofErr w:type="gramStart"/>
      <w:r w:rsidRPr="00A16330">
        <w:rPr>
          <w:rFonts w:cstheme="minorBidi"/>
        </w:rPr>
        <w:t>Journal of Endodontics.</w:t>
      </w:r>
      <w:proofErr w:type="gramEnd"/>
      <w:r w:rsidRPr="00A16330">
        <w:rPr>
          <w:rFonts w:cstheme="minorBidi"/>
        </w:rPr>
        <w:t xml:space="preserve"> 2005: 895-897.</w:t>
      </w:r>
    </w:p>
    <w:p w:rsidR="008441CB" w:rsidRPr="00A16330" w:rsidRDefault="008441CB" w:rsidP="00594C58">
      <w:pPr>
        <w:spacing w:line="480" w:lineRule="auto"/>
        <w:jc w:val="both"/>
        <w:rPr>
          <w:rFonts w:cstheme="minorBidi"/>
        </w:rPr>
      </w:pPr>
      <w:proofErr w:type="gramStart"/>
      <w:r w:rsidRPr="00A16330">
        <w:rPr>
          <w:rFonts w:cstheme="minorBidi"/>
          <w:b/>
          <w:bCs/>
        </w:rPr>
        <w:t>Twati W A, Wood DJ Liskiweicz TW, Willmott NS, Duggal MS</w:t>
      </w:r>
      <w:r w:rsidRPr="00A16330">
        <w:rPr>
          <w:rFonts w:cstheme="minorBidi"/>
        </w:rPr>
        <w:t>.</w:t>
      </w:r>
      <w:proofErr w:type="gramEnd"/>
      <w:r w:rsidRPr="00A16330">
        <w:rPr>
          <w:rFonts w:cstheme="minorBidi"/>
        </w:rPr>
        <w:t xml:space="preserve"> An evaluation of non</w:t>
      </w:r>
      <w:r w:rsidR="00E84D4E" w:rsidRPr="00A16330">
        <w:rPr>
          <w:rFonts w:cstheme="minorBidi"/>
        </w:rPr>
        <w:t>-</w:t>
      </w:r>
      <w:r w:rsidRPr="00A16330">
        <w:rPr>
          <w:rFonts w:cstheme="minorBidi"/>
        </w:rPr>
        <w:t xml:space="preserve">setting calcium hydroxide on human dentine: a pilot study. </w:t>
      </w:r>
      <w:proofErr w:type="gramStart"/>
      <w:r w:rsidRPr="00A16330">
        <w:rPr>
          <w:rFonts w:cstheme="minorBidi"/>
        </w:rPr>
        <w:t>European Archives of Paediatric Dentistry.</w:t>
      </w:r>
      <w:proofErr w:type="gramEnd"/>
      <w:r w:rsidRPr="00A16330">
        <w:rPr>
          <w:rFonts w:cstheme="minorBidi"/>
        </w:rPr>
        <w:t xml:space="preserve"> 2009:10(2):104-109</w:t>
      </w:r>
      <w:r w:rsidR="00E84D4E" w:rsidRPr="00A16330">
        <w:rPr>
          <w:rFonts w:cstheme="minorBidi"/>
        </w:rPr>
        <w:t>.</w:t>
      </w:r>
    </w:p>
    <w:p w:rsidR="008441CB" w:rsidRPr="00A16330" w:rsidRDefault="008441CB" w:rsidP="00594C58">
      <w:pPr>
        <w:spacing w:line="480" w:lineRule="auto"/>
        <w:jc w:val="both"/>
        <w:rPr>
          <w:b/>
          <w:bCs/>
        </w:rPr>
      </w:pPr>
      <w:bookmarkStart w:id="70" w:name="_Toc359995758"/>
      <w:r w:rsidRPr="00A16330">
        <w:rPr>
          <w:b/>
          <w:bCs/>
        </w:rPr>
        <w:t>Level of evidence = D</w:t>
      </w:r>
      <w:bookmarkEnd w:id="70"/>
    </w:p>
    <w:p w:rsidR="008441CB" w:rsidRPr="00B013ED" w:rsidRDefault="008441CB" w:rsidP="00620F69">
      <w:pPr>
        <w:pStyle w:val="Heading3"/>
      </w:pPr>
      <w:bookmarkStart w:id="71" w:name="_Toc359995762"/>
      <w:bookmarkStart w:id="72" w:name="_Toc370819195"/>
      <w:r w:rsidRPr="00B013ED">
        <w:t>Recommended best practice based on the clinical experience of the guideline development group</w:t>
      </w:r>
      <w:r w:rsidR="00620F69">
        <w:t xml:space="preserve"> </w:t>
      </w:r>
      <w:r w:rsidR="00620F69" w:rsidRPr="00620F69">
        <w:t>(SIGN)</w:t>
      </w:r>
      <w:r w:rsidRPr="00B013ED">
        <w:t>.</w:t>
      </w:r>
      <w:bookmarkEnd w:id="71"/>
      <w:bookmarkEnd w:id="72"/>
    </w:p>
    <w:p w:rsidR="008441CB" w:rsidRPr="00B013ED" w:rsidRDefault="008441CB" w:rsidP="00594C58">
      <w:pPr>
        <w:tabs>
          <w:tab w:val="left" w:pos="360"/>
        </w:tabs>
        <w:spacing w:before="120" w:line="480" w:lineRule="auto"/>
        <w:rPr>
          <w:rFonts w:cstheme="minorBidi"/>
          <w:b/>
        </w:rPr>
      </w:pPr>
      <w:r w:rsidRPr="00B013ED">
        <w:rPr>
          <w:rFonts w:cstheme="minorBidi"/>
        </w:rPr>
        <w:t>In view of these findings clinicians should consider using MTA routinely as a method for creating an apical barrier to allow root canal obturation to be carried out</w:t>
      </w:r>
    </w:p>
    <w:p w:rsidR="008441CB" w:rsidRPr="00B013ED" w:rsidRDefault="008441CB" w:rsidP="00594C58">
      <w:pPr>
        <w:spacing w:line="480" w:lineRule="auto"/>
        <w:rPr>
          <w:b/>
          <w:bCs/>
        </w:rPr>
      </w:pPr>
      <w:bookmarkStart w:id="73" w:name="_Toc359995763"/>
      <w:r w:rsidRPr="00B013ED">
        <w:rPr>
          <w:b/>
          <w:bCs/>
        </w:rPr>
        <w:t>The level of recommendation for MTA = C</w:t>
      </w:r>
      <w:bookmarkEnd w:id="73"/>
    </w:p>
    <w:p w:rsidR="008441CB" w:rsidRDefault="008441CB" w:rsidP="008441CB">
      <w:pPr>
        <w:rPr>
          <w:rFonts w:cstheme="minorBidi"/>
          <w:b/>
        </w:rPr>
      </w:pPr>
    </w:p>
    <w:p w:rsidR="00912C5E" w:rsidRPr="00B013ED" w:rsidRDefault="00912C5E" w:rsidP="008441CB">
      <w:pPr>
        <w:rPr>
          <w:rFonts w:cstheme="minorBidi"/>
          <w:b/>
        </w:rPr>
        <w:sectPr w:rsidR="00912C5E" w:rsidRPr="00B013ED" w:rsidSect="00365534">
          <w:pgSz w:w="11906" w:h="16838"/>
          <w:pgMar w:top="1440" w:right="1298" w:bottom="1151" w:left="2268" w:header="709" w:footer="709" w:gutter="0"/>
          <w:cols w:space="708"/>
          <w:docGrid w:linePitch="360"/>
        </w:sectPr>
      </w:pPr>
    </w:p>
    <w:p w:rsidR="00AE3AAD" w:rsidRPr="00A74037" w:rsidRDefault="00AE3AAD" w:rsidP="001D3F19">
      <w:pPr>
        <w:rPr>
          <w:rFonts w:cstheme="minorBidi"/>
          <w:b/>
          <w:bCs/>
          <w:sz w:val="20"/>
          <w:szCs w:val="20"/>
        </w:rPr>
      </w:pPr>
      <w:bookmarkStart w:id="74" w:name="_Ref361166340"/>
      <w:bookmarkStart w:id="75" w:name="_Toc370511725"/>
      <w:proofErr w:type="gramStart"/>
      <w:r w:rsidRPr="00A74037">
        <w:rPr>
          <w:rFonts w:cstheme="minorBidi"/>
          <w:b/>
          <w:bCs/>
          <w:sz w:val="20"/>
          <w:szCs w:val="20"/>
        </w:rPr>
        <w:lastRenderedPageBreak/>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1</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4</w:t>
      </w:r>
      <w:r w:rsidR="00E7089D">
        <w:rPr>
          <w:rFonts w:cstheme="minorBidi"/>
          <w:b/>
          <w:bCs/>
          <w:sz w:val="20"/>
          <w:szCs w:val="20"/>
        </w:rPr>
        <w:fldChar w:fldCharType="end"/>
      </w:r>
      <w:bookmarkEnd w:id="74"/>
      <w:r w:rsidRPr="00A74037">
        <w:rPr>
          <w:rFonts w:cstheme="minorBidi"/>
          <w:b/>
          <w:bCs/>
          <w:sz w:val="20"/>
          <w:szCs w:val="20"/>
        </w:rPr>
        <w:t xml:space="preserve"> Characteristics of clinical studies evaluating the use of MTA to facilitate obturation of root canal</w:t>
      </w:r>
      <w:r w:rsidR="00CB4108" w:rsidRPr="00A74037">
        <w:rPr>
          <w:rFonts w:cstheme="minorBidi"/>
          <w:b/>
          <w:bCs/>
          <w:sz w:val="20"/>
          <w:szCs w:val="20"/>
        </w:rPr>
        <w:t>s</w:t>
      </w:r>
      <w:r w:rsidR="00912C5E">
        <w:rPr>
          <w:rFonts w:cstheme="minorBidi"/>
          <w:b/>
          <w:bCs/>
          <w:sz w:val="20"/>
          <w:szCs w:val="20"/>
        </w:rPr>
        <w:t>.</w:t>
      </w:r>
      <w:bookmarkEnd w:id="75"/>
    </w:p>
    <w:tbl>
      <w:tblPr>
        <w:tblStyle w:val="TableGrid"/>
        <w:tblW w:w="14142" w:type="dxa"/>
        <w:tblLayout w:type="fixed"/>
        <w:tblLook w:val="04A0" w:firstRow="1" w:lastRow="0" w:firstColumn="1" w:lastColumn="0" w:noHBand="0" w:noVBand="1"/>
      </w:tblPr>
      <w:tblGrid>
        <w:gridCol w:w="1578"/>
        <w:gridCol w:w="1238"/>
        <w:gridCol w:w="1238"/>
        <w:gridCol w:w="1336"/>
        <w:gridCol w:w="1512"/>
        <w:gridCol w:w="1853"/>
        <w:gridCol w:w="2507"/>
        <w:gridCol w:w="2880"/>
      </w:tblGrid>
      <w:tr w:rsidR="001E7797" w:rsidRPr="00692715" w:rsidTr="0073228D">
        <w:trPr>
          <w:trHeight w:val="852"/>
        </w:trPr>
        <w:tc>
          <w:tcPr>
            <w:tcW w:w="15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E7797" w:rsidRPr="00692715" w:rsidRDefault="001E7797" w:rsidP="00ED5EDA">
            <w:pPr>
              <w:jc w:val="center"/>
              <w:rPr>
                <w:rFonts w:cstheme="minorBidi"/>
                <w:b/>
                <w:bCs/>
                <w:sz w:val="20"/>
              </w:rPr>
            </w:pPr>
            <w:r w:rsidRPr="00692715">
              <w:rPr>
                <w:rFonts w:cstheme="minorBidi"/>
                <w:b/>
                <w:bCs/>
                <w:sz w:val="20"/>
              </w:rPr>
              <w:t>Author</w:t>
            </w:r>
          </w:p>
        </w:tc>
        <w:tc>
          <w:tcPr>
            <w:tcW w:w="123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E7797" w:rsidRPr="00692715" w:rsidRDefault="00CB4108" w:rsidP="00ED5EDA">
            <w:pPr>
              <w:jc w:val="center"/>
              <w:rPr>
                <w:rFonts w:cstheme="minorBidi"/>
                <w:b/>
                <w:bCs/>
                <w:sz w:val="20"/>
              </w:rPr>
            </w:pPr>
            <w:r>
              <w:rPr>
                <w:rFonts w:cstheme="minorBidi"/>
                <w:b/>
                <w:bCs/>
                <w:sz w:val="20"/>
              </w:rPr>
              <w:t>L</w:t>
            </w:r>
            <w:r w:rsidR="001E7797" w:rsidRPr="00692715">
              <w:rPr>
                <w:rFonts w:cstheme="minorBidi"/>
                <w:b/>
                <w:bCs/>
                <w:sz w:val="20"/>
              </w:rPr>
              <w:t>evel of evidence</w:t>
            </w:r>
          </w:p>
        </w:tc>
        <w:tc>
          <w:tcPr>
            <w:tcW w:w="123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E7797" w:rsidRPr="00692715" w:rsidRDefault="001E7797" w:rsidP="00ED5EDA">
            <w:pPr>
              <w:jc w:val="center"/>
              <w:rPr>
                <w:rFonts w:cstheme="minorBidi"/>
                <w:b/>
                <w:bCs/>
                <w:sz w:val="20"/>
              </w:rPr>
            </w:pPr>
            <w:r w:rsidRPr="00692715">
              <w:rPr>
                <w:rFonts w:cstheme="minorBidi"/>
                <w:b/>
                <w:bCs/>
                <w:sz w:val="20"/>
              </w:rPr>
              <w:t>n (Teeth)</w:t>
            </w:r>
          </w:p>
        </w:tc>
        <w:tc>
          <w:tcPr>
            <w:tcW w:w="133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E7797" w:rsidRPr="00692715" w:rsidRDefault="001E7797" w:rsidP="00CB4108">
            <w:pPr>
              <w:jc w:val="center"/>
              <w:rPr>
                <w:rFonts w:cstheme="minorBidi"/>
                <w:b/>
                <w:bCs/>
                <w:sz w:val="20"/>
              </w:rPr>
            </w:pPr>
            <w:r w:rsidRPr="00692715">
              <w:rPr>
                <w:rFonts w:cstheme="minorBidi"/>
                <w:b/>
                <w:bCs/>
                <w:sz w:val="20"/>
              </w:rPr>
              <w:t>Dropout</w:t>
            </w:r>
          </w:p>
        </w:tc>
        <w:tc>
          <w:tcPr>
            <w:tcW w:w="151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E7797" w:rsidRPr="00692715" w:rsidRDefault="001E7797" w:rsidP="00ED5EDA">
            <w:pPr>
              <w:jc w:val="center"/>
              <w:rPr>
                <w:rFonts w:cstheme="minorBidi"/>
                <w:b/>
                <w:bCs/>
                <w:sz w:val="20"/>
              </w:rPr>
            </w:pPr>
            <w:r w:rsidRPr="00692715">
              <w:rPr>
                <w:rFonts w:cstheme="minorBidi"/>
                <w:b/>
                <w:bCs/>
                <w:sz w:val="20"/>
              </w:rPr>
              <w:t>Age (years)</w:t>
            </w:r>
          </w:p>
        </w:tc>
        <w:tc>
          <w:tcPr>
            <w:tcW w:w="1853"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E7797" w:rsidRPr="00692715" w:rsidRDefault="001E7797" w:rsidP="00ED5EDA">
            <w:pPr>
              <w:jc w:val="center"/>
              <w:rPr>
                <w:rFonts w:cstheme="minorBidi"/>
                <w:b/>
                <w:bCs/>
                <w:sz w:val="20"/>
              </w:rPr>
            </w:pPr>
            <w:r w:rsidRPr="00692715">
              <w:rPr>
                <w:rFonts w:cstheme="minorBidi"/>
                <w:b/>
                <w:bCs/>
                <w:sz w:val="20"/>
              </w:rPr>
              <w:t xml:space="preserve">Length of  </w:t>
            </w:r>
            <w:r w:rsidR="00E84D4E">
              <w:rPr>
                <w:rFonts w:cstheme="minorBidi"/>
                <w:b/>
                <w:bCs/>
                <w:sz w:val="20"/>
              </w:rPr>
              <w:t>follow-up</w:t>
            </w:r>
          </w:p>
        </w:tc>
        <w:tc>
          <w:tcPr>
            <w:tcW w:w="2507"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E7797" w:rsidRPr="00692715" w:rsidRDefault="001E7797" w:rsidP="00ED5EDA">
            <w:pPr>
              <w:jc w:val="center"/>
              <w:rPr>
                <w:rFonts w:cstheme="minorBidi"/>
                <w:b/>
                <w:bCs/>
                <w:sz w:val="20"/>
              </w:rPr>
            </w:pPr>
            <w:r w:rsidRPr="00692715">
              <w:rPr>
                <w:rFonts w:cstheme="minorBidi"/>
                <w:b/>
                <w:bCs/>
                <w:sz w:val="20"/>
              </w:rPr>
              <w:t>Intervention</w:t>
            </w:r>
          </w:p>
        </w:tc>
        <w:tc>
          <w:tcPr>
            <w:tcW w:w="28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E7797" w:rsidRPr="00692715" w:rsidRDefault="001E7797" w:rsidP="00CB4108">
            <w:pPr>
              <w:jc w:val="center"/>
              <w:rPr>
                <w:rFonts w:cstheme="minorBidi"/>
                <w:b/>
                <w:bCs/>
                <w:sz w:val="20"/>
              </w:rPr>
            </w:pPr>
            <w:r w:rsidRPr="00692715">
              <w:rPr>
                <w:rFonts w:cstheme="minorBidi"/>
                <w:b/>
                <w:bCs/>
                <w:sz w:val="20"/>
              </w:rPr>
              <w:t>Outcomes</w:t>
            </w:r>
          </w:p>
        </w:tc>
      </w:tr>
      <w:tr w:rsidR="00AD6668" w:rsidRPr="00692715" w:rsidTr="00007445">
        <w:trPr>
          <w:trHeight w:val="885"/>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7797" w:rsidRPr="00692715" w:rsidRDefault="001E7797" w:rsidP="00ED5EDA">
            <w:pPr>
              <w:jc w:val="center"/>
              <w:rPr>
                <w:rFonts w:cstheme="minorBidi"/>
                <w:b/>
                <w:bCs/>
                <w:sz w:val="20"/>
              </w:rPr>
            </w:pPr>
            <w:r w:rsidRPr="00692715">
              <w:rPr>
                <w:rFonts w:cstheme="minorBidi"/>
                <w:b/>
                <w:bCs/>
                <w:sz w:val="20"/>
              </w:rPr>
              <w:t>Pradhan et al 2006</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2</w:t>
            </w: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r w:rsidRPr="00692715">
              <w:rPr>
                <w:rFonts w:cstheme="minorBidi"/>
                <w:b/>
                <w:bCs/>
                <w:sz w:val="20"/>
              </w:rPr>
              <w:t>Exp= 10</w:t>
            </w:r>
          </w:p>
          <w:p w:rsidR="001E7797" w:rsidRPr="00692715" w:rsidRDefault="001E7797" w:rsidP="00ED5EDA">
            <w:pPr>
              <w:jc w:val="center"/>
              <w:rPr>
                <w:rFonts w:cstheme="minorBidi"/>
                <w:b/>
                <w:bCs/>
                <w:sz w:val="20"/>
              </w:rPr>
            </w:pPr>
            <w:r w:rsidRPr="00692715">
              <w:rPr>
                <w:rFonts w:cstheme="minorBidi"/>
                <w:b/>
                <w:bCs/>
                <w:sz w:val="20"/>
              </w:rPr>
              <w:t>Cont=10</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7797" w:rsidRPr="00692715" w:rsidRDefault="001E7797" w:rsidP="00ED5EDA">
            <w:pPr>
              <w:jc w:val="center"/>
              <w:rPr>
                <w:rFonts w:cstheme="minorBidi"/>
                <w:b/>
                <w:bCs/>
                <w:sz w:val="20"/>
              </w:rPr>
            </w:pPr>
            <w:r w:rsidRPr="00692715">
              <w:rPr>
                <w:rFonts w:cstheme="minorBidi"/>
                <w:b/>
                <w:bCs/>
                <w:sz w:val="20"/>
              </w:rPr>
              <w:t>Not reported</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8 – 15</w:t>
            </w:r>
          </w:p>
        </w:tc>
        <w:tc>
          <w:tcPr>
            <w:tcW w:w="1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r w:rsidRPr="00692715">
              <w:rPr>
                <w:rFonts w:cstheme="minorBidi"/>
                <w:b/>
                <w:bCs/>
                <w:sz w:val="20"/>
              </w:rPr>
              <w:t xml:space="preserve">No </w:t>
            </w:r>
            <w:r w:rsidR="00E84D4E">
              <w:rPr>
                <w:rFonts w:cstheme="minorBidi"/>
                <w:b/>
                <w:bCs/>
                <w:sz w:val="20"/>
              </w:rPr>
              <w:t>follow-up</w:t>
            </w:r>
            <w:r w:rsidRPr="00692715">
              <w:rPr>
                <w:rFonts w:cstheme="minorBidi"/>
                <w:b/>
                <w:bCs/>
                <w:sz w:val="20"/>
              </w:rPr>
              <w:t xml:space="preserve"> after obturation</w:t>
            </w:r>
          </w:p>
        </w:tc>
        <w:tc>
          <w:tcPr>
            <w:tcW w:w="25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E7797" w:rsidRPr="00692715" w:rsidRDefault="001E7797" w:rsidP="00CB4108">
            <w:pPr>
              <w:jc w:val="center"/>
              <w:rPr>
                <w:rFonts w:cstheme="minorBidi"/>
                <w:b/>
                <w:bCs/>
                <w:sz w:val="20"/>
              </w:rPr>
            </w:pPr>
            <w:r w:rsidRPr="00692715">
              <w:rPr>
                <w:rFonts w:cstheme="minorBidi"/>
                <w:b/>
                <w:bCs/>
                <w:sz w:val="20"/>
              </w:rPr>
              <w:t>Ca(</w:t>
            </w:r>
            <w:r w:rsidR="00CB4108">
              <w:rPr>
                <w:rFonts w:cstheme="minorBidi"/>
                <w:b/>
                <w:bCs/>
                <w:sz w:val="20"/>
              </w:rPr>
              <w:t>O</w:t>
            </w:r>
            <w:r w:rsidRPr="00692715">
              <w:rPr>
                <w:rFonts w:cstheme="minorBidi"/>
                <w:b/>
                <w:bCs/>
                <w:sz w:val="20"/>
              </w:rPr>
              <w:t>H)</w:t>
            </w:r>
            <w:r w:rsidRPr="00692715">
              <w:rPr>
                <w:rFonts w:cstheme="minorBidi"/>
                <w:b/>
                <w:bCs/>
                <w:sz w:val="20"/>
                <w:vertAlign w:val="subscript"/>
              </w:rPr>
              <w:t xml:space="preserve">2 </w:t>
            </w:r>
            <w:r w:rsidRPr="00692715">
              <w:rPr>
                <w:rFonts w:cstheme="minorBidi"/>
                <w:b/>
                <w:bCs/>
                <w:sz w:val="20"/>
              </w:rPr>
              <w:t>&amp; MTA Apexification</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100% success</w:t>
            </w:r>
          </w:p>
        </w:tc>
      </w:tr>
      <w:tr w:rsidR="00AD6668" w:rsidRPr="00692715" w:rsidTr="00007445">
        <w:trPr>
          <w:trHeight w:val="839"/>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E7797" w:rsidRPr="00692715" w:rsidRDefault="001E7797" w:rsidP="00601D70">
            <w:pPr>
              <w:jc w:val="center"/>
              <w:rPr>
                <w:rFonts w:cstheme="minorBidi"/>
                <w:b/>
                <w:bCs/>
                <w:sz w:val="20"/>
              </w:rPr>
            </w:pPr>
            <w:r w:rsidRPr="00692715">
              <w:rPr>
                <w:rFonts w:cstheme="minorBidi"/>
                <w:b/>
                <w:bCs/>
                <w:sz w:val="20"/>
              </w:rPr>
              <w:t>Sarris et al 200</w:t>
            </w:r>
            <w:r w:rsidR="00601D70">
              <w:rPr>
                <w:rFonts w:cstheme="minorBidi"/>
                <w:b/>
                <w:bCs/>
                <w:sz w:val="20"/>
              </w:rPr>
              <w:t>8</w:t>
            </w:r>
          </w:p>
          <w:p w:rsidR="001E7797" w:rsidRPr="00692715" w:rsidRDefault="001E7797" w:rsidP="00ED5EDA">
            <w:pPr>
              <w:jc w:val="center"/>
              <w:rPr>
                <w:rFonts w:cstheme="minorBidi"/>
                <w:b/>
                <w:bCs/>
                <w:sz w:val="20"/>
              </w:rPr>
            </w:pP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3</w:t>
            </w: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17 teeth</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7797" w:rsidRPr="00692715" w:rsidRDefault="001E7797" w:rsidP="00ED5EDA">
            <w:pPr>
              <w:jc w:val="center"/>
              <w:rPr>
                <w:rFonts w:cstheme="minorBidi"/>
                <w:b/>
                <w:bCs/>
                <w:sz w:val="20"/>
              </w:rPr>
            </w:pPr>
            <w:r w:rsidRPr="00692715">
              <w:rPr>
                <w:rFonts w:cstheme="minorBidi"/>
                <w:b/>
                <w:bCs/>
                <w:sz w:val="20"/>
              </w:rPr>
              <w:t>Not reported</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r w:rsidRPr="00692715">
              <w:rPr>
                <w:rFonts w:cstheme="minorBidi"/>
                <w:b/>
                <w:bCs/>
                <w:sz w:val="20"/>
              </w:rPr>
              <w:t>Mean age 11.7</w:t>
            </w:r>
          </w:p>
        </w:tc>
        <w:tc>
          <w:tcPr>
            <w:tcW w:w="1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r w:rsidRPr="00692715">
              <w:rPr>
                <w:rFonts w:cstheme="minorBidi"/>
                <w:b/>
                <w:bCs/>
                <w:sz w:val="20"/>
              </w:rPr>
              <w:t xml:space="preserve">mean </w:t>
            </w:r>
            <w:r w:rsidR="00E84D4E">
              <w:rPr>
                <w:rFonts w:cstheme="minorBidi"/>
                <w:b/>
                <w:bCs/>
                <w:sz w:val="20"/>
              </w:rPr>
              <w:t>follow-up</w:t>
            </w:r>
            <w:r w:rsidRPr="00692715">
              <w:rPr>
                <w:rFonts w:cstheme="minorBidi"/>
                <w:b/>
                <w:bCs/>
                <w:sz w:val="20"/>
              </w:rPr>
              <w:t>=12.53 mth</w:t>
            </w:r>
          </w:p>
        </w:tc>
        <w:tc>
          <w:tcPr>
            <w:tcW w:w="25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GMTA Apexification</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E7797" w:rsidRPr="00692715" w:rsidRDefault="001E7797" w:rsidP="00ED5EDA">
            <w:pPr>
              <w:jc w:val="center"/>
              <w:rPr>
                <w:rFonts w:cstheme="minorBidi"/>
                <w:b/>
                <w:bCs/>
                <w:sz w:val="20"/>
              </w:rPr>
            </w:pPr>
            <w:r w:rsidRPr="00692715">
              <w:rPr>
                <w:rFonts w:cstheme="minorBidi"/>
                <w:b/>
                <w:bCs/>
                <w:sz w:val="20"/>
              </w:rPr>
              <w:t>Clinically 94.1% success</w:t>
            </w:r>
          </w:p>
          <w:p w:rsidR="001E7797" w:rsidRPr="00692715" w:rsidRDefault="001E7797" w:rsidP="00ED5EDA">
            <w:pPr>
              <w:jc w:val="center"/>
              <w:rPr>
                <w:rFonts w:cstheme="minorBidi"/>
                <w:b/>
                <w:bCs/>
                <w:sz w:val="20"/>
              </w:rPr>
            </w:pPr>
            <w:r w:rsidRPr="00692715">
              <w:rPr>
                <w:rFonts w:cstheme="minorBidi"/>
                <w:b/>
                <w:bCs/>
                <w:sz w:val="20"/>
              </w:rPr>
              <w:t>Radiographically  76.5%</w:t>
            </w:r>
          </w:p>
        </w:tc>
      </w:tr>
      <w:tr w:rsidR="00AD6668" w:rsidRPr="00692715" w:rsidTr="00007445">
        <w:trPr>
          <w:trHeight w:val="838"/>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7797" w:rsidRPr="00692715" w:rsidRDefault="001E7797" w:rsidP="00ED5EDA">
            <w:pPr>
              <w:jc w:val="center"/>
              <w:rPr>
                <w:rFonts w:cstheme="minorBidi"/>
                <w:b/>
                <w:bCs/>
                <w:sz w:val="20"/>
              </w:rPr>
            </w:pPr>
            <w:r w:rsidRPr="00692715">
              <w:rPr>
                <w:rFonts w:cstheme="minorBidi"/>
                <w:b/>
                <w:bCs/>
                <w:sz w:val="20"/>
              </w:rPr>
              <w:t>Simon et al 2007</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1E7797" w:rsidRPr="00692715" w:rsidRDefault="001E7797" w:rsidP="00ED5EDA">
            <w:pPr>
              <w:jc w:val="center"/>
              <w:rPr>
                <w:rFonts w:cstheme="minorBidi"/>
                <w:b/>
                <w:bCs/>
                <w:sz w:val="20"/>
              </w:rPr>
            </w:pPr>
            <w:r w:rsidRPr="00692715">
              <w:rPr>
                <w:rFonts w:cstheme="minorBidi"/>
                <w:b/>
                <w:bCs/>
                <w:sz w:val="20"/>
              </w:rPr>
              <w:t>2</w:t>
            </w: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r w:rsidRPr="00692715">
              <w:rPr>
                <w:rFonts w:cstheme="minorBidi"/>
                <w:b/>
                <w:bCs/>
                <w:sz w:val="20"/>
              </w:rPr>
              <w:t>57 teeth</w:t>
            </w:r>
          </w:p>
          <w:p w:rsidR="001E7797" w:rsidRPr="00692715" w:rsidRDefault="001E7797" w:rsidP="00ED5EDA">
            <w:pPr>
              <w:jc w:val="center"/>
              <w:rPr>
                <w:rFonts w:cstheme="minorBidi"/>
                <w:b/>
                <w:bCs/>
                <w:sz w:val="20"/>
              </w:rPr>
            </w:pPr>
            <w:r w:rsidRPr="00692715">
              <w:rPr>
                <w:rFonts w:cstheme="minorBidi"/>
                <w:b/>
                <w:bCs/>
                <w:sz w:val="20"/>
              </w:rPr>
              <w:t>11GMTA</w:t>
            </w:r>
          </w:p>
          <w:p w:rsidR="001E7797" w:rsidRPr="00692715" w:rsidRDefault="001E7797" w:rsidP="00ED5EDA">
            <w:pPr>
              <w:jc w:val="center"/>
              <w:rPr>
                <w:rFonts w:cstheme="minorBidi"/>
                <w:b/>
                <w:bCs/>
                <w:sz w:val="20"/>
              </w:rPr>
            </w:pPr>
            <w:r w:rsidRPr="00692715">
              <w:rPr>
                <w:rFonts w:cstheme="minorBidi"/>
                <w:b/>
                <w:bCs/>
                <w:sz w:val="20"/>
              </w:rPr>
              <w:t>46WMTA</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7797" w:rsidRPr="00692715" w:rsidRDefault="001E7797" w:rsidP="00ED5EDA">
            <w:pPr>
              <w:jc w:val="center"/>
              <w:rPr>
                <w:rFonts w:cstheme="minorBidi"/>
                <w:b/>
                <w:bCs/>
                <w:sz w:val="20"/>
              </w:rPr>
            </w:pPr>
            <w:r w:rsidRPr="00692715">
              <w:rPr>
                <w:rFonts w:cstheme="minorBidi"/>
                <w:b/>
                <w:bCs/>
                <w:sz w:val="20"/>
              </w:rPr>
              <w:t>Not reported</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Mean age 18</w:t>
            </w:r>
          </w:p>
        </w:tc>
        <w:tc>
          <w:tcPr>
            <w:tcW w:w="1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7797" w:rsidRPr="00692715" w:rsidRDefault="001E7797" w:rsidP="00ED5EDA">
            <w:pPr>
              <w:jc w:val="center"/>
              <w:rPr>
                <w:rFonts w:cstheme="minorBidi"/>
                <w:b/>
                <w:bCs/>
                <w:sz w:val="20"/>
              </w:rPr>
            </w:pPr>
            <w:r w:rsidRPr="00692715">
              <w:rPr>
                <w:rFonts w:cstheme="minorBidi"/>
                <w:b/>
                <w:bCs/>
                <w:sz w:val="20"/>
              </w:rPr>
              <w:t>Every 6 mth for  2 years &amp; yearly thereafter/4yrs</w:t>
            </w:r>
          </w:p>
        </w:tc>
        <w:tc>
          <w:tcPr>
            <w:tcW w:w="25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E7797" w:rsidRPr="00692715" w:rsidRDefault="001E7797" w:rsidP="00ED5EDA">
            <w:pPr>
              <w:jc w:val="center"/>
              <w:rPr>
                <w:rFonts w:cstheme="minorBidi"/>
                <w:b/>
                <w:bCs/>
                <w:sz w:val="20"/>
              </w:rPr>
            </w:pPr>
            <w:r w:rsidRPr="00692715">
              <w:rPr>
                <w:rFonts w:cstheme="minorBidi"/>
                <w:b/>
                <w:bCs/>
                <w:sz w:val="20"/>
              </w:rPr>
              <w:t>WMTA  &amp; GMTA Apexification</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E7797" w:rsidRPr="00692715" w:rsidRDefault="001E7797" w:rsidP="00ED5EDA">
            <w:pPr>
              <w:jc w:val="center"/>
              <w:rPr>
                <w:rFonts w:cstheme="minorBidi"/>
                <w:b/>
                <w:bCs/>
                <w:sz w:val="20"/>
                <w:vertAlign w:val="subscript"/>
              </w:rPr>
            </w:pPr>
            <w:r w:rsidRPr="00692715">
              <w:rPr>
                <w:rFonts w:cstheme="minorBidi"/>
                <w:b/>
                <w:bCs/>
                <w:sz w:val="20"/>
              </w:rPr>
              <w:t xml:space="preserve">81% success with minimum one year </w:t>
            </w:r>
            <w:r w:rsidR="00E84D4E">
              <w:rPr>
                <w:rFonts w:cstheme="minorBidi"/>
                <w:b/>
                <w:bCs/>
                <w:sz w:val="20"/>
              </w:rPr>
              <w:t>follow-up</w:t>
            </w:r>
          </w:p>
          <w:p w:rsidR="001E7797" w:rsidRPr="00692715" w:rsidRDefault="001E7797" w:rsidP="00ED5EDA">
            <w:pPr>
              <w:jc w:val="center"/>
              <w:rPr>
                <w:rFonts w:cstheme="minorBidi"/>
                <w:b/>
                <w:bCs/>
                <w:sz w:val="20"/>
              </w:rPr>
            </w:pPr>
          </w:p>
        </w:tc>
      </w:tr>
      <w:tr w:rsidR="00AD6668" w:rsidRPr="00692715" w:rsidTr="00007445">
        <w:trPr>
          <w:trHeight w:val="842"/>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7797" w:rsidRPr="00692715" w:rsidRDefault="001E7797" w:rsidP="00ED5EDA">
            <w:pPr>
              <w:jc w:val="center"/>
              <w:rPr>
                <w:rFonts w:cstheme="minorBidi"/>
                <w:b/>
                <w:bCs/>
                <w:sz w:val="20"/>
              </w:rPr>
            </w:pPr>
            <w:r w:rsidRPr="00692715">
              <w:rPr>
                <w:rFonts w:cstheme="minorBidi"/>
                <w:b/>
                <w:bCs/>
                <w:sz w:val="20"/>
              </w:rPr>
              <w:t>Witherspoon et al 2008</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1E7797" w:rsidRPr="00692715" w:rsidRDefault="001E7797" w:rsidP="00ED5EDA">
            <w:pPr>
              <w:jc w:val="center"/>
              <w:rPr>
                <w:rFonts w:cstheme="minorBidi"/>
                <w:b/>
                <w:bCs/>
                <w:sz w:val="20"/>
              </w:rPr>
            </w:pPr>
            <w:r w:rsidRPr="00692715">
              <w:rPr>
                <w:rFonts w:cstheme="minorBidi"/>
                <w:b/>
                <w:bCs/>
                <w:sz w:val="20"/>
              </w:rPr>
              <w:t>2</w:t>
            </w: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r w:rsidRPr="00692715">
              <w:rPr>
                <w:rFonts w:cstheme="minorBidi"/>
                <w:b/>
                <w:bCs/>
                <w:sz w:val="20"/>
              </w:rPr>
              <w:t>144 teeth</w:t>
            </w:r>
          </w:p>
          <w:p w:rsidR="001E7797" w:rsidRPr="00692715" w:rsidRDefault="001E7797" w:rsidP="00ED5EDA">
            <w:pPr>
              <w:jc w:val="center"/>
              <w:rPr>
                <w:rFonts w:cstheme="minorBidi"/>
                <w:b/>
                <w:bCs/>
                <w:sz w:val="20"/>
              </w:rPr>
            </w:pPr>
            <w:r w:rsidRPr="00692715">
              <w:rPr>
                <w:rFonts w:cstheme="minorBidi"/>
                <w:b/>
                <w:bCs/>
                <w:sz w:val="20"/>
              </w:rPr>
              <w:t>92 I  Visit</w:t>
            </w:r>
          </w:p>
          <w:p w:rsidR="001E7797" w:rsidRPr="00692715" w:rsidRDefault="001E7797" w:rsidP="00ED5EDA">
            <w:pPr>
              <w:jc w:val="center"/>
              <w:rPr>
                <w:rFonts w:cstheme="minorBidi"/>
                <w:b/>
                <w:bCs/>
                <w:sz w:val="20"/>
              </w:rPr>
            </w:pPr>
            <w:r w:rsidRPr="00692715">
              <w:rPr>
                <w:rFonts w:cstheme="minorBidi"/>
                <w:b/>
                <w:bCs/>
                <w:sz w:val="20"/>
              </w:rPr>
              <w:t>52 II visit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r w:rsidRPr="00692715">
              <w:rPr>
                <w:rFonts w:cstheme="minorBidi"/>
                <w:b/>
                <w:bCs/>
                <w:sz w:val="20"/>
              </w:rPr>
              <w:t>Not reported</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r w:rsidRPr="00692715">
              <w:rPr>
                <w:rFonts w:cstheme="minorBidi"/>
                <w:b/>
                <w:bCs/>
                <w:sz w:val="20"/>
              </w:rPr>
              <w:t>Mean age 18.6</w:t>
            </w:r>
          </w:p>
        </w:tc>
        <w:tc>
          <w:tcPr>
            <w:tcW w:w="1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7797" w:rsidRPr="00692715" w:rsidRDefault="001E7797" w:rsidP="00ED5EDA">
            <w:pPr>
              <w:jc w:val="center"/>
              <w:rPr>
                <w:rFonts w:cstheme="minorBidi"/>
                <w:b/>
                <w:bCs/>
                <w:sz w:val="20"/>
              </w:rPr>
            </w:pPr>
            <w:r w:rsidRPr="00692715">
              <w:rPr>
                <w:rFonts w:cstheme="minorBidi"/>
                <w:b/>
                <w:bCs/>
                <w:sz w:val="20"/>
              </w:rPr>
              <w:t>The mean recall =19.4 months</w:t>
            </w:r>
          </w:p>
        </w:tc>
        <w:tc>
          <w:tcPr>
            <w:tcW w:w="25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MTA Apexification</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E7797" w:rsidRPr="00692715" w:rsidRDefault="001E7797" w:rsidP="00ED5EDA">
            <w:pPr>
              <w:jc w:val="center"/>
              <w:rPr>
                <w:rFonts w:cstheme="minorBidi"/>
                <w:b/>
                <w:bCs/>
                <w:sz w:val="20"/>
              </w:rPr>
            </w:pPr>
            <w:r w:rsidRPr="00692715">
              <w:rPr>
                <w:rFonts w:cstheme="minorBidi"/>
                <w:b/>
                <w:bCs/>
                <w:sz w:val="20"/>
              </w:rPr>
              <w:t>93.5% success with 1 visit &amp; 90.5%succcess  2 visit</w:t>
            </w:r>
          </w:p>
        </w:tc>
      </w:tr>
      <w:tr w:rsidR="00AD6668" w:rsidRPr="00692715" w:rsidTr="00007445">
        <w:trPr>
          <w:trHeight w:val="840"/>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7797" w:rsidRPr="00692715" w:rsidRDefault="001E7797" w:rsidP="00ED5EDA">
            <w:pPr>
              <w:jc w:val="center"/>
              <w:rPr>
                <w:rFonts w:cstheme="minorBidi"/>
                <w:b/>
                <w:bCs/>
                <w:sz w:val="20"/>
              </w:rPr>
            </w:pPr>
            <w:r w:rsidRPr="002A64FD">
              <w:rPr>
                <w:rFonts w:cstheme="minorBidi"/>
                <w:b/>
                <w:bCs/>
                <w:sz w:val="20"/>
              </w:rPr>
              <w:t>Pace</w:t>
            </w:r>
            <w:r w:rsidRPr="00692715">
              <w:rPr>
                <w:rFonts w:cstheme="minorBidi"/>
                <w:b/>
                <w:bCs/>
                <w:sz w:val="20"/>
              </w:rPr>
              <w:t xml:space="preserve"> et al 2007</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3</w:t>
            </w: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11 teeth</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r w:rsidRPr="00692715">
              <w:rPr>
                <w:rFonts w:cstheme="minorBidi"/>
                <w:b/>
                <w:bCs/>
                <w:sz w:val="20"/>
              </w:rPr>
              <w:t>Not reported</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7797" w:rsidRPr="00692715" w:rsidRDefault="001E7797" w:rsidP="00ED5EDA">
            <w:pPr>
              <w:jc w:val="center"/>
              <w:rPr>
                <w:rFonts w:cstheme="minorBidi"/>
                <w:b/>
                <w:bCs/>
                <w:sz w:val="20"/>
              </w:rPr>
            </w:pPr>
            <w:r w:rsidRPr="00692715">
              <w:rPr>
                <w:rFonts w:cstheme="minorBidi"/>
                <w:b/>
                <w:bCs/>
                <w:sz w:val="20"/>
              </w:rPr>
              <w:t>11 – 32</w:t>
            </w:r>
          </w:p>
        </w:tc>
        <w:tc>
          <w:tcPr>
            <w:tcW w:w="1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1 – 2 yrs</w:t>
            </w:r>
          </w:p>
        </w:tc>
        <w:tc>
          <w:tcPr>
            <w:tcW w:w="25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E7797" w:rsidRPr="00692715" w:rsidRDefault="001E7797" w:rsidP="00CB4108">
            <w:pPr>
              <w:jc w:val="center"/>
              <w:rPr>
                <w:rFonts w:cstheme="minorBidi"/>
                <w:b/>
                <w:bCs/>
                <w:sz w:val="20"/>
              </w:rPr>
            </w:pPr>
            <w:r w:rsidRPr="00692715">
              <w:rPr>
                <w:rFonts w:cstheme="minorBidi"/>
                <w:b/>
                <w:bCs/>
                <w:sz w:val="20"/>
              </w:rPr>
              <w:t>Ca(</w:t>
            </w:r>
            <w:r w:rsidR="00CB4108">
              <w:rPr>
                <w:rFonts w:cstheme="minorBidi"/>
                <w:b/>
                <w:bCs/>
                <w:sz w:val="20"/>
              </w:rPr>
              <w:t>O</w:t>
            </w:r>
            <w:r w:rsidRPr="00692715">
              <w:rPr>
                <w:rFonts w:cstheme="minorBidi"/>
                <w:b/>
                <w:bCs/>
                <w:sz w:val="20"/>
              </w:rPr>
              <w:t>H)</w:t>
            </w:r>
            <w:r w:rsidRPr="00692715">
              <w:rPr>
                <w:rFonts w:cstheme="minorBidi"/>
                <w:b/>
                <w:bCs/>
                <w:sz w:val="20"/>
                <w:vertAlign w:val="subscript"/>
              </w:rPr>
              <w:t>2</w:t>
            </w:r>
            <w:r w:rsidRPr="00692715">
              <w:rPr>
                <w:rFonts w:cstheme="minorBidi"/>
                <w:b/>
                <w:bCs/>
                <w:sz w:val="20"/>
              </w:rPr>
              <w:t xml:space="preserve"> / MTA Apexification</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E7797" w:rsidRPr="00692715" w:rsidRDefault="001E7797" w:rsidP="00ED5EDA">
            <w:pPr>
              <w:jc w:val="center"/>
              <w:rPr>
                <w:rFonts w:cstheme="minorBidi"/>
                <w:b/>
                <w:bCs/>
                <w:sz w:val="20"/>
              </w:rPr>
            </w:pPr>
            <w:r w:rsidRPr="00692715">
              <w:rPr>
                <w:rFonts w:cstheme="minorBidi"/>
                <w:b/>
                <w:bCs/>
                <w:sz w:val="20"/>
              </w:rPr>
              <w:t>10 out of 11=</w:t>
            </w:r>
          </w:p>
          <w:p w:rsidR="001E7797" w:rsidRPr="00692715" w:rsidRDefault="001E7797" w:rsidP="00ED5EDA">
            <w:pPr>
              <w:jc w:val="center"/>
              <w:rPr>
                <w:rFonts w:cstheme="minorBidi"/>
                <w:b/>
                <w:bCs/>
                <w:sz w:val="20"/>
              </w:rPr>
            </w:pPr>
            <w:r w:rsidRPr="00692715">
              <w:rPr>
                <w:rFonts w:cstheme="minorBidi"/>
                <w:b/>
                <w:bCs/>
                <w:sz w:val="20"/>
              </w:rPr>
              <w:t>90.9% success</w:t>
            </w:r>
          </w:p>
        </w:tc>
      </w:tr>
      <w:tr w:rsidR="00AD6668" w:rsidRPr="00692715" w:rsidTr="00007445">
        <w:trPr>
          <w:trHeight w:val="838"/>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7797" w:rsidRPr="00692715" w:rsidRDefault="001E7797" w:rsidP="00ED5EDA">
            <w:pPr>
              <w:jc w:val="center"/>
              <w:rPr>
                <w:rFonts w:cstheme="minorBidi"/>
                <w:b/>
                <w:bCs/>
                <w:sz w:val="20"/>
              </w:rPr>
            </w:pPr>
            <w:r w:rsidRPr="00692715">
              <w:rPr>
                <w:rFonts w:cstheme="minorBidi"/>
                <w:b/>
                <w:bCs/>
                <w:sz w:val="20"/>
              </w:rPr>
              <w:t>El meligy &amp; Avery 2006</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2</w:t>
            </w: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30 teeth</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7797" w:rsidRPr="00692715" w:rsidRDefault="001E7797" w:rsidP="00ED5EDA">
            <w:pPr>
              <w:jc w:val="center"/>
              <w:rPr>
                <w:rFonts w:cstheme="minorBidi"/>
                <w:b/>
                <w:bCs/>
                <w:sz w:val="20"/>
              </w:rPr>
            </w:pPr>
            <w:r w:rsidRPr="00692715">
              <w:rPr>
                <w:rFonts w:cstheme="minorBidi"/>
                <w:b/>
                <w:bCs/>
                <w:sz w:val="20"/>
              </w:rPr>
              <w:t>Not reported</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6-12</w:t>
            </w:r>
          </w:p>
        </w:tc>
        <w:tc>
          <w:tcPr>
            <w:tcW w:w="1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E84D4E" w:rsidP="00ED5EDA">
            <w:pPr>
              <w:jc w:val="center"/>
              <w:rPr>
                <w:rFonts w:cstheme="minorBidi"/>
                <w:b/>
                <w:bCs/>
                <w:sz w:val="20"/>
              </w:rPr>
            </w:pPr>
            <w:r>
              <w:rPr>
                <w:rFonts w:cstheme="minorBidi"/>
                <w:b/>
                <w:bCs/>
                <w:sz w:val="20"/>
              </w:rPr>
              <w:t>follow-up</w:t>
            </w:r>
            <w:r w:rsidR="001E7797" w:rsidRPr="00692715">
              <w:rPr>
                <w:rFonts w:cstheme="minorBidi"/>
                <w:b/>
                <w:bCs/>
                <w:sz w:val="20"/>
              </w:rPr>
              <w:t xml:space="preserve"> after obturation for one year</w:t>
            </w:r>
          </w:p>
        </w:tc>
        <w:tc>
          <w:tcPr>
            <w:tcW w:w="25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E7797" w:rsidRPr="00692715" w:rsidRDefault="001E7797" w:rsidP="00CB4108">
            <w:pPr>
              <w:jc w:val="center"/>
              <w:rPr>
                <w:rFonts w:cstheme="minorBidi"/>
                <w:b/>
                <w:bCs/>
                <w:sz w:val="20"/>
              </w:rPr>
            </w:pPr>
            <w:r w:rsidRPr="00692715">
              <w:rPr>
                <w:rFonts w:cstheme="minorBidi"/>
                <w:b/>
                <w:bCs/>
                <w:sz w:val="20"/>
              </w:rPr>
              <w:t>Ca(</w:t>
            </w:r>
            <w:r w:rsidR="00CB4108">
              <w:rPr>
                <w:rFonts w:cstheme="minorBidi"/>
                <w:b/>
                <w:bCs/>
                <w:sz w:val="20"/>
              </w:rPr>
              <w:t>O</w:t>
            </w:r>
            <w:r w:rsidRPr="00692715">
              <w:rPr>
                <w:rFonts w:cstheme="minorBidi"/>
                <w:b/>
                <w:bCs/>
                <w:sz w:val="20"/>
              </w:rPr>
              <w:t>H)</w:t>
            </w:r>
            <w:r w:rsidRPr="00692715">
              <w:rPr>
                <w:rFonts w:cstheme="minorBidi"/>
                <w:b/>
                <w:bCs/>
                <w:sz w:val="20"/>
                <w:vertAlign w:val="subscript"/>
              </w:rPr>
              <w:t xml:space="preserve">2 </w:t>
            </w:r>
            <w:r w:rsidRPr="00692715">
              <w:rPr>
                <w:rFonts w:cstheme="minorBidi"/>
                <w:b/>
                <w:bCs/>
                <w:sz w:val="20"/>
              </w:rPr>
              <w:t>&amp; MTA Apexification</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E7797" w:rsidRPr="00692715" w:rsidRDefault="001E7797" w:rsidP="00ED5EDA">
            <w:pPr>
              <w:jc w:val="center"/>
              <w:rPr>
                <w:rFonts w:cstheme="minorBidi"/>
                <w:b/>
                <w:bCs/>
                <w:sz w:val="20"/>
              </w:rPr>
            </w:pPr>
            <w:r w:rsidRPr="00692715">
              <w:rPr>
                <w:rFonts w:cstheme="minorBidi"/>
                <w:b/>
                <w:bCs/>
                <w:sz w:val="20"/>
              </w:rPr>
              <w:t>100% MTA success</w:t>
            </w:r>
          </w:p>
          <w:p w:rsidR="001E7797" w:rsidRPr="00692715" w:rsidRDefault="001E7797" w:rsidP="00CB4108">
            <w:pPr>
              <w:jc w:val="center"/>
              <w:rPr>
                <w:rFonts w:cstheme="minorBidi"/>
                <w:b/>
                <w:bCs/>
                <w:sz w:val="20"/>
              </w:rPr>
            </w:pPr>
            <w:r w:rsidRPr="00692715">
              <w:rPr>
                <w:rFonts w:cstheme="minorBidi"/>
                <w:b/>
                <w:bCs/>
                <w:sz w:val="20"/>
              </w:rPr>
              <w:t>87% Ca(</w:t>
            </w:r>
            <w:r w:rsidR="00CB4108">
              <w:rPr>
                <w:rFonts w:cstheme="minorBidi"/>
                <w:b/>
                <w:bCs/>
                <w:sz w:val="20"/>
              </w:rPr>
              <w:t>O</w:t>
            </w:r>
            <w:r w:rsidRPr="00692715">
              <w:rPr>
                <w:rFonts w:cstheme="minorBidi"/>
                <w:b/>
                <w:bCs/>
                <w:sz w:val="20"/>
              </w:rPr>
              <w:t>H)</w:t>
            </w:r>
            <w:r w:rsidRPr="00692715">
              <w:rPr>
                <w:rFonts w:cstheme="minorBidi"/>
                <w:b/>
                <w:bCs/>
                <w:sz w:val="20"/>
                <w:vertAlign w:val="subscript"/>
              </w:rPr>
              <w:t>2</w:t>
            </w:r>
            <w:r w:rsidRPr="00692715">
              <w:rPr>
                <w:rFonts w:cstheme="minorBidi"/>
                <w:b/>
                <w:bCs/>
                <w:sz w:val="20"/>
              </w:rPr>
              <w:t xml:space="preserve"> success</w:t>
            </w:r>
          </w:p>
        </w:tc>
      </w:tr>
      <w:tr w:rsidR="00AD6668" w:rsidRPr="00692715" w:rsidTr="00007445">
        <w:trPr>
          <w:trHeight w:val="983"/>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E7797" w:rsidRPr="00692715" w:rsidRDefault="00A15FA8" w:rsidP="00ED5EDA">
            <w:pPr>
              <w:jc w:val="center"/>
              <w:rPr>
                <w:rFonts w:cstheme="minorBidi"/>
                <w:b/>
                <w:bCs/>
                <w:sz w:val="20"/>
              </w:rPr>
            </w:pPr>
            <w:r w:rsidRPr="00A15FA8">
              <w:rPr>
                <w:b/>
                <w:bCs/>
                <w:sz w:val="20"/>
              </w:rPr>
              <w:t>Lindeboom</w:t>
            </w:r>
            <w:r w:rsidR="001E7797" w:rsidRPr="00A15FA8">
              <w:rPr>
                <w:rFonts w:cstheme="minorBidi"/>
                <w:b/>
                <w:bCs/>
                <w:sz w:val="20"/>
              </w:rPr>
              <w:t xml:space="preserve"> </w:t>
            </w:r>
            <w:r w:rsidR="001E7797" w:rsidRPr="00692715">
              <w:rPr>
                <w:rFonts w:cstheme="minorBidi"/>
                <w:b/>
                <w:bCs/>
                <w:sz w:val="20"/>
              </w:rPr>
              <w:t>et al 2005</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1E7797" w:rsidRPr="00692715" w:rsidRDefault="001E7797" w:rsidP="00ED5EDA">
            <w:pPr>
              <w:jc w:val="center"/>
              <w:rPr>
                <w:rFonts w:cstheme="minorBidi"/>
                <w:b/>
                <w:bCs/>
                <w:sz w:val="20"/>
              </w:rPr>
            </w:pPr>
            <w:r w:rsidRPr="00692715">
              <w:rPr>
                <w:rFonts w:cstheme="minorBidi"/>
                <w:b/>
                <w:bCs/>
                <w:sz w:val="20"/>
              </w:rPr>
              <w:t>1-</w:t>
            </w: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100 teeth</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7797" w:rsidRPr="00692715" w:rsidRDefault="001E7797" w:rsidP="00ED5EDA">
            <w:pPr>
              <w:jc w:val="center"/>
              <w:rPr>
                <w:rFonts w:cstheme="minorBidi"/>
                <w:b/>
                <w:bCs/>
                <w:sz w:val="20"/>
              </w:rPr>
            </w:pPr>
            <w:r w:rsidRPr="00692715">
              <w:rPr>
                <w:rFonts w:cstheme="minorBidi"/>
                <w:b/>
                <w:bCs/>
                <w:sz w:val="20"/>
              </w:rPr>
              <w:t>Not reported</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p>
          <w:p w:rsidR="001E7797" w:rsidRPr="00692715" w:rsidRDefault="001E7797" w:rsidP="00ED5EDA">
            <w:pPr>
              <w:jc w:val="center"/>
              <w:rPr>
                <w:rFonts w:cstheme="minorBidi"/>
                <w:b/>
                <w:bCs/>
                <w:sz w:val="20"/>
              </w:rPr>
            </w:pPr>
            <w:r w:rsidRPr="00692715">
              <w:rPr>
                <w:rFonts w:cstheme="minorBidi"/>
                <w:b/>
                <w:bCs/>
                <w:sz w:val="20"/>
              </w:rPr>
              <w:t>17 – 64</w:t>
            </w:r>
          </w:p>
        </w:tc>
        <w:tc>
          <w:tcPr>
            <w:tcW w:w="1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E84D4E" w:rsidP="00ED5EDA">
            <w:pPr>
              <w:jc w:val="center"/>
              <w:rPr>
                <w:rFonts w:cstheme="minorBidi"/>
                <w:b/>
                <w:bCs/>
                <w:sz w:val="20"/>
              </w:rPr>
            </w:pPr>
            <w:r>
              <w:rPr>
                <w:rFonts w:cstheme="minorBidi"/>
                <w:b/>
                <w:bCs/>
                <w:sz w:val="20"/>
              </w:rPr>
              <w:t>follow-up</w:t>
            </w:r>
            <w:r w:rsidR="001E7797" w:rsidRPr="00692715">
              <w:rPr>
                <w:rFonts w:cstheme="minorBidi"/>
                <w:b/>
                <w:bCs/>
                <w:sz w:val="20"/>
              </w:rPr>
              <w:t xml:space="preserve"> after obturation for one year</w:t>
            </w:r>
          </w:p>
        </w:tc>
        <w:tc>
          <w:tcPr>
            <w:tcW w:w="25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E7797" w:rsidRPr="00692715" w:rsidRDefault="001E7797" w:rsidP="00ED5EDA">
            <w:pPr>
              <w:jc w:val="center"/>
              <w:rPr>
                <w:rFonts w:cstheme="minorBidi"/>
                <w:b/>
                <w:bCs/>
                <w:sz w:val="20"/>
              </w:rPr>
            </w:pPr>
            <w:r w:rsidRPr="00692715">
              <w:rPr>
                <w:rFonts w:cstheme="minorBidi"/>
                <w:b/>
                <w:bCs/>
                <w:sz w:val="20"/>
              </w:rPr>
              <w:t>MTA &amp; IRM Apexification</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E7797" w:rsidRPr="00692715" w:rsidRDefault="001E7797" w:rsidP="00ED5EDA">
            <w:pPr>
              <w:jc w:val="center"/>
              <w:rPr>
                <w:rFonts w:cstheme="minorBidi"/>
                <w:b/>
                <w:bCs/>
                <w:sz w:val="20"/>
              </w:rPr>
            </w:pPr>
            <w:r w:rsidRPr="00692715">
              <w:rPr>
                <w:rFonts w:cstheme="minorBidi"/>
                <w:b/>
                <w:bCs/>
                <w:sz w:val="20"/>
              </w:rPr>
              <w:t>MTA scored 92% success after one year</w:t>
            </w:r>
          </w:p>
          <w:p w:rsidR="001E7797" w:rsidRPr="00692715" w:rsidRDefault="001E7797" w:rsidP="00ED5EDA">
            <w:pPr>
              <w:jc w:val="center"/>
              <w:rPr>
                <w:rFonts w:cstheme="minorBidi"/>
                <w:b/>
                <w:bCs/>
                <w:sz w:val="20"/>
              </w:rPr>
            </w:pPr>
            <w:r w:rsidRPr="00692715">
              <w:rPr>
                <w:rFonts w:cstheme="minorBidi"/>
                <w:b/>
                <w:bCs/>
                <w:sz w:val="20"/>
              </w:rPr>
              <w:t>BUT surgically managed</w:t>
            </w:r>
          </w:p>
          <w:p w:rsidR="001E7797" w:rsidRPr="00692715" w:rsidRDefault="001E7797" w:rsidP="00ED5EDA">
            <w:pPr>
              <w:jc w:val="center"/>
              <w:rPr>
                <w:rFonts w:cstheme="minorBidi"/>
                <w:b/>
                <w:bCs/>
                <w:sz w:val="20"/>
              </w:rPr>
            </w:pPr>
          </w:p>
        </w:tc>
      </w:tr>
      <w:tr w:rsidR="00AD6668" w:rsidRPr="00692715" w:rsidTr="00007445">
        <w:trPr>
          <w:trHeight w:val="977"/>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E7797" w:rsidRPr="00692715" w:rsidRDefault="001E7797" w:rsidP="00ED5EDA">
            <w:pPr>
              <w:jc w:val="center"/>
              <w:rPr>
                <w:rFonts w:cstheme="minorBidi"/>
                <w:b/>
                <w:bCs/>
                <w:sz w:val="20"/>
                <w:highlight w:val="yellow"/>
              </w:rPr>
            </w:pPr>
            <w:r w:rsidRPr="00692715">
              <w:rPr>
                <w:rFonts w:cstheme="minorBidi"/>
                <w:b/>
                <w:bCs/>
                <w:sz w:val="20"/>
              </w:rPr>
              <w:t>Holden et al 2008</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1E7797" w:rsidRPr="00692715" w:rsidRDefault="001E7797" w:rsidP="00ED5EDA">
            <w:pPr>
              <w:jc w:val="center"/>
              <w:rPr>
                <w:rFonts w:cstheme="minorBidi"/>
                <w:b/>
                <w:bCs/>
                <w:sz w:val="20"/>
              </w:rPr>
            </w:pPr>
            <w:r w:rsidRPr="00692715">
              <w:rPr>
                <w:rFonts w:cstheme="minorBidi"/>
                <w:b/>
                <w:bCs/>
                <w:sz w:val="20"/>
              </w:rPr>
              <w:t>2</w:t>
            </w: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r w:rsidRPr="00692715">
              <w:rPr>
                <w:rFonts w:cstheme="minorBidi"/>
                <w:b/>
                <w:bCs/>
                <w:sz w:val="20"/>
              </w:rPr>
              <w:t>20 teeth</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7797" w:rsidRPr="00692715" w:rsidRDefault="001E7797" w:rsidP="00ED5EDA">
            <w:pPr>
              <w:jc w:val="center"/>
              <w:rPr>
                <w:rFonts w:cstheme="minorBidi"/>
                <w:b/>
                <w:bCs/>
                <w:sz w:val="20"/>
              </w:rPr>
            </w:pPr>
            <w:r w:rsidRPr="00692715">
              <w:rPr>
                <w:rFonts w:cstheme="minorBidi"/>
                <w:b/>
                <w:bCs/>
                <w:sz w:val="20"/>
              </w:rPr>
              <w:t>Not reported</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1E7797" w:rsidP="00ED5EDA">
            <w:pPr>
              <w:jc w:val="center"/>
              <w:rPr>
                <w:rFonts w:cstheme="minorBidi"/>
                <w:b/>
                <w:bCs/>
                <w:sz w:val="20"/>
              </w:rPr>
            </w:pPr>
            <w:r w:rsidRPr="00692715">
              <w:rPr>
                <w:rFonts w:cstheme="minorBidi"/>
                <w:b/>
                <w:bCs/>
                <w:sz w:val="20"/>
              </w:rPr>
              <w:t>7 – 23</w:t>
            </w:r>
          </w:p>
        </w:tc>
        <w:tc>
          <w:tcPr>
            <w:tcW w:w="1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7797" w:rsidRPr="00692715" w:rsidRDefault="00E84D4E" w:rsidP="00ED5EDA">
            <w:pPr>
              <w:jc w:val="center"/>
              <w:rPr>
                <w:rFonts w:cstheme="minorBidi"/>
                <w:b/>
                <w:bCs/>
                <w:sz w:val="20"/>
              </w:rPr>
            </w:pPr>
            <w:r>
              <w:rPr>
                <w:rFonts w:cstheme="minorBidi"/>
                <w:b/>
                <w:bCs/>
                <w:sz w:val="20"/>
              </w:rPr>
              <w:t>follow-up</w:t>
            </w:r>
            <w:r w:rsidR="001E7797" w:rsidRPr="00692715">
              <w:rPr>
                <w:rFonts w:cstheme="minorBidi"/>
                <w:b/>
                <w:bCs/>
                <w:sz w:val="20"/>
              </w:rPr>
              <w:t xml:space="preserve"> after obturation</w:t>
            </w:r>
          </w:p>
          <w:p w:rsidR="001E7797" w:rsidRPr="00692715" w:rsidRDefault="001E7797" w:rsidP="00ED5EDA">
            <w:pPr>
              <w:jc w:val="center"/>
              <w:rPr>
                <w:rFonts w:cstheme="minorBidi"/>
                <w:b/>
                <w:bCs/>
                <w:sz w:val="20"/>
              </w:rPr>
            </w:pPr>
            <w:r w:rsidRPr="00692715">
              <w:rPr>
                <w:rFonts w:cstheme="minorBidi"/>
                <w:b/>
                <w:bCs/>
                <w:sz w:val="20"/>
              </w:rPr>
              <w:t>1yr – 3.8yrs</w:t>
            </w:r>
          </w:p>
        </w:tc>
        <w:tc>
          <w:tcPr>
            <w:tcW w:w="25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E7797" w:rsidRPr="00692715" w:rsidRDefault="001E7797" w:rsidP="00CB4108">
            <w:pPr>
              <w:jc w:val="center"/>
              <w:rPr>
                <w:rFonts w:cstheme="minorBidi"/>
                <w:b/>
                <w:bCs/>
                <w:sz w:val="20"/>
              </w:rPr>
            </w:pPr>
            <w:r w:rsidRPr="00692715">
              <w:rPr>
                <w:rFonts w:cstheme="minorBidi"/>
                <w:b/>
                <w:bCs/>
                <w:sz w:val="20"/>
                <w:lang w:val="en-US"/>
              </w:rPr>
              <w:t xml:space="preserve">5.25 - 6% </w:t>
            </w:r>
            <w:r w:rsidRPr="00692715">
              <w:rPr>
                <w:rFonts w:cstheme="minorBidi"/>
                <w:b/>
                <w:bCs/>
                <w:sz w:val="20"/>
              </w:rPr>
              <w:t>NaOCl + Ca(</w:t>
            </w:r>
            <w:r w:rsidR="00CB4108">
              <w:rPr>
                <w:rFonts w:cstheme="minorBidi"/>
                <w:b/>
                <w:bCs/>
                <w:sz w:val="20"/>
              </w:rPr>
              <w:t>O</w:t>
            </w:r>
            <w:r w:rsidRPr="00692715">
              <w:rPr>
                <w:rFonts w:cstheme="minorBidi"/>
                <w:b/>
                <w:bCs/>
                <w:sz w:val="20"/>
              </w:rPr>
              <w:t>H)</w:t>
            </w:r>
            <w:r w:rsidRPr="00692715">
              <w:rPr>
                <w:rFonts w:cstheme="minorBidi"/>
                <w:b/>
                <w:bCs/>
                <w:sz w:val="20"/>
                <w:vertAlign w:val="subscript"/>
              </w:rPr>
              <w:t xml:space="preserve">2 </w:t>
            </w:r>
            <w:r w:rsidRPr="00692715">
              <w:rPr>
                <w:rFonts w:cstheme="minorBidi"/>
                <w:b/>
                <w:bCs/>
                <w:sz w:val="20"/>
              </w:rPr>
              <w:t>+(MTA</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E7797" w:rsidRPr="00692715" w:rsidRDefault="001E7797" w:rsidP="00ED5EDA">
            <w:pPr>
              <w:jc w:val="center"/>
              <w:rPr>
                <w:rFonts w:cstheme="minorBidi"/>
                <w:b/>
                <w:bCs/>
                <w:sz w:val="20"/>
              </w:rPr>
            </w:pPr>
            <w:r w:rsidRPr="00692715">
              <w:rPr>
                <w:rFonts w:cstheme="minorBidi"/>
                <w:b/>
                <w:bCs/>
                <w:sz w:val="20"/>
              </w:rPr>
              <w:t>85% success</w:t>
            </w:r>
          </w:p>
          <w:p w:rsidR="001E7797" w:rsidRPr="00692715" w:rsidRDefault="001E7797" w:rsidP="00ED5EDA">
            <w:pPr>
              <w:jc w:val="center"/>
              <w:rPr>
                <w:rFonts w:cstheme="minorBidi"/>
                <w:b/>
                <w:bCs/>
                <w:sz w:val="20"/>
              </w:rPr>
            </w:pPr>
          </w:p>
        </w:tc>
      </w:tr>
    </w:tbl>
    <w:p w:rsidR="008441CB" w:rsidRPr="00B013ED" w:rsidRDefault="008441CB" w:rsidP="008441CB">
      <w:pPr>
        <w:rPr>
          <w:rFonts w:cstheme="minorBidi"/>
          <w:b/>
        </w:rPr>
      </w:pPr>
    </w:p>
    <w:p w:rsidR="008441CB" w:rsidRPr="00B013ED" w:rsidRDefault="008441CB" w:rsidP="008441CB">
      <w:pPr>
        <w:ind w:left="1440" w:hanging="1440"/>
        <w:rPr>
          <w:rFonts w:cstheme="minorBidi"/>
          <w:b/>
        </w:rPr>
        <w:sectPr w:rsidR="008441CB" w:rsidRPr="00B013ED" w:rsidSect="00365534">
          <w:pgSz w:w="16838" w:h="11906" w:orient="landscape"/>
          <w:pgMar w:top="1440" w:right="1298" w:bottom="1151" w:left="2268" w:header="709" w:footer="709" w:gutter="0"/>
          <w:cols w:space="708"/>
          <w:docGrid w:linePitch="360"/>
        </w:sectPr>
      </w:pPr>
    </w:p>
    <w:p w:rsidR="008441CB" w:rsidRPr="00B013ED" w:rsidRDefault="008441CB" w:rsidP="00007445">
      <w:pPr>
        <w:rPr>
          <w:rFonts w:cstheme="minorBidi"/>
          <w:b/>
        </w:rPr>
      </w:pPr>
    </w:p>
    <w:p w:rsidR="008441CB" w:rsidRPr="00B013ED" w:rsidRDefault="008441CB" w:rsidP="00AD6668">
      <w:pPr>
        <w:pStyle w:val="Heading4"/>
        <w:spacing w:line="480" w:lineRule="auto"/>
      </w:pPr>
      <w:bookmarkStart w:id="76" w:name="_Toc359995764"/>
      <w:r w:rsidRPr="00B013ED">
        <w:t>Disadvantages of MTA</w:t>
      </w:r>
      <w:bookmarkEnd w:id="76"/>
    </w:p>
    <w:p w:rsidR="008441CB" w:rsidRPr="00B013ED" w:rsidRDefault="008441CB" w:rsidP="002320D8">
      <w:pPr>
        <w:autoSpaceDE w:val="0"/>
        <w:autoSpaceDN w:val="0"/>
        <w:adjustRightInd w:val="0"/>
        <w:spacing w:line="480" w:lineRule="auto"/>
        <w:jc w:val="both"/>
        <w:rPr>
          <w:rFonts w:cstheme="minorBidi"/>
        </w:rPr>
      </w:pPr>
      <w:r w:rsidRPr="00B013ED">
        <w:rPr>
          <w:rFonts w:cstheme="minorBidi"/>
        </w:rPr>
        <w:t xml:space="preserve">Two potential problems have been reported with the use of MTA.  </w:t>
      </w:r>
    </w:p>
    <w:p w:rsidR="008441CB" w:rsidRPr="00B013ED" w:rsidRDefault="008441CB" w:rsidP="002320D8">
      <w:pPr>
        <w:pStyle w:val="ListParagraph"/>
        <w:numPr>
          <w:ilvl w:val="0"/>
          <w:numId w:val="50"/>
        </w:numPr>
        <w:autoSpaceDE w:val="0"/>
        <w:autoSpaceDN w:val="0"/>
        <w:adjustRightInd w:val="0"/>
        <w:spacing w:after="0" w:line="480" w:lineRule="auto"/>
        <w:jc w:val="both"/>
        <w:rPr>
          <w:rFonts w:cstheme="minorBidi"/>
          <w:szCs w:val="24"/>
        </w:rPr>
      </w:pPr>
      <w:r w:rsidRPr="00B013ED">
        <w:rPr>
          <w:rFonts w:cstheme="minorBidi"/>
          <w:szCs w:val="24"/>
        </w:rPr>
        <w:t xml:space="preserve">Discolouration of the crown (Adamidou et al, 2010) leading to poor aesthetics in </w:t>
      </w:r>
      <w:r w:rsidR="00CB4108">
        <w:rPr>
          <w:rFonts w:cstheme="minorBidi"/>
          <w:szCs w:val="24"/>
        </w:rPr>
        <w:t xml:space="preserve">the </w:t>
      </w:r>
      <w:r w:rsidRPr="00B013ED">
        <w:rPr>
          <w:rFonts w:cstheme="minorBidi"/>
          <w:szCs w:val="24"/>
        </w:rPr>
        <w:t>long term</w:t>
      </w:r>
      <w:r w:rsidR="00CB4108">
        <w:rPr>
          <w:rFonts w:cstheme="minorBidi"/>
          <w:szCs w:val="24"/>
        </w:rPr>
        <w:t>.</w:t>
      </w:r>
    </w:p>
    <w:p w:rsidR="008441CB" w:rsidRPr="00B013ED" w:rsidRDefault="008441CB" w:rsidP="002320D8">
      <w:pPr>
        <w:spacing w:line="480" w:lineRule="auto"/>
        <w:jc w:val="both"/>
        <w:rPr>
          <w:b/>
          <w:bCs/>
        </w:rPr>
      </w:pPr>
      <w:bookmarkStart w:id="77" w:name="_Toc359995765"/>
      <w:r w:rsidRPr="00B013ED">
        <w:rPr>
          <w:b/>
          <w:bCs/>
        </w:rPr>
        <w:t>Level of evidence = D</w:t>
      </w:r>
      <w:bookmarkEnd w:id="77"/>
    </w:p>
    <w:p w:rsidR="008441CB" w:rsidRPr="00B013ED" w:rsidRDefault="008441CB" w:rsidP="002320D8">
      <w:pPr>
        <w:pStyle w:val="ListParagraph"/>
        <w:numPr>
          <w:ilvl w:val="0"/>
          <w:numId w:val="50"/>
        </w:numPr>
        <w:autoSpaceDE w:val="0"/>
        <w:autoSpaceDN w:val="0"/>
        <w:adjustRightInd w:val="0"/>
        <w:spacing w:after="0" w:line="480" w:lineRule="auto"/>
        <w:jc w:val="both"/>
        <w:rPr>
          <w:rFonts w:cstheme="minorBidi"/>
          <w:szCs w:val="24"/>
        </w:rPr>
      </w:pPr>
      <w:r w:rsidRPr="00B013ED">
        <w:rPr>
          <w:rFonts w:cstheme="minorBidi"/>
          <w:szCs w:val="24"/>
        </w:rPr>
        <w:t>Contributes to increased brittleness of dentin</w:t>
      </w:r>
      <w:r w:rsidR="00CB4108">
        <w:rPr>
          <w:rFonts w:cstheme="minorBidi"/>
          <w:szCs w:val="24"/>
        </w:rPr>
        <w:t>e</w:t>
      </w:r>
      <w:r w:rsidRPr="00B013ED">
        <w:rPr>
          <w:rFonts w:cstheme="minorBidi"/>
          <w:szCs w:val="24"/>
        </w:rPr>
        <w:t xml:space="preserve"> and decrease in the fracture resistance of the tooth (Twati et al, 2011, unpublished work).</w:t>
      </w:r>
    </w:p>
    <w:p w:rsidR="008441CB" w:rsidRPr="00912C5E" w:rsidRDefault="008441CB" w:rsidP="00912C5E">
      <w:pPr>
        <w:spacing w:line="480" w:lineRule="auto"/>
        <w:jc w:val="both"/>
        <w:rPr>
          <w:b/>
          <w:bCs/>
        </w:rPr>
      </w:pPr>
      <w:bookmarkStart w:id="78" w:name="_Toc359995766"/>
      <w:r w:rsidRPr="00B013ED">
        <w:rPr>
          <w:b/>
          <w:bCs/>
        </w:rPr>
        <w:t>Level of evidence = D</w:t>
      </w:r>
      <w:bookmarkEnd w:id="78"/>
    </w:p>
    <w:p w:rsidR="008441CB" w:rsidRPr="00B013ED" w:rsidRDefault="008441CB" w:rsidP="002320D8">
      <w:pPr>
        <w:pStyle w:val="Heading3"/>
        <w:spacing w:line="480" w:lineRule="auto"/>
        <w:jc w:val="both"/>
      </w:pPr>
      <w:bookmarkStart w:id="79" w:name="_Toc359995767"/>
      <w:bookmarkStart w:id="80" w:name="_Toc370819196"/>
      <w:r w:rsidRPr="00B013ED">
        <w:t>Reinforcement of the coronal portion after endodontic management</w:t>
      </w:r>
      <w:bookmarkEnd w:id="79"/>
      <w:bookmarkEnd w:id="80"/>
    </w:p>
    <w:p w:rsidR="008441CB" w:rsidRPr="00B013ED" w:rsidRDefault="008441CB" w:rsidP="002320D8">
      <w:pPr>
        <w:tabs>
          <w:tab w:val="left" w:pos="360"/>
        </w:tabs>
        <w:spacing w:before="120" w:line="480" w:lineRule="auto"/>
        <w:jc w:val="both"/>
        <w:rPr>
          <w:rFonts w:cstheme="minorBidi"/>
        </w:rPr>
      </w:pPr>
      <w:r w:rsidRPr="00B013ED">
        <w:rPr>
          <w:rFonts w:cstheme="minorBidi"/>
        </w:rPr>
        <w:t xml:space="preserve">It is important to reinforce the coronal protion at the time of final restoration in order to increase the fracture resistance of endodontically managed immature teeth.  There is a high frequency of coronal fractures reported for such teeth.  </w:t>
      </w:r>
    </w:p>
    <w:p w:rsidR="008441CB" w:rsidRPr="00B013ED" w:rsidRDefault="008441CB" w:rsidP="002320D8">
      <w:pPr>
        <w:spacing w:line="480" w:lineRule="auto"/>
        <w:jc w:val="both"/>
        <w:rPr>
          <w:rFonts w:cstheme="minorBidi"/>
          <w:bCs/>
        </w:rPr>
      </w:pPr>
      <w:r w:rsidRPr="00B013ED">
        <w:rPr>
          <w:rFonts w:cstheme="minorBidi"/>
          <w:b/>
        </w:rPr>
        <w:t xml:space="preserve">Cvek M.  </w:t>
      </w:r>
      <w:r w:rsidRPr="00B013ED">
        <w:rPr>
          <w:rFonts w:cstheme="minorBidi"/>
          <w:bCs/>
        </w:rPr>
        <w:t xml:space="preserve">Prognosis of luxated treated with calcium hydroxide and filled with gutta percha. </w:t>
      </w:r>
      <w:proofErr w:type="gramStart"/>
      <w:r w:rsidRPr="00B013ED">
        <w:rPr>
          <w:rFonts w:cstheme="minorBidi"/>
          <w:bCs/>
        </w:rPr>
        <w:t>A retrospective clinical study.</w:t>
      </w:r>
      <w:proofErr w:type="gramEnd"/>
      <w:r w:rsidRPr="00B013ED">
        <w:rPr>
          <w:rFonts w:cstheme="minorBidi"/>
          <w:bCs/>
        </w:rPr>
        <w:t xml:space="preserve"> </w:t>
      </w:r>
      <w:proofErr w:type="gramStart"/>
      <w:r w:rsidRPr="00B013ED">
        <w:rPr>
          <w:rFonts w:cstheme="minorBidi"/>
          <w:bCs/>
        </w:rPr>
        <w:t>Endodontics and Dental traumatology.</w:t>
      </w:r>
      <w:proofErr w:type="gramEnd"/>
      <w:r w:rsidRPr="00B013ED">
        <w:rPr>
          <w:rFonts w:cstheme="minorBidi"/>
          <w:bCs/>
        </w:rPr>
        <w:t xml:space="preserve"> </w:t>
      </w:r>
      <w:proofErr w:type="gramStart"/>
      <w:r w:rsidRPr="00B013ED">
        <w:rPr>
          <w:rFonts w:cstheme="minorBidi"/>
          <w:bCs/>
        </w:rPr>
        <w:t>1992; 8:45-55.</w:t>
      </w:r>
      <w:proofErr w:type="gramEnd"/>
    </w:p>
    <w:p w:rsidR="008441CB" w:rsidRPr="00B013ED" w:rsidRDefault="008441CB" w:rsidP="002320D8">
      <w:pPr>
        <w:jc w:val="both"/>
        <w:rPr>
          <w:b/>
          <w:bCs/>
        </w:rPr>
      </w:pPr>
      <w:bookmarkStart w:id="81" w:name="_Toc359995768"/>
      <w:r w:rsidRPr="00B013ED">
        <w:rPr>
          <w:b/>
          <w:bCs/>
        </w:rPr>
        <w:t>Level of evidence = C</w:t>
      </w:r>
      <w:bookmarkEnd w:id="81"/>
    </w:p>
    <w:p w:rsidR="008441CB" w:rsidRPr="00B013ED" w:rsidRDefault="008441CB" w:rsidP="002320D8">
      <w:pPr>
        <w:tabs>
          <w:tab w:val="left" w:pos="360"/>
        </w:tabs>
        <w:spacing w:before="120" w:line="480" w:lineRule="auto"/>
        <w:jc w:val="both"/>
        <w:rPr>
          <w:rFonts w:cstheme="minorBidi"/>
        </w:rPr>
      </w:pPr>
      <w:r w:rsidRPr="00B013ED">
        <w:rPr>
          <w:rFonts w:cstheme="minorBidi"/>
        </w:rPr>
        <w:t>There is some evidence that fibre posts might be superior to other forms of restorations.</w:t>
      </w:r>
    </w:p>
    <w:p w:rsidR="008441CB" w:rsidRPr="00B013ED" w:rsidRDefault="008441CB" w:rsidP="002320D8">
      <w:pPr>
        <w:spacing w:line="480" w:lineRule="auto"/>
        <w:jc w:val="both"/>
        <w:rPr>
          <w:rFonts w:cstheme="minorBidi"/>
          <w:bCs/>
        </w:rPr>
      </w:pPr>
      <w:r w:rsidRPr="00B013ED">
        <w:rPr>
          <w:rFonts w:cstheme="minorBidi"/>
          <w:b/>
        </w:rPr>
        <w:t xml:space="preserve">Bateman G, Ricketts D.N.J, Saunders W.P. </w:t>
      </w:r>
      <w:r w:rsidRPr="00B013ED">
        <w:rPr>
          <w:rFonts w:cstheme="minorBidi"/>
          <w:bCs/>
        </w:rPr>
        <w:t xml:space="preserve">Fibre-based post systems: a review. </w:t>
      </w:r>
      <w:proofErr w:type="gramStart"/>
      <w:r w:rsidRPr="00B013ED">
        <w:rPr>
          <w:rFonts w:cstheme="minorBidi"/>
          <w:bCs/>
        </w:rPr>
        <w:t>British Dental Journal.</w:t>
      </w:r>
      <w:proofErr w:type="gramEnd"/>
      <w:r w:rsidRPr="00B013ED">
        <w:rPr>
          <w:rFonts w:cstheme="minorBidi"/>
          <w:bCs/>
        </w:rPr>
        <w:t xml:space="preserve"> </w:t>
      </w:r>
      <w:proofErr w:type="gramStart"/>
      <w:r w:rsidRPr="00B013ED">
        <w:rPr>
          <w:rFonts w:cstheme="minorBidi"/>
          <w:bCs/>
        </w:rPr>
        <w:t>2003; 195: 43-48.</w:t>
      </w:r>
      <w:proofErr w:type="gramEnd"/>
    </w:p>
    <w:p w:rsidR="008441CB" w:rsidRPr="00B013ED" w:rsidRDefault="008441CB" w:rsidP="002320D8">
      <w:pPr>
        <w:spacing w:line="480" w:lineRule="auto"/>
        <w:jc w:val="both"/>
        <w:rPr>
          <w:rFonts w:cstheme="minorBidi"/>
          <w:bCs/>
        </w:rPr>
      </w:pPr>
      <w:r w:rsidRPr="00B013ED">
        <w:rPr>
          <w:rFonts w:cstheme="minorBidi"/>
          <w:b/>
        </w:rPr>
        <w:lastRenderedPageBreak/>
        <w:t xml:space="preserve">Al Ansari A. </w:t>
      </w:r>
      <w:r w:rsidRPr="00B013ED">
        <w:rPr>
          <w:rFonts w:cstheme="minorBidi"/>
          <w:bCs/>
        </w:rPr>
        <w:t xml:space="preserve">Which type of post and core system should be used? Evidence based Dentistry. </w:t>
      </w:r>
      <w:proofErr w:type="gramStart"/>
      <w:r w:rsidRPr="00B013ED">
        <w:rPr>
          <w:rFonts w:cstheme="minorBidi"/>
          <w:bCs/>
        </w:rPr>
        <w:t>2007; 8:5-6.</w:t>
      </w:r>
      <w:proofErr w:type="gramEnd"/>
    </w:p>
    <w:p w:rsidR="008441CB" w:rsidRPr="00B013ED" w:rsidRDefault="008441CB" w:rsidP="002320D8">
      <w:pPr>
        <w:spacing w:line="480" w:lineRule="auto"/>
        <w:jc w:val="both"/>
        <w:rPr>
          <w:b/>
          <w:bCs/>
        </w:rPr>
      </w:pPr>
      <w:bookmarkStart w:id="82" w:name="_Toc359995769"/>
      <w:r w:rsidRPr="00B013ED">
        <w:rPr>
          <w:b/>
          <w:bCs/>
        </w:rPr>
        <w:t>Level of Evidence= A</w:t>
      </w:r>
      <w:bookmarkEnd w:id="82"/>
    </w:p>
    <w:p w:rsidR="008441CB" w:rsidRPr="00B013ED" w:rsidRDefault="008441CB" w:rsidP="002320D8">
      <w:pPr>
        <w:pStyle w:val="Heading4"/>
        <w:spacing w:line="480" w:lineRule="auto"/>
        <w:jc w:val="both"/>
      </w:pPr>
      <w:bookmarkStart w:id="83" w:name="_Toc359995770"/>
      <w:r w:rsidRPr="00B013ED">
        <w:t>Coronal seal</w:t>
      </w:r>
      <w:bookmarkEnd w:id="83"/>
    </w:p>
    <w:p w:rsidR="008441CB" w:rsidRPr="00B013ED" w:rsidRDefault="008441CB" w:rsidP="002320D8">
      <w:pPr>
        <w:spacing w:line="480" w:lineRule="auto"/>
        <w:jc w:val="both"/>
        <w:rPr>
          <w:rFonts w:cstheme="minorBidi"/>
        </w:rPr>
      </w:pPr>
      <w:r w:rsidRPr="00B013ED">
        <w:rPr>
          <w:rFonts w:cstheme="minorBidi"/>
        </w:rPr>
        <w:t xml:space="preserve">It is important to create a leak-proof coronal seal in order to prevent reinfection of the root canal with microorganisms as there is some evidence that coronal leakage contributes to the failure of endodontic treatment. </w:t>
      </w:r>
    </w:p>
    <w:p w:rsidR="008441CB" w:rsidRPr="00B013ED" w:rsidRDefault="008441CB" w:rsidP="002320D8">
      <w:pPr>
        <w:spacing w:line="480" w:lineRule="auto"/>
        <w:jc w:val="both"/>
        <w:rPr>
          <w:rFonts w:cstheme="minorBidi"/>
          <w:bCs/>
        </w:rPr>
      </w:pPr>
      <w:r w:rsidRPr="00B013ED">
        <w:rPr>
          <w:rFonts w:cstheme="minorBidi"/>
          <w:b/>
          <w:bCs/>
        </w:rPr>
        <w:t xml:space="preserve">Quality guidelines for the endodontic treatment: consensus report of the European Society of </w:t>
      </w:r>
      <w:proofErr w:type="gramStart"/>
      <w:r w:rsidRPr="00B013ED">
        <w:rPr>
          <w:rFonts w:cstheme="minorBidi"/>
          <w:b/>
          <w:bCs/>
        </w:rPr>
        <w:t>Endodontology  2006</w:t>
      </w:r>
      <w:proofErr w:type="gramEnd"/>
      <w:r w:rsidRPr="00B013ED">
        <w:rPr>
          <w:rFonts w:cstheme="minorBidi"/>
          <w:b/>
          <w:bCs/>
        </w:rPr>
        <w:t>.</w:t>
      </w:r>
      <w:r w:rsidRPr="00B013ED">
        <w:rPr>
          <w:rFonts w:cstheme="minorBidi"/>
        </w:rPr>
        <w:t xml:space="preserve"> </w:t>
      </w:r>
      <w:proofErr w:type="gramStart"/>
      <w:r w:rsidRPr="00B013ED">
        <w:rPr>
          <w:rFonts w:cstheme="minorBidi"/>
          <w:bCs/>
        </w:rPr>
        <w:t>International Endodontic Journal.</w:t>
      </w:r>
      <w:proofErr w:type="gramEnd"/>
      <w:r w:rsidRPr="00B013ED">
        <w:rPr>
          <w:rFonts w:cstheme="minorBidi"/>
          <w:bCs/>
        </w:rPr>
        <w:t xml:space="preserve"> </w:t>
      </w:r>
      <w:proofErr w:type="gramStart"/>
      <w:r w:rsidRPr="00B013ED">
        <w:rPr>
          <w:rFonts w:cstheme="minorBidi"/>
          <w:bCs/>
        </w:rPr>
        <w:t xml:space="preserve">2006; </w:t>
      </w:r>
      <w:r w:rsidRPr="00B013ED">
        <w:rPr>
          <w:rFonts w:cstheme="minorBidi"/>
          <w:b/>
          <w:bCs/>
        </w:rPr>
        <w:t>39</w:t>
      </w:r>
      <w:r w:rsidRPr="00B013ED">
        <w:rPr>
          <w:rFonts w:cstheme="minorBidi"/>
          <w:bCs/>
        </w:rPr>
        <w:t>: 921-930.</w:t>
      </w:r>
      <w:proofErr w:type="gramEnd"/>
    </w:p>
    <w:p w:rsidR="008441CB" w:rsidRPr="00AE3AAD" w:rsidRDefault="008441CB" w:rsidP="002320D8">
      <w:pPr>
        <w:jc w:val="both"/>
        <w:rPr>
          <w:b/>
          <w:bCs/>
        </w:rPr>
      </w:pPr>
      <w:bookmarkStart w:id="84" w:name="_Toc359995771"/>
      <w:r w:rsidRPr="00B013ED">
        <w:rPr>
          <w:b/>
          <w:bCs/>
        </w:rPr>
        <w:t>Level of Evidence= D</w:t>
      </w:r>
      <w:bookmarkEnd w:id="84"/>
    </w:p>
    <w:p w:rsidR="008441CB" w:rsidRPr="008B47D9" w:rsidRDefault="008441CB" w:rsidP="008B47D9">
      <w:pPr>
        <w:pStyle w:val="Heading3"/>
        <w:spacing w:line="480" w:lineRule="auto"/>
      </w:pPr>
      <w:r w:rsidRPr="00B013ED">
        <w:rPr>
          <w:rFonts w:cstheme="minorBidi"/>
        </w:rPr>
        <w:br w:type="page"/>
      </w:r>
      <w:bookmarkStart w:id="85" w:name="_Toc359995772"/>
      <w:bookmarkStart w:id="86" w:name="_Toc370819197"/>
      <w:r w:rsidR="008B47D9" w:rsidRPr="008B47D9">
        <w:lastRenderedPageBreak/>
        <w:t xml:space="preserve">Biological Methods </w:t>
      </w:r>
      <w:proofErr w:type="gramStart"/>
      <w:r w:rsidR="008B47D9" w:rsidRPr="008B47D9">
        <w:t>The</w:t>
      </w:r>
      <w:proofErr w:type="gramEnd"/>
      <w:r w:rsidR="004776C0">
        <w:t xml:space="preserve"> </w:t>
      </w:r>
      <w:r w:rsidR="008B47D9" w:rsidRPr="008B47D9">
        <w:t>Regenerative</w:t>
      </w:r>
      <w:r w:rsidRPr="008B47D9">
        <w:t>/Revitalisation Endodontic Technique</w:t>
      </w:r>
      <w:bookmarkEnd w:id="85"/>
      <w:bookmarkEnd w:id="86"/>
    </w:p>
    <w:p w:rsidR="008441CB" w:rsidRPr="00B013ED" w:rsidRDefault="008441CB" w:rsidP="002320D8">
      <w:pPr>
        <w:spacing w:line="480" w:lineRule="auto"/>
        <w:jc w:val="both"/>
        <w:rPr>
          <w:rFonts w:cstheme="minorBidi"/>
        </w:rPr>
      </w:pPr>
      <w:r w:rsidRPr="00B013ED">
        <w:rPr>
          <w:rFonts w:cstheme="minorBidi"/>
        </w:rPr>
        <w:t xml:space="preserve">In the last few years there seems to have been a paradigm shift in the way it is proposed to manage teeth with incomplete root development which have become </w:t>
      </w:r>
      <w:r w:rsidR="004B3418">
        <w:rPr>
          <w:rFonts w:cstheme="minorBidi"/>
        </w:rPr>
        <w:t>non-vital</w:t>
      </w:r>
      <w:r w:rsidRPr="00B013ED">
        <w:rPr>
          <w:rFonts w:cstheme="minorBidi"/>
        </w:rPr>
        <w:t xml:space="preserve"> as a result of trauma.   The new way of thinking seems to have been prompted by the limitations of the use of calcium hydroxide or MTA.  Both these methods allow root canal obturation to be performed through generating a physical barrier against which the root filling can be condensed.  However, neither of these methods contributes to any qualitative or quantitative improvement in root dimensions.  In fact evidence reviewed above suggests that both methods can have a detrimental effect on dentin</w:t>
      </w:r>
      <w:r w:rsidR="00F176B5">
        <w:rPr>
          <w:rFonts w:cstheme="minorBidi"/>
        </w:rPr>
        <w:t>e</w:t>
      </w:r>
      <w:r w:rsidRPr="00B013ED">
        <w:rPr>
          <w:rFonts w:cstheme="minorBidi"/>
        </w:rPr>
        <w:t xml:space="preserve"> and might make </w:t>
      </w:r>
      <w:r w:rsidR="00F176B5">
        <w:rPr>
          <w:rFonts w:cstheme="minorBidi"/>
        </w:rPr>
        <w:t xml:space="preserve">the </w:t>
      </w:r>
      <w:r w:rsidRPr="00B013ED">
        <w:rPr>
          <w:rFonts w:cstheme="minorBidi"/>
        </w:rPr>
        <w:t>root more prone to fracture, in particular the prolonged use of calcium hydroxide.  If any further dentin</w:t>
      </w:r>
      <w:r w:rsidR="00F176B5">
        <w:rPr>
          <w:rFonts w:cstheme="minorBidi"/>
        </w:rPr>
        <w:t>e</w:t>
      </w:r>
      <w:r w:rsidRPr="00B013ED">
        <w:rPr>
          <w:rFonts w:cstheme="minorBidi"/>
        </w:rPr>
        <w:t xml:space="preserve"> or cementum is to be achieved to provide a qualitative improvement of root structure, then vital tissue has to be generated, as only cellular activity can result in any such tissue being deposited. Recently there has been an attempt to re-establish the blood supply in those teeth which have already become non-vital and the technique is commonly known as the </w:t>
      </w:r>
      <w:r w:rsidR="00F176B5" w:rsidRPr="00B013ED">
        <w:rPr>
          <w:rFonts w:cstheme="minorBidi"/>
        </w:rPr>
        <w:t xml:space="preserve">regenerative or revitalisation endodontic therapy </w:t>
      </w:r>
      <w:r w:rsidRPr="00B013ED">
        <w:rPr>
          <w:rFonts w:cstheme="minorBidi"/>
        </w:rPr>
        <w:t>or technique (RET).</w:t>
      </w:r>
    </w:p>
    <w:p w:rsidR="008441CB" w:rsidRPr="00AE3AAD" w:rsidRDefault="00566351" w:rsidP="002320D8">
      <w:pPr>
        <w:spacing w:line="480" w:lineRule="auto"/>
        <w:jc w:val="both"/>
        <w:rPr>
          <w:rFonts w:cstheme="minorBidi"/>
          <w:b/>
        </w:rPr>
      </w:pPr>
      <w:r>
        <w:rPr>
          <w:rFonts w:cstheme="minorBidi"/>
          <w:bCs/>
        </w:rPr>
        <w:t>The r</w:t>
      </w:r>
      <w:r w:rsidR="008441CB" w:rsidRPr="00AD6668">
        <w:rPr>
          <w:rFonts w:cstheme="minorBidi"/>
          <w:bCs/>
        </w:rPr>
        <w:t>ationale</w:t>
      </w:r>
      <w:bookmarkStart w:id="87" w:name="_Toc359995773"/>
      <w:r w:rsidR="00AD6668">
        <w:rPr>
          <w:rFonts w:cstheme="minorBidi"/>
          <w:b/>
        </w:rPr>
        <w:t xml:space="preserve"> </w:t>
      </w:r>
      <w:r>
        <w:rPr>
          <w:szCs w:val="24"/>
        </w:rPr>
        <w:t>is to</w:t>
      </w:r>
      <w:r w:rsidR="008441CB" w:rsidRPr="00360E50">
        <w:rPr>
          <w:szCs w:val="24"/>
        </w:rPr>
        <w:t xml:space="preserve"> repopulat</w:t>
      </w:r>
      <w:r>
        <w:rPr>
          <w:szCs w:val="24"/>
        </w:rPr>
        <w:t>e</w:t>
      </w:r>
      <w:r w:rsidR="008441CB" w:rsidRPr="00360E50">
        <w:rPr>
          <w:szCs w:val="24"/>
        </w:rPr>
        <w:t xml:space="preserve"> the root canal space with vital tissue, </w:t>
      </w:r>
      <w:r>
        <w:rPr>
          <w:szCs w:val="24"/>
        </w:rPr>
        <w:t xml:space="preserve">and </w:t>
      </w:r>
      <w:r w:rsidR="008441CB" w:rsidRPr="00360E50">
        <w:rPr>
          <w:szCs w:val="24"/>
        </w:rPr>
        <w:t>this technique aims to promote continued root development and/or thickening of the dentinal walls, thereby improving the long term prognosis of the tooth.</w:t>
      </w:r>
      <w:bookmarkEnd w:id="87"/>
    </w:p>
    <w:p w:rsidR="00AD6668" w:rsidRDefault="00AD6668" w:rsidP="002320D8">
      <w:pPr>
        <w:jc w:val="both"/>
        <w:rPr>
          <w:rFonts w:eastAsiaTheme="majorEastAsia"/>
          <w:b/>
          <w:bCs/>
          <w:sz w:val="28"/>
        </w:rPr>
      </w:pPr>
      <w:bookmarkStart w:id="88" w:name="_Toc359995774"/>
      <w:r>
        <w:br w:type="page"/>
      </w:r>
    </w:p>
    <w:p w:rsidR="008441CB" w:rsidRPr="00B013ED" w:rsidRDefault="008441CB" w:rsidP="002320D8">
      <w:pPr>
        <w:pStyle w:val="Heading3"/>
        <w:spacing w:line="480" w:lineRule="auto"/>
        <w:jc w:val="both"/>
      </w:pPr>
      <w:bookmarkStart w:id="89" w:name="_Toc370819198"/>
      <w:r w:rsidRPr="00B013ED">
        <w:lastRenderedPageBreak/>
        <w:t>The technique is based on the following prerequisites:</w:t>
      </w:r>
      <w:bookmarkEnd w:id="88"/>
      <w:bookmarkEnd w:id="89"/>
    </w:p>
    <w:p w:rsidR="008441CB" w:rsidRPr="00B013ED" w:rsidRDefault="008441CB" w:rsidP="002320D8">
      <w:pPr>
        <w:pStyle w:val="ListParagraph"/>
        <w:numPr>
          <w:ilvl w:val="0"/>
          <w:numId w:val="51"/>
        </w:numPr>
        <w:tabs>
          <w:tab w:val="right" w:pos="8640"/>
        </w:tabs>
        <w:spacing w:after="0" w:line="480" w:lineRule="auto"/>
        <w:jc w:val="both"/>
        <w:rPr>
          <w:rFonts w:cstheme="minorBidi"/>
          <w:szCs w:val="24"/>
          <w:lang w:eastAsia="en-GB"/>
        </w:rPr>
      </w:pPr>
      <w:r w:rsidRPr="00B013ED">
        <w:rPr>
          <w:rFonts w:cstheme="minorBidi"/>
          <w:szCs w:val="24"/>
          <w:lang w:eastAsia="en-GB"/>
        </w:rPr>
        <w:t xml:space="preserve">Presence of </w:t>
      </w:r>
      <w:r w:rsidR="00566351" w:rsidRPr="00B013ED">
        <w:rPr>
          <w:rFonts w:cstheme="minorBidi"/>
          <w:szCs w:val="24"/>
          <w:lang w:eastAsia="en-GB"/>
        </w:rPr>
        <w:t>stems cells</w:t>
      </w:r>
    </w:p>
    <w:p w:rsidR="008441CB" w:rsidRPr="00B013ED" w:rsidRDefault="008441CB" w:rsidP="002320D8">
      <w:pPr>
        <w:pStyle w:val="ListParagraph"/>
        <w:numPr>
          <w:ilvl w:val="0"/>
          <w:numId w:val="51"/>
        </w:numPr>
        <w:tabs>
          <w:tab w:val="right" w:pos="8640"/>
        </w:tabs>
        <w:spacing w:after="0" w:line="480" w:lineRule="auto"/>
        <w:jc w:val="both"/>
        <w:rPr>
          <w:rFonts w:cstheme="minorBidi"/>
          <w:szCs w:val="24"/>
          <w:lang w:eastAsia="en-GB"/>
        </w:rPr>
      </w:pPr>
      <w:r w:rsidRPr="00B013ED">
        <w:rPr>
          <w:rFonts w:cstheme="minorBidi"/>
          <w:szCs w:val="24"/>
          <w:lang w:eastAsia="en-GB"/>
        </w:rPr>
        <w:t>Complete disinfection of the root canal</w:t>
      </w:r>
    </w:p>
    <w:p w:rsidR="008441CB" w:rsidRPr="00B013ED" w:rsidRDefault="008441CB" w:rsidP="002320D8">
      <w:pPr>
        <w:pStyle w:val="ListParagraph"/>
        <w:numPr>
          <w:ilvl w:val="0"/>
          <w:numId w:val="51"/>
        </w:numPr>
        <w:tabs>
          <w:tab w:val="right" w:pos="8640"/>
        </w:tabs>
        <w:spacing w:after="0" w:line="480" w:lineRule="auto"/>
        <w:jc w:val="both"/>
        <w:rPr>
          <w:rFonts w:cstheme="minorBidi"/>
          <w:szCs w:val="24"/>
          <w:lang w:eastAsia="en-GB"/>
        </w:rPr>
      </w:pPr>
      <w:r w:rsidRPr="00B013ED">
        <w:rPr>
          <w:rFonts w:cstheme="minorBidi"/>
          <w:szCs w:val="24"/>
          <w:lang w:eastAsia="en-GB"/>
        </w:rPr>
        <w:t>Provision of a scaffold within the root canal</w:t>
      </w:r>
    </w:p>
    <w:p w:rsidR="008441CB" w:rsidRPr="007846DE" w:rsidRDefault="008441CB" w:rsidP="007846DE">
      <w:pPr>
        <w:pStyle w:val="ListParagraph"/>
        <w:numPr>
          <w:ilvl w:val="0"/>
          <w:numId w:val="51"/>
        </w:numPr>
        <w:tabs>
          <w:tab w:val="right" w:pos="8640"/>
        </w:tabs>
        <w:spacing w:after="0" w:line="480" w:lineRule="auto"/>
        <w:jc w:val="both"/>
        <w:rPr>
          <w:rFonts w:cstheme="minorBidi"/>
          <w:szCs w:val="24"/>
          <w:lang w:eastAsia="en-GB"/>
        </w:rPr>
      </w:pPr>
      <w:r w:rsidRPr="00B013ED">
        <w:rPr>
          <w:rFonts w:cstheme="minorBidi"/>
          <w:szCs w:val="24"/>
          <w:lang w:eastAsia="en-GB"/>
        </w:rPr>
        <w:t>Provision of a signal to the stem cells in order they can differentiate</w:t>
      </w:r>
    </w:p>
    <w:p w:rsidR="008441CB" w:rsidRPr="00B013ED" w:rsidRDefault="008441CB" w:rsidP="002320D8">
      <w:pPr>
        <w:pStyle w:val="Heading3"/>
        <w:spacing w:line="480" w:lineRule="auto"/>
        <w:jc w:val="both"/>
      </w:pPr>
      <w:bookmarkStart w:id="90" w:name="_Toc359995775"/>
      <w:bookmarkStart w:id="91" w:name="_Toc370819199"/>
      <w:r w:rsidRPr="00B013ED">
        <w:t>Harnessing the Potential of Stem Cells in the Apical Area</w:t>
      </w:r>
      <w:bookmarkEnd w:id="90"/>
      <w:bookmarkEnd w:id="91"/>
    </w:p>
    <w:p w:rsidR="008441CB" w:rsidRPr="00B013ED" w:rsidRDefault="008441CB" w:rsidP="002320D8">
      <w:pPr>
        <w:spacing w:line="480" w:lineRule="auto"/>
        <w:jc w:val="both"/>
        <w:rPr>
          <w:rFonts w:cstheme="minorBidi"/>
        </w:rPr>
      </w:pPr>
      <w:r w:rsidRPr="00B013ED">
        <w:rPr>
          <w:rFonts w:cstheme="minorBidi"/>
        </w:rPr>
        <w:t xml:space="preserve">Recently it has been shown that </w:t>
      </w:r>
      <w:r w:rsidR="00566351" w:rsidRPr="00B013ED">
        <w:rPr>
          <w:rFonts w:cstheme="minorBidi"/>
        </w:rPr>
        <w:t>s</w:t>
      </w:r>
      <w:r w:rsidRPr="00B013ED">
        <w:rPr>
          <w:rFonts w:cstheme="minorBidi"/>
        </w:rPr>
        <w:t xml:space="preserve">tem cells exist in the apical area of incomplete roots in children and adolescents (Sonayama </w:t>
      </w:r>
      <w:r w:rsidRPr="00B013ED">
        <w:rPr>
          <w:rFonts w:cstheme="minorBidi"/>
          <w:i/>
          <w:iCs/>
        </w:rPr>
        <w:t>et al</w:t>
      </w:r>
      <w:r w:rsidR="005F2E98" w:rsidRPr="00B013ED">
        <w:rPr>
          <w:rFonts w:cstheme="minorBidi"/>
          <w:i/>
          <w:iCs/>
        </w:rPr>
        <w:t>.</w:t>
      </w:r>
      <w:r w:rsidRPr="00B013ED">
        <w:rPr>
          <w:rFonts w:cstheme="minorBidi"/>
          <w:i/>
          <w:iCs/>
        </w:rPr>
        <w:t>,</w:t>
      </w:r>
      <w:r w:rsidRPr="00B013ED">
        <w:rPr>
          <w:rFonts w:cstheme="minorBidi"/>
        </w:rPr>
        <w:t xml:space="preserve"> 2008).  The entity in which these cells exist has been called as </w:t>
      </w:r>
      <w:r w:rsidR="00566351" w:rsidRPr="00B013ED">
        <w:rPr>
          <w:rFonts w:cstheme="minorBidi"/>
        </w:rPr>
        <w:t xml:space="preserve">stem cells of the apical papilla </w:t>
      </w:r>
      <w:r w:rsidR="007846DE">
        <w:rPr>
          <w:rFonts w:cstheme="minorBidi"/>
        </w:rPr>
        <w:t xml:space="preserve">(SCAP). </w:t>
      </w:r>
      <w:r w:rsidRPr="00B013ED">
        <w:rPr>
          <w:rFonts w:cstheme="minorBidi"/>
        </w:rPr>
        <w:t xml:space="preserve"> Sonoyama and co-workers demonstrated that isolated SCAP grown in cultures ha</w:t>
      </w:r>
      <w:r w:rsidR="00566351">
        <w:rPr>
          <w:rFonts w:cstheme="minorBidi"/>
        </w:rPr>
        <w:t>d</w:t>
      </w:r>
      <w:r w:rsidRPr="00B013ED">
        <w:rPr>
          <w:rFonts w:cstheme="minorBidi"/>
        </w:rPr>
        <w:t xml:space="preserve"> the ability to undergo dentinogenic differentiation when stimulated with dexamethasone supplemented with L-ascorbate-2 phosphate and inorganic phosphate. SCAP cells have also been shown to be capable of differentiating into functional dentinogenic cells in vivo, using implantation techniques in animal experimental models (Sonoyama </w:t>
      </w:r>
      <w:r w:rsidR="005F2E98" w:rsidRPr="00B013ED">
        <w:rPr>
          <w:rFonts w:cstheme="minorBidi"/>
          <w:i/>
          <w:iCs/>
        </w:rPr>
        <w:t>et al.,</w:t>
      </w:r>
      <w:r w:rsidR="005F2E98" w:rsidRPr="00B013ED">
        <w:rPr>
          <w:rFonts w:cstheme="minorBidi"/>
        </w:rPr>
        <w:t xml:space="preserve"> </w:t>
      </w:r>
      <w:r w:rsidRPr="00B013ED">
        <w:rPr>
          <w:rFonts w:cstheme="minorBidi"/>
        </w:rPr>
        <w:t xml:space="preserve">2006).  In summary the stem cells in SCAP have been shown to be similar to dental pulp progenitor cells and therefore, if their potential can be harnessed they could be induced to differentiate into dental pulp cells.  </w:t>
      </w:r>
    </w:p>
    <w:p w:rsidR="008441CB" w:rsidRPr="00B013ED" w:rsidRDefault="008441CB" w:rsidP="002320D8">
      <w:pPr>
        <w:spacing w:line="480" w:lineRule="auto"/>
        <w:jc w:val="both"/>
        <w:rPr>
          <w:rFonts w:cstheme="minorBidi"/>
        </w:rPr>
      </w:pPr>
      <w:r w:rsidRPr="00B013ED">
        <w:rPr>
          <w:rFonts w:cstheme="minorBidi"/>
        </w:rPr>
        <w:t xml:space="preserve">Following this understanding a technique has been proposed which could harness the potential of the SCAP cells leading to repopulation of the root canal space with vital tissue.  This has been referred to </w:t>
      </w:r>
      <w:r w:rsidR="00566351">
        <w:rPr>
          <w:rFonts w:cstheme="minorBidi"/>
        </w:rPr>
        <w:t xml:space="preserve">as </w:t>
      </w:r>
      <w:r w:rsidRPr="00B013ED">
        <w:rPr>
          <w:rFonts w:cstheme="minorBidi"/>
        </w:rPr>
        <w:t xml:space="preserve">revascularisation, but we feel that this is not the right terminology as revascularisation usually </w:t>
      </w:r>
      <w:r w:rsidRPr="00B013ED">
        <w:rPr>
          <w:rFonts w:cstheme="minorBidi"/>
        </w:rPr>
        <w:lastRenderedPageBreak/>
        <w:t xml:space="preserve">refers to re-establishment of the blood supply once it has been severed, such as that happens in some replanted teeth when the conditions for this to occur are favourable.  What we hope to achieve when we harness the potential of the SCAP cells is to achieve regeneration of vital tissue in the root canals, long after the tooth had become </w:t>
      </w:r>
      <w:r w:rsidR="004B3418">
        <w:rPr>
          <w:rFonts w:cstheme="minorBidi"/>
        </w:rPr>
        <w:t>non-vital</w:t>
      </w:r>
      <w:r w:rsidRPr="00B013ED">
        <w:rPr>
          <w:rFonts w:cstheme="minorBidi"/>
        </w:rPr>
        <w:t xml:space="preserve">.  Therefore, the correct term that should be used is </w:t>
      </w:r>
      <w:r w:rsidR="00566351">
        <w:rPr>
          <w:rFonts w:cstheme="minorBidi"/>
        </w:rPr>
        <w:t>r</w:t>
      </w:r>
      <w:r w:rsidRPr="00B013ED">
        <w:rPr>
          <w:rFonts w:cstheme="minorBidi"/>
        </w:rPr>
        <w:t xml:space="preserve">egeneration, and the technique </w:t>
      </w:r>
      <w:r w:rsidR="00566351">
        <w:rPr>
          <w:rFonts w:cstheme="minorBidi"/>
        </w:rPr>
        <w:t xml:space="preserve">should be </w:t>
      </w:r>
      <w:r w:rsidRPr="00B013ED">
        <w:rPr>
          <w:rFonts w:cstheme="minorBidi"/>
        </w:rPr>
        <w:t xml:space="preserve">called the </w:t>
      </w:r>
      <w:r w:rsidR="00566351" w:rsidRPr="00B013ED">
        <w:rPr>
          <w:rFonts w:cstheme="minorBidi"/>
        </w:rPr>
        <w:t xml:space="preserve">regenerative endodontic technique </w:t>
      </w:r>
      <w:r w:rsidRPr="00B013ED">
        <w:rPr>
          <w:rFonts w:cstheme="minorBidi"/>
        </w:rPr>
        <w:t>(RET).</w:t>
      </w:r>
    </w:p>
    <w:p w:rsidR="008441CB" w:rsidRPr="00B013ED" w:rsidRDefault="008441CB" w:rsidP="002320D8">
      <w:pPr>
        <w:pStyle w:val="Heading3"/>
        <w:spacing w:line="480" w:lineRule="auto"/>
        <w:jc w:val="both"/>
      </w:pPr>
      <w:bookmarkStart w:id="92" w:name="_Toc359995776"/>
      <w:bookmarkStart w:id="93" w:name="_Toc370819200"/>
      <w:r w:rsidRPr="00B013ED">
        <w:t>Achieving disinfection of the root canal</w:t>
      </w:r>
      <w:bookmarkEnd w:id="92"/>
      <w:bookmarkEnd w:id="93"/>
    </w:p>
    <w:p w:rsidR="008441CB" w:rsidRPr="00B013ED" w:rsidRDefault="008441CB" w:rsidP="002320D8">
      <w:pPr>
        <w:spacing w:line="480" w:lineRule="auto"/>
        <w:jc w:val="both"/>
        <w:rPr>
          <w:rFonts w:cstheme="minorBidi"/>
        </w:rPr>
      </w:pPr>
      <w:r w:rsidRPr="00B013ED">
        <w:rPr>
          <w:rFonts w:cstheme="minorBidi"/>
        </w:rPr>
        <w:t xml:space="preserve">Various combinations of topical antibiotics have been proposed for use in the disinfection of root canals.  One of the most well documented antibiotic combinations found to be effective against </w:t>
      </w:r>
      <w:r w:rsidR="004B3418">
        <w:rPr>
          <w:rFonts w:cstheme="minorBidi"/>
        </w:rPr>
        <w:t>intra-canal</w:t>
      </w:r>
      <w:r w:rsidRPr="00B013ED">
        <w:rPr>
          <w:rFonts w:cstheme="minorBidi"/>
        </w:rPr>
        <w:t xml:space="preserve"> bacterial in infected root canals is the triple antibiotic paste, which consists of ciprofloxacin, </w:t>
      </w:r>
      <w:r w:rsidR="00912C5E">
        <w:rPr>
          <w:rFonts w:cstheme="minorBidi"/>
        </w:rPr>
        <w:t>metronidazole and minocycline.</w:t>
      </w:r>
    </w:p>
    <w:p w:rsidR="008441CB" w:rsidRPr="00B013ED" w:rsidRDefault="008441CB" w:rsidP="002320D8">
      <w:pPr>
        <w:pStyle w:val="Heading3"/>
        <w:spacing w:line="480" w:lineRule="auto"/>
        <w:jc w:val="both"/>
      </w:pPr>
      <w:bookmarkStart w:id="94" w:name="_Toc359995777"/>
      <w:bookmarkStart w:id="95" w:name="_Toc370819201"/>
      <w:r w:rsidRPr="00B013ED">
        <w:t>Providing a Scaffold and Signal for stem cells to differentiate</w:t>
      </w:r>
      <w:bookmarkEnd w:id="94"/>
      <w:bookmarkEnd w:id="95"/>
    </w:p>
    <w:p w:rsidR="008441CB" w:rsidRPr="00B013ED" w:rsidRDefault="008441CB" w:rsidP="007846DE">
      <w:pPr>
        <w:spacing w:line="480" w:lineRule="auto"/>
        <w:jc w:val="both"/>
        <w:rPr>
          <w:rFonts w:cstheme="minorBidi"/>
        </w:rPr>
      </w:pPr>
      <w:r w:rsidRPr="00B013ED">
        <w:rPr>
          <w:rFonts w:cstheme="minorBidi"/>
        </w:rPr>
        <w:t xml:space="preserve">There are an increasing number of commercial scaffolds available for tissue engineering in the medical field but these are too expensive for us in dental practice.  A biological scaffold is required within the root canal which would serve two purposes.  Firstly it would provide a matrix into which the cells from SCAP could differentiate.  Secondly it should </w:t>
      </w:r>
      <w:r w:rsidRPr="00B013ED">
        <w:rPr>
          <w:rFonts w:cstheme="minorBidi"/>
          <w:lang w:val="en-US"/>
        </w:rPr>
        <w:t>acts as a scaffold rich in growth and differentiation factors that are essential to aid in the in growth of viable tissue into the pulpal space.  Currently a blood clot is considered as a favourable scaffold for this technique.</w:t>
      </w:r>
    </w:p>
    <w:p w:rsidR="008441CB" w:rsidRPr="00B013ED" w:rsidRDefault="008441CB" w:rsidP="002320D8">
      <w:pPr>
        <w:pStyle w:val="Heading3"/>
        <w:spacing w:line="480" w:lineRule="auto"/>
        <w:jc w:val="both"/>
      </w:pPr>
      <w:bookmarkStart w:id="96" w:name="_Toc359995778"/>
      <w:bookmarkStart w:id="97" w:name="_Toc370819202"/>
      <w:r w:rsidRPr="00B013ED">
        <w:lastRenderedPageBreak/>
        <w:t>Clinical Technique</w:t>
      </w:r>
      <w:bookmarkEnd w:id="96"/>
      <w:bookmarkEnd w:id="97"/>
    </w:p>
    <w:p w:rsidR="008441CB" w:rsidRPr="00B013ED" w:rsidRDefault="008441CB" w:rsidP="002320D8">
      <w:pPr>
        <w:spacing w:line="480" w:lineRule="auto"/>
        <w:jc w:val="both"/>
        <w:rPr>
          <w:rFonts w:cstheme="minorBidi"/>
        </w:rPr>
      </w:pPr>
      <w:r w:rsidRPr="00B013ED">
        <w:rPr>
          <w:rFonts w:cstheme="minorBidi"/>
        </w:rPr>
        <w:t xml:space="preserve">There are currently no standardised protocols for regenerative endodontic therapy (RET) in the treatment of non-vital immature teeth with wide open apices. Minor modifications to the procedures have been made by various groups who have carried out clinical case studies. The outline of the technique proposed in general is as follows: </w:t>
      </w:r>
    </w:p>
    <w:p w:rsidR="008441CB" w:rsidRPr="00B013ED" w:rsidRDefault="008441CB" w:rsidP="002320D8">
      <w:pPr>
        <w:numPr>
          <w:ilvl w:val="0"/>
          <w:numId w:val="52"/>
        </w:numPr>
        <w:spacing w:after="0" w:line="480" w:lineRule="auto"/>
        <w:jc w:val="both"/>
        <w:rPr>
          <w:rFonts w:cstheme="minorBidi"/>
          <w:lang w:val="en-IE"/>
        </w:rPr>
      </w:pPr>
      <w:r w:rsidRPr="00B013ED">
        <w:rPr>
          <w:rFonts w:cstheme="minorBidi"/>
          <w:lang w:val="en-IE"/>
        </w:rPr>
        <w:t xml:space="preserve">All procedures are carried out under administration of local anaesthetic and rubber dam isolation. </w:t>
      </w:r>
    </w:p>
    <w:p w:rsidR="008441CB" w:rsidRPr="00B013ED" w:rsidRDefault="008441CB" w:rsidP="002320D8">
      <w:pPr>
        <w:numPr>
          <w:ilvl w:val="0"/>
          <w:numId w:val="52"/>
        </w:numPr>
        <w:spacing w:after="0" w:line="480" w:lineRule="auto"/>
        <w:jc w:val="both"/>
        <w:rPr>
          <w:rFonts w:cstheme="minorBidi"/>
          <w:lang w:val="en-US"/>
        </w:rPr>
      </w:pPr>
      <w:r w:rsidRPr="00B013ED">
        <w:rPr>
          <w:rFonts w:cstheme="minorBidi"/>
          <w:lang w:val="en-US"/>
        </w:rPr>
        <w:t>Pulpal extirpation and copious chemical irrigation of root canals with a mild disinfectant such as 0.5% sodium hypochlorite is performed.</w:t>
      </w:r>
    </w:p>
    <w:p w:rsidR="008441CB" w:rsidRPr="00B013ED" w:rsidRDefault="008441CB" w:rsidP="002320D8">
      <w:pPr>
        <w:numPr>
          <w:ilvl w:val="0"/>
          <w:numId w:val="52"/>
        </w:numPr>
        <w:spacing w:after="0" w:line="480" w:lineRule="auto"/>
        <w:jc w:val="both"/>
        <w:rPr>
          <w:rFonts w:cstheme="minorBidi"/>
          <w:lang w:val="en-US"/>
        </w:rPr>
      </w:pPr>
      <w:r w:rsidRPr="00B013ED">
        <w:rPr>
          <w:rFonts w:cstheme="minorBidi"/>
          <w:lang w:val="en-US"/>
        </w:rPr>
        <w:t xml:space="preserve">Minimal or no filing to the root canal is </w:t>
      </w:r>
      <w:r w:rsidR="002F2715">
        <w:rPr>
          <w:rFonts w:cstheme="minorBidi"/>
          <w:lang w:val="en-US"/>
        </w:rPr>
        <w:t>performed</w:t>
      </w:r>
      <w:r w:rsidRPr="00B013ED">
        <w:rPr>
          <w:rFonts w:cstheme="minorBidi"/>
          <w:lang w:val="en-US"/>
        </w:rPr>
        <w:t xml:space="preserve"> to prevent further weakening of the existing dentinal walls.</w:t>
      </w:r>
    </w:p>
    <w:p w:rsidR="008441CB" w:rsidRPr="00B013ED" w:rsidRDefault="008441CB" w:rsidP="002320D8">
      <w:pPr>
        <w:numPr>
          <w:ilvl w:val="0"/>
          <w:numId w:val="52"/>
        </w:numPr>
        <w:spacing w:after="0" w:line="480" w:lineRule="auto"/>
        <w:jc w:val="both"/>
        <w:rPr>
          <w:rFonts w:cstheme="minorBidi"/>
          <w:lang w:val="en-US"/>
        </w:rPr>
      </w:pPr>
      <w:r w:rsidRPr="00B013ED">
        <w:rPr>
          <w:rFonts w:cstheme="minorBidi"/>
          <w:lang w:val="en-US"/>
        </w:rPr>
        <w:t xml:space="preserve">The tooth is then dried and the root canal filled with the triple antibiotic paste.  Caution should be exercised during the placement of antibiotic pastes to ensure that its application is below the cervical margins in order to prevent discolouration of the crown due to staining properties of minocycline. </w:t>
      </w:r>
    </w:p>
    <w:p w:rsidR="008441CB" w:rsidRPr="00B013ED" w:rsidRDefault="008441CB" w:rsidP="002320D8">
      <w:pPr>
        <w:numPr>
          <w:ilvl w:val="0"/>
          <w:numId w:val="52"/>
        </w:numPr>
        <w:spacing w:after="0" w:line="480" w:lineRule="auto"/>
        <w:jc w:val="both"/>
        <w:rPr>
          <w:rFonts w:cstheme="minorBidi"/>
          <w:lang w:val="en-US"/>
        </w:rPr>
      </w:pPr>
      <w:r w:rsidRPr="00B013ED">
        <w:rPr>
          <w:rFonts w:cstheme="minorBidi"/>
          <w:lang w:val="en-US"/>
        </w:rPr>
        <w:t>The tooth is sealed temporarily and a review is scheduled in 10-15 days.  It is essential that disinfection of the root canal is carried out until there is no evidence of purulent discharge, sinus tract or infection, and a repeat of the disinfection process should be performed if the root cana</w:t>
      </w:r>
      <w:r w:rsidR="00A545AD">
        <w:rPr>
          <w:rFonts w:cstheme="minorBidi"/>
          <w:lang w:val="en-US"/>
        </w:rPr>
        <w:t>l is still not infection free.</w:t>
      </w:r>
    </w:p>
    <w:p w:rsidR="008441CB" w:rsidRPr="00B013ED" w:rsidRDefault="008441CB" w:rsidP="002320D8">
      <w:pPr>
        <w:numPr>
          <w:ilvl w:val="0"/>
          <w:numId w:val="52"/>
        </w:numPr>
        <w:spacing w:after="0" w:line="480" w:lineRule="auto"/>
        <w:jc w:val="both"/>
        <w:rPr>
          <w:rFonts w:cstheme="minorBidi"/>
          <w:lang w:val="en-US"/>
        </w:rPr>
      </w:pPr>
      <w:r w:rsidRPr="00B013ED">
        <w:rPr>
          <w:rFonts w:cstheme="minorBidi"/>
          <w:lang w:val="en-US"/>
        </w:rPr>
        <w:t>At the next appointment, the canals are re-irrig</w:t>
      </w:r>
      <w:r w:rsidR="00A545AD">
        <w:rPr>
          <w:rFonts w:cstheme="minorBidi"/>
          <w:lang w:val="en-US"/>
        </w:rPr>
        <w:t xml:space="preserve">ated with sodium hypochlorite.  </w:t>
      </w:r>
      <w:r w:rsidRPr="00B013ED">
        <w:rPr>
          <w:rFonts w:cstheme="minorBidi"/>
          <w:lang w:val="en-US"/>
        </w:rPr>
        <w:t xml:space="preserve">A sterile 23-gauge needle or a long endodontic instrument such as a file or a finger spreader is pushed 2 mm beyond </w:t>
      </w:r>
      <w:r w:rsidRPr="00B013ED">
        <w:rPr>
          <w:rFonts w:cstheme="minorBidi"/>
          <w:lang w:val="en-US"/>
        </w:rPr>
        <w:lastRenderedPageBreak/>
        <w:t xml:space="preserve">the working length past the confines of the root canal into the periapical tissues to intentionally induce bleeding into the root canal. The bleeding is allowed to fill the root canal. </w:t>
      </w:r>
    </w:p>
    <w:p w:rsidR="008441CB" w:rsidRPr="00B013ED" w:rsidRDefault="008441CB" w:rsidP="002320D8">
      <w:pPr>
        <w:numPr>
          <w:ilvl w:val="0"/>
          <w:numId w:val="52"/>
        </w:numPr>
        <w:spacing w:after="0" w:line="480" w:lineRule="auto"/>
        <w:jc w:val="both"/>
        <w:rPr>
          <w:rFonts w:cstheme="minorBidi"/>
          <w:lang w:val="en-US"/>
        </w:rPr>
      </w:pPr>
      <w:r w:rsidRPr="00B013ED">
        <w:rPr>
          <w:rFonts w:cstheme="minorBidi"/>
          <w:lang w:val="en-US"/>
        </w:rPr>
        <w:t xml:space="preserve">When frank bleeding is evident at </w:t>
      </w:r>
      <w:r w:rsidR="002F2715">
        <w:rPr>
          <w:rFonts w:cstheme="minorBidi"/>
          <w:lang w:val="en-US"/>
        </w:rPr>
        <w:t xml:space="preserve">the </w:t>
      </w:r>
      <w:r w:rsidRPr="00B013ED">
        <w:rPr>
          <w:rFonts w:cstheme="minorBidi"/>
          <w:lang w:val="en-US"/>
        </w:rPr>
        <w:t>cervical portion of the root canal, a cotton pellet</w:t>
      </w:r>
      <w:r w:rsidR="002F2715">
        <w:rPr>
          <w:rFonts w:cstheme="minorBidi"/>
          <w:lang w:val="en-US"/>
        </w:rPr>
        <w:t xml:space="preserve"> is</w:t>
      </w:r>
      <w:r w:rsidRPr="00B013ED">
        <w:rPr>
          <w:rFonts w:cstheme="minorBidi"/>
          <w:lang w:val="en-US"/>
        </w:rPr>
        <w:t xml:space="preserve"> then inserted 3–4mm into </w:t>
      </w:r>
      <w:r w:rsidR="002F2715">
        <w:rPr>
          <w:rFonts w:cstheme="minorBidi"/>
          <w:lang w:val="en-US"/>
        </w:rPr>
        <w:t xml:space="preserve">the </w:t>
      </w:r>
      <w:r w:rsidRPr="00B013ED">
        <w:rPr>
          <w:rFonts w:cstheme="minorBidi"/>
          <w:lang w:val="en-US"/>
        </w:rPr>
        <w:t xml:space="preserve">canal below the cervical margins and held there for about 7-10 mins to allow formation of a blood clot in the apical 2/3rds of the canal. This blood clot acts as a scaffold rich in growth and differentiation factors that are essential to aid in the ingrowth of viable tissue into the pulpal space and in wound healing processes. </w:t>
      </w:r>
    </w:p>
    <w:p w:rsidR="008441CB" w:rsidRPr="00B013ED" w:rsidRDefault="008441CB" w:rsidP="002320D8">
      <w:pPr>
        <w:numPr>
          <w:ilvl w:val="0"/>
          <w:numId w:val="52"/>
        </w:numPr>
        <w:spacing w:after="0" w:line="480" w:lineRule="auto"/>
        <w:jc w:val="both"/>
        <w:rPr>
          <w:rFonts w:cstheme="minorBidi"/>
          <w:lang w:val="en-US"/>
        </w:rPr>
      </w:pPr>
      <w:r w:rsidRPr="00B013ED">
        <w:rPr>
          <w:rFonts w:cstheme="minorBidi"/>
          <w:lang w:val="en-US"/>
        </w:rPr>
        <w:t>The access is sealed with materials such as MTA or Glass ionomer cements to prevent coronal leakage, extending about 4 mm into the coronal portion of the root canal</w:t>
      </w:r>
    </w:p>
    <w:p w:rsidR="008441CB" w:rsidRPr="00B013ED" w:rsidRDefault="008441CB" w:rsidP="002320D8">
      <w:pPr>
        <w:numPr>
          <w:ilvl w:val="0"/>
          <w:numId w:val="53"/>
        </w:numPr>
        <w:spacing w:after="0" w:line="480" w:lineRule="auto"/>
        <w:jc w:val="both"/>
        <w:rPr>
          <w:rFonts w:cstheme="minorBidi"/>
          <w:lang w:val="en-IE"/>
        </w:rPr>
      </w:pPr>
      <w:r w:rsidRPr="00B013ED">
        <w:rPr>
          <w:rFonts w:cstheme="minorBidi"/>
          <w:lang w:val="en-IE"/>
        </w:rPr>
        <w:t>Periapical radiographs are then taken as</w:t>
      </w:r>
      <w:r w:rsidR="002F2715">
        <w:rPr>
          <w:rFonts w:cstheme="minorBidi"/>
          <w:lang w:val="en-IE"/>
        </w:rPr>
        <w:t xml:space="preserve"> a</w:t>
      </w:r>
      <w:r w:rsidRPr="00B013ED">
        <w:rPr>
          <w:rFonts w:cstheme="minorBidi"/>
          <w:lang w:val="en-IE"/>
        </w:rPr>
        <w:t xml:space="preserve"> baseline record. This is essential for comparison with future 6-monthly radiographs to ascertain continued root development and thus success of the treatment.</w:t>
      </w:r>
    </w:p>
    <w:p w:rsidR="008441CB" w:rsidRPr="00B013ED" w:rsidRDefault="008441CB" w:rsidP="002320D8">
      <w:pPr>
        <w:pStyle w:val="Heading3"/>
        <w:spacing w:line="480" w:lineRule="auto"/>
        <w:jc w:val="both"/>
      </w:pPr>
      <w:bookmarkStart w:id="98" w:name="_Toc359995779"/>
      <w:bookmarkStart w:id="99" w:name="_Toc370819203"/>
      <w:r w:rsidRPr="00B013ED">
        <w:t>Review of Current Evidence</w:t>
      </w:r>
      <w:bookmarkEnd w:id="98"/>
      <w:bookmarkEnd w:id="99"/>
    </w:p>
    <w:p w:rsidR="008441CB" w:rsidRPr="00B013ED" w:rsidRDefault="008441CB" w:rsidP="002320D8">
      <w:pPr>
        <w:spacing w:line="480" w:lineRule="auto"/>
        <w:jc w:val="both"/>
        <w:rPr>
          <w:rFonts w:cstheme="minorBidi"/>
        </w:rPr>
      </w:pPr>
      <w:r w:rsidRPr="00B013ED">
        <w:rPr>
          <w:rFonts w:cstheme="minorBidi"/>
        </w:rPr>
        <w:t xml:space="preserve">There are only few studies in the literature that have reported the outcomes for RET, and most of these are of insufficient quality, therefore it is not possible to provide a strong basis for this technique from evidence.  There are no RCT’s and other studies are mainly reports of case series.  The original idea as proposed by Banchs and Trope (2004) was followed up by many clinicians but no randomised controlled trials have emerged although some are being conducted at the moment.  Another factor making these studies unusable for the purposes of a systematic review is that most do not use a standardised </w:t>
      </w:r>
      <w:r w:rsidRPr="00B013ED">
        <w:rPr>
          <w:rFonts w:cstheme="minorBidi"/>
        </w:rPr>
        <w:lastRenderedPageBreak/>
        <w:t xml:space="preserve">treatment protocol and use a variation of the original idea as promoted by Martin Trope’s group.  </w:t>
      </w:r>
    </w:p>
    <w:p w:rsidR="008441CB" w:rsidRPr="00912C5E" w:rsidRDefault="008441CB" w:rsidP="002320D8">
      <w:pPr>
        <w:spacing w:line="480" w:lineRule="auto"/>
        <w:jc w:val="both"/>
        <w:rPr>
          <w:rFonts w:cstheme="minorBidi"/>
          <w:szCs w:val="24"/>
        </w:rPr>
      </w:pPr>
      <w:r w:rsidRPr="00B013ED">
        <w:rPr>
          <w:rFonts w:cstheme="minorBidi"/>
        </w:rPr>
        <w:t>We present an analysis of the studies that we feel are relevant in</w:t>
      </w:r>
      <w:r w:rsidR="009838C2">
        <w:rPr>
          <w:rFonts w:cstheme="minorBidi"/>
        </w:rPr>
        <w:t xml:space="preserve"> </w:t>
      </w:r>
      <w:r w:rsidR="00B326CF" w:rsidRPr="00912C5E">
        <w:rPr>
          <w:rFonts w:cstheme="minorBidi"/>
          <w:szCs w:val="24"/>
        </w:rPr>
        <w:fldChar w:fldCharType="begin"/>
      </w:r>
      <w:r w:rsidR="00B326CF" w:rsidRPr="00912C5E">
        <w:rPr>
          <w:rFonts w:cstheme="minorBidi"/>
          <w:szCs w:val="24"/>
        </w:rPr>
        <w:instrText xml:space="preserve"> REF _Ref361166430 \h </w:instrText>
      </w:r>
      <w:r w:rsidR="00912C5E" w:rsidRPr="00912C5E">
        <w:rPr>
          <w:rFonts w:cstheme="minorBidi"/>
          <w:szCs w:val="24"/>
        </w:rPr>
        <w:instrText xml:space="preserve"> \* MERGEFORMAT </w:instrText>
      </w:r>
      <w:r w:rsidR="00B326CF" w:rsidRPr="00912C5E">
        <w:rPr>
          <w:rFonts w:cstheme="minorBidi"/>
          <w:szCs w:val="24"/>
        </w:rPr>
      </w:r>
      <w:r w:rsidR="00B326CF" w:rsidRPr="00912C5E">
        <w:rPr>
          <w:rFonts w:cstheme="minorBidi"/>
          <w:szCs w:val="24"/>
        </w:rPr>
        <w:fldChar w:fldCharType="separate"/>
      </w:r>
      <w:r w:rsidR="00374B77" w:rsidRPr="00374B77">
        <w:rPr>
          <w:rFonts w:cstheme="minorBidi"/>
          <w:szCs w:val="24"/>
        </w:rPr>
        <w:t xml:space="preserve">Table </w:t>
      </w:r>
      <w:r w:rsidR="00374B77" w:rsidRPr="00374B77">
        <w:rPr>
          <w:rFonts w:cstheme="minorBidi"/>
          <w:noProof/>
          <w:szCs w:val="24"/>
          <w:cs/>
        </w:rPr>
        <w:t>‎</w:t>
      </w:r>
      <w:r w:rsidR="00374B77">
        <w:rPr>
          <w:rFonts w:cstheme="minorBidi"/>
          <w:b/>
          <w:bCs/>
          <w:noProof/>
          <w:sz w:val="20"/>
          <w:szCs w:val="20"/>
        </w:rPr>
        <w:t>1.5</w:t>
      </w:r>
      <w:r w:rsidR="00B326CF" w:rsidRPr="00912C5E">
        <w:rPr>
          <w:rFonts w:cstheme="minorBidi"/>
          <w:szCs w:val="24"/>
        </w:rPr>
        <w:fldChar w:fldCharType="end"/>
      </w:r>
    </w:p>
    <w:p w:rsidR="008441CB" w:rsidRPr="00B013ED" w:rsidRDefault="008441CB" w:rsidP="00620F69">
      <w:pPr>
        <w:pStyle w:val="Heading3"/>
      </w:pPr>
      <w:bookmarkStart w:id="100" w:name="_Toc359995780"/>
      <w:bookmarkStart w:id="101" w:name="_Toc370819204"/>
      <w:r w:rsidRPr="00B013ED">
        <w:t>Recommended best practice based on the clinical experience of the guideline development group</w:t>
      </w:r>
      <w:r w:rsidR="00620F69">
        <w:t xml:space="preserve"> </w:t>
      </w:r>
      <w:r w:rsidR="00620F69" w:rsidRPr="00620F69">
        <w:t>(SIGN)</w:t>
      </w:r>
      <w:r w:rsidRPr="00B013ED">
        <w:t>.</w:t>
      </w:r>
      <w:bookmarkEnd w:id="100"/>
      <w:bookmarkEnd w:id="101"/>
    </w:p>
    <w:p w:rsidR="008441CB" w:rsidRPr="00B013ED" w:rsidRDefault="008441CB" w:rsidP="002320D8">
      <w:pPr>
        <w:tabs>
          <w:tab w:val="left" w:pos="360"/>
        </w:tabs>
        <w:spacing w:before="120" w:line="480" w:lineRule="auto"/>
        <w:ind w:left="360" w:hanging="360"/>
        <w:jc w:val="both"/>
        <w:rPr>
          <w:rFonts w:cstheme="minorBidi"/>
        </w:rPr>
      </w:pPr>
      <w:r w:rsidRPr="00B013ED">
        <w:rPr>
          <w:rFonts w:cstheme="minorBidi"/>
        </w:rPr>
        <w:t xml:space="preserve">At present there is </w:t>
      </w:r>
      <w:r w:rsidRPr="00B013ED">
        <w:rPr>
          <w:rFonts w:cstheme="minorBidi"/>
          <w:b/>
        </w:rPr>
        <w:t>insufficient</w:t>
      </w:r>
      <w:r w:rsidRPr="00B013ED">
        <w:rPr>
          <w:rFonts w:cstheme="minorBidi"/>
        </w:rPr>
        <w:t xml:space="preserve"> evidence available for this technique to be recommended to be used routinely by clinicians for the management of </w:t>
      </w:r>
      <w:r w:rsidR="004B3418">
        <w:rPr>
          <w:rFonts w:cstheme="minorBidi"/>
        </w:rPr>
        <w:t>non-vital</w:t>
      </w:r>
      <w:r w:rsidRPr="00B013ED">
        <w:rPr>
          <w:rFonts w:cstheme="minorBidi"/>
        </w:rPr>
        <w:t xml:space="preserve"> immature teeth in children</w:t>
      </w:r>
    </w:p>
    <w:p w:rsidR="008441CB" w:rsidRPr="00B013ED" w:rsidRDefault="008441CB" w:rsidP="002320D8">
      <w:pPr>
        <w:spacing w:line="480" w:lineRule="auto"/>
        <w:jc w:val="both"/>
        <w:rPr>
          <w:rFonts w:cstheme="minorBidi"/>
        </w:rPr>
      </w:pPr>
      <w:r w:rsidRPr="00B013ED">
        <w:rPr>
          <w:rFonts w:cstheme="minorBidi"/>
        </w:rPr>
        <w:t xml:space="preserve">However, we suggest that clinicians should give due consideration to the use of this method especially in cases where the root development is very immature and even the use of MTA is unlikely to improve the prognosis of the tooth.  </w:t>
      </w:r>
    </w:p>
    <w:p w:rsidR="008441CB" w:rsidRPr="00AE3AAD" w:rsidRDefault="008441CB" w:rsidP="002320D8">
      <w:pPr>
        <w:spacing w:line="480" w:lineRule="auto"/>
        <w:jc w:val="both"/>
        <w:rPr>
          <w:b/>
          <w:bCs/>
        </w:rPr>
      </w:pPr>
      <w:bookmarkStart w:id="102" w:name="_Toc359995781"/>
      <w:r w:rsidRPr="00B013ED">
        <w:rPr>
          <w:b/>
          <w:bCs/>
        </w:rPr>
        <w:t>The level of recommendation for RET= D</w:t>
      </w:r>
      <w:bookmarkEnd w:id="102"/>
    </w:p>
    <w:p w:rsidR="008441CB" w:rsidRPr="00B013ED" w:rsidRDefault="008441CB" w:rsidP="008441CB">
      <w:pPr>
        <w:autoSpaceDE w:val="0"/>
        <w:autoSpaceDN w:val="0"/>
        <w:adjustRightInd w:val="0"/>
        <w:spacing w:line="600" w:lineRule="auto"/>
        <w:rPr>
          <w:rFonts w:cstheme="minorBidi"/>
          <w:b/>
          <w:sz w:val="28"/>
        </w:rPr>
      </w:pPr>
    </w:p>
    <w:p w:rsidR="008441CB" w:rsidRPr="00B013ED" w:rsidRDefault="008441CB" w:rsidP="008441CB">
      <w:pPr>
        <w:rPr>
          <w:rFonts w:cstheme="minorBidi"/>
          <w:b/>
        </w:rPr>
        <w:sectPr w:rsidR="008441CB" w:rsidRPr="00B013ED" w:rsidSect="00365534">
          <w:pgSz w:w="11906" w:h="16838"/>
          <w:pgMar w:top="1440" w:right="1298" w:bottom="1151" w:left="2268" w:header="709" w:footer="709" w:gutter="0"/>
          <w:cols w:space="708"/>
          <w:docGrid w:linePitch="360"/>
        </w:sectPr>
      </w:pPr>
    </w:p>
    <w:p w:rsidR="00AE3AAD" w:rsidRPr="003C5217" w:rsidRDefault="00AE3AAD" w:rsidP="001D3F19">
      <w:pPr>
        <w:rPr>
          <w:rFonts w:cstheme="minorBidi"/>
          <w:b/>
          <w:bCs/>
          <w:sz w:val="20"/>
          <w:szCs w:val="20"/>
        </w:rPr>
      </w:pPr>
      <w:bookmarkStart w:id="103" w:name="_Ref361166430"/>
      <w:bookmarkStart w:id="104" w:name="_Toc370511726"/>
      <w:proofErr w:type="gramStart"/>
      <w:r w:rsidRPr="003C5217">
        <w:rPr>
          <w:rFonts w:cstheme="minorBidi"/>
          <w:b/>
          <w:bCs/>
          <w:sz w:val="20"/>
          <w:szCs w:val="20"/>
        </w:rPr>
        <w:lastRenderedPageBreak/>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1</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proofErr w:type="gramStart"/>
      <w:r w:rsidR="00374B77">
        <w:rPr>
          <w:rFonts w:cstheme="minorBidi"/>
          <w:b/>
          <w:bCs/>
          <w:noProof/>
          <w:sz w:val="20"/>
          <w:szCs w:val="20"/>
        </w:rPr>
        <w:t>5</w:t>
      </w:r>
      <w:r w:rsidR="00E7089D">
        <w:rPr>
          <w:rFonts w:cstheme="minorBidi"/>
          <w:b/>
          <w:bCs/>
          <w:sz w:val="20"/>
          <w:szCs w:val="20"/>
        </w:rPr>
        <w:fldChar w:fldCharType="end"/>
      </w:r>
      <w:bookmarkEnd w:id="103"/>
      <w:r w:rsidRPr="003C5217">
        <w:rPr>
          <w:rFonts w:cstheme="minorBidi"/>
          <w:b/>
          <w:bCs/>
          <w:sz w:val="20"/>
          <w:szCs w:val="20"/>
        </w:rPr>
        <w:t xml:space="preserve"> Characteristics of clinical studies evaluating the use of Regenerative Endodontic Technique (RET).</w:t>
      </w:r>
      <w:bookmarkEnd w:id="104"/>
      <w:proofErr w:type="gramEnd"/>
    </w:p>
    <w:tbl>
      <w:tblPr>
        <w:tblStyle w:val="TableGrid"/>
        <w:tblW w:w="14142" w:type="dxa"/>
        <w:tblLayout w:type="fixed"/>
        <w:tblLook w:val="04A0" w:firstRow="1" w:lastRow="0" w:firstColumn="1" w:lastColumn="0" w:noHBand="0" w:noVBand="1"/>
      </w:tblPr>
      <w:tblGrid>
        <w:gridCol w:w="1578"/>
        <w:gridCol w:w="1238"/>
        <w:gridCol w:w="1238"/>
        <w:gridCol w:w="1336"/>
        <w:gridCol w:w="1512"/>
        <w:gridCol w:w="1748"/>
        <w:gridCol w:w="2612"/>
        <w:gridCol w:w="2880"/>
      </w:tblGrid>
      <w:tr w:rsidR="00AD6668" w:rsidRPr="009A7115" w:rsidTr="00F1366B">
        <w:trPr>
          <w:trHeight w:val="852"/>
        </w:trPr>
        <w:tc>
          <w:tcPr>
            <w:tcW w:w="15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AD6668" w:rsidRPr="009A7115" w:rsidRDefault="00AD6668" w:rsidP="004156D6">
            <w:pPr>
              <w:jc w:val="center"/>
              <w:rPr>
                <w:rFonts w:cstheme="minorBidi"/>
                <w:b/>
                <w:bCs/>
                <w:sz w:val="20"/>
              </w:rPr>
            </w:pPr>
            <w:r w:rsidRPr="009A7115">
              <w:rPr>
                <w:rFonts w:cstheme="minorBidi"/>
                <w:b/>
                <w:bCs/>
                <w:sz w:val="20"/>
              </w:rPr>
              <w:t>Author</w:t>
            </w:r>
          </w:p>
        </w:tc>
        <w:tc>
          <w:tcPr>
            <w:tcW w:w="123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AD6668" w:rsidRPr="009A7115" w:rsidRDefault="002F2715" w:rsidP="004156D6">
            <w:pPr>
              <w:jc w:val="center"/>
              <w:rPr>
                <w:rFonts w:cstheme="minorBidi"/>
                <w:b/>
                <w:bCs/>
                <w:sz w:val="20"/>
              </w:rPr>
            </w:pPr>
            <w:r w:rsidRPr="009A7115">
              <w:rPr>
                <w:rFonts w:cstheme="minorBidi"/>
                <w:b/>
                <w:bCs/>
                <w:sz w:val="20"/>
              </w:rPr>
              <w:t>L</w:t>
            </w:r>
            <w:r w:rsidR="00AD6668" w:rsidRPr="009A7115">
              <w:rPr>
                <w:rFonts w:cstheme="minorBidi"/>
                <w:b/>
                <w:bCs/>
                <w:sz w:val="20"/>
              </w:rPr>
              <w:t>evel of evidence</w:t>
            </w:r>
          </w:p>
        </w:tc>
        <w:tc>
          <w:tcPr>
            <w:tcW w:w="123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AD6668" w:rsidRPr="009A7115" w:rsidRDefault="00AD6668" w:rsidP="004156D6">
            <w:pPr>
              <w:jc w:val="center"/>
              <w:rPr>
                <w:rFonts w:cstheme="minorBidi"/>
                <w:b/>
                <w:bCs/>
                <w:sz w:val="20"/>
              </w:rPr>
            </w:pPr>
            <w:r w:rsidRPr="009A7115">
              <w:rPr>
                <w:rFonts w:cstheme="minorBidi"/>
                <w:b/>
                <w:bCs/>
                <w:sz w:val="20"/>
              </w:rPr>
              <w:t>n (Teeth)</w:t>
            </w:r>
          </w:p>
        </w:tc>
        <w:tc>
          <w:tcPr>
            <w:tcW w:w="133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AD6668" w:rsidRPr="009A7115" w:rsidRDefault="00AD6668" w:rsidP="004156D6">
            <w:pPr>
              <w:jc w:val="center"/>
              <w:rPr>
                <w:rFonts w:cstheme="minorBidi"/>
                <w:b/>
                <w:bCs/>
                <w:sz w:val="20"/>
              </w:rPr>
            </w:pPr>
            <w:r w:rsidRPr="009A7115">
              <w:rPr>
                <w:rFonts w:cstheme="minorBidi"/>
                <w:b/>
                <w:bCs/>
                <w:sz w:val="20"/>
              </w:rPr>
              <w:t>Dropout</w:t>
            </w:r>
            <w:r w:rsidR="002F2715" w:rsidRPr="009A7115">
              <w:rPr>
                <w:rFonts w:cstheme="minorBidi"/>
                <w:b/>
                <w:bCs/>
                <w:sz w:val="20"/>
              </w:rPr>
              <w:t>s</w:t>
            </w:r>
          </w:p>
        </w:tc>
        <w:tc>
          <w:tcPr>
            <w:tcW w:w="151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AD6668" w:rsidRPr="009A7115" w:rsidRDefault="00AD6668" w:rsidP="004156D6">
            <w:pPr>
              <w:jc w:val="center"/>
              <w:rPr>
                <w:rFonts w:cstheme="minorBidi"/>
                <w:b/>
                <w:bCs/>
                <w:sz w:val="20"/>
              </w:rPr>
            </w:pPr>
            <w:r w:rsidRPr="009A7115">
              <w:rPr>
                <w:rFonts w:cstheme="minorBidi"/>
                <w:b/>
                <w:bCs/>
                <w:sz w:val="20"/>
              </w:rPr>
              <w:t>Age (Years)</w:t>
            </w:r>
          </w:p>
        </w:tc>
        <w:tc>
          <w:tcPr>
            <w:tcW w:w="174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AD6668" w:rsidRPr="009A7115" w:rsidRDefault="00AD6668" w:rsidP="004156D6">
            <w:pPr>
              <w:jc w:val="center"/>
              <w:rPr>
                <w:rFonts w:cstheme="minorBidi"/>
                <w:b/>
                <w:bCs/>
                <w:sz w:val="20"/>
              </w:rPr>
            </w:pPr>
            <w:r w:rsidRPr="009A7115">
              <w:rPr>
                <w:rFonts w:cstheme="minorBidi"/>
                <w:b/>
                <w:bCs/>
                <w:sz w:val="20"/>
              </w:rPr>
              <w:t xml:space="preserve">Length of  </w:t>
            </w:r>
            <w:r w:rsidR="00E84D4E" w:rsidRPr="009A7115">
              <w:rPr>
                <w:rFonts w:cstheme="minorBidi"/>
                <w:b/>
                <w:bCs/>
                <w:sz w:val="20"/>
              </w:rPr>
              <w:t>follow-up</w:t>
            </w:r>
          </w:p>
        </w:tc>
        <w:tc>
          <w:tcPr>
            <w:tcW w:w="261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AD6668" w:rsidRPr="009A7115" w:rsidRDefault="00AD6668" w:rsidP="004156D6">
            <w:pPr>
              <w:jc w:val="center"/>
              <w:rPr>
                <w:rFonts w:cstheme="minorBidi"/>
                <w:b/>
                <w:bCs/>
                <w:sz w:val="20"/>
              </w:rPr>
            </w:pPr>
            <w:r w:rsidRPr="009A7115">
              <w:rPr>
                <w:rFonts w:cstheme="minorBidi"/>
                <w:b/>
                <w:bCs/>
                <w:sz w:val="20"/>
              </w:rPr>
              <w:t>Intervention</w:t>
            </w:r>
          </w:p>
        </w:tc>
        <w:tc>
          <w:tcPr>
            <w:tcW w:w="28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AD6668" w:rsidRPr="009A7115" w:rsidRDefault="00AD6668" w:rsidP="004156D6">
            <w:pPr>
              <w:jc w:val="center"/>
              <w:rPr>
                <w:rFonts w:cstheme="minorBidi"/>
                <w:b/>
                <w:bCs/>
                <w:sz w:val="20"/>
              </w:rPr>
            </w:pPr>
            <w:r w:rsidRPr="009A7115">
              <w:rPr>
                <w:rFonts w:cstheme="minorBidi"/>
                <w:b/>
                <w:bCs/>
                <w:sz w:val="20"/>
              </w:rPr>
              <w:t>Outcomes</w:t>
            </w:r>
          </w:p>
          <w:p w:rsidR="00AD6668" w:rsidRPr="009A7115" w:rsidRDefault="00AD6668" w:rsidP="004156D6">
            <w:pPr>
              <w:jc w:val="center"/>
              <w:rPr>
                <w:rFonts w:cstheme="minorBidi"/>
                <w:b/>
                <w:bCs/>
                <w:sz w:val="20"/>
              </w:rPr>
            </w:pPr>
            <w:r w:rsidRPr="009A7115">
              <w:rPr>
                <w:rFonts w:cstheme="minorBidi"/>
                <w:b/>
                <w:bCs/>
                <w:sz w:val="20"/>
              </w:rPr>
              <w:t>success</w:t>
            </w:r>
          </w:p>
        </w:tc>
      </w:tr>
      <w:tr w:rsidR="00AD6668" w:rsidRPr="009A7115" w:rsidTr="00F1366B">
        <w:trPr>
          <w:trHeight w:val="1030"/>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668" w:rsidRPr="009A7115" w:rsidRDefault="00AD6668" w:rsidP="004156D6">
            <w:pPr>
              <w:jc w:val="center"/>
              <w:rPr>
                <w:rFonts w:cstheme="minorBidi"/>
                <w:b/>
                <w:bCs/>
                <w:sz w:val="20"/>
              </w:rPr>
            </w:pPr>
            <w:r w:rsidRPr="009A7115">
              <w:rPr>
                <w:rFonts w:cstheme="minorBidi"/>
                <w:b/>
                <w:bCs/>
                <w:sz w:val="20"/>
                <w:lang w:val="en-IE"/>
              </w:rPr>
              <w:t>Shah et al 2008</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AD6668" w:rsidRPr="009A7115" w:rsidRDefault="00AD6668" w:rsidP="004156D6">
            <w:pPr>
              <w:jc w:val="center"/>
              <w:rPr>
                <w:rFonts w:cstheme="minorBidi"/>
                <w:b/>
                <w:bCs/>
                <w:sz w:val="20"/>
              </w:rPr>
            </w:pPr>
            <w:r w:rsidRPr="009A7115">
              <w:rPr>
                <w:rFonts w:cstheme="minorBidi"/>
                <w:b/>
                <w:bCs/>
                <w:sz w:val="20"/>
              </w:rPr>
              <w:t>2</w:t>
            </w:r>
          </w:p>
          <w:p w:rsidR="00AD6668" w:rsidRPr="009A7115" w:rsidRDefault="00AD6668" w:rsidP="004156D6">
            <w:pPr>
              <w:jc w:val="center"/>
              <w:rPr>
                <w:rFonts w:cstheme="minorBidi"/>
                <w:b/>
                <w:bCs/>
                <w:sz w:val="20"/>
              </w:rPr>
            </w:pP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r w:rsidRPr="009A7115">
              <w:rPr>
                <w:rFonts w:cstheme="minorBidi"/>
                <w:b/>
                <w:bCs/>
                <w:sz w:val="20"/>
              </w:rPr>
              <w:t>14 teeth</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6668" w:rsidRPr="009A7115" w:rsidRDefault="00AD6668" w:rsidP="004156D6">
            <w:pPr>
              <w:jc w:val="center"/>
              <w:rPr>
                <w:rFonts w:cstheme="minorBidi"/>
                <w:b/>
                <w:bCs/>
                <w:sz w:val="20"/>
              </w:rPr>
            </w:pPr>
            <w:r w:rsidRPr="009A7115">
              <w:rPr>
                <w:rFonts w:cstheme="minorBidi"/>
                <w:b/>
                <w:bCs/>
                <w:sz w:val="20"/>
              </w:rPr>
              <w:t>Not reported</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9 – 18</w:t>
            </w:r>
          </w:p>
        </w:tc>
        <w:tc>
          <w:tcPr>
            <w:tcW w:w="17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E84D4E" w:rsidP="004156D6">
            <w:pPr>
              <w:jc w:val="center"/>
              <w:rPr>
                <w:rFonts w:cstheme="minorBidi"/>
                <w:b/>
                <w:bCs/>
                <w:sz w:val="20"/>
              </w:rPr>
            </w:pPr>
            <w:r w:rsidRPr="009A7115">
              <w:rPr>
                <w:rFonts w:cstheme="minorBidi"/>
                <w:b/>
                <w:bCs/>
                <w:sz w:val="20"/>
              </w:rPr>
              <w:t>follow-up</w:t>
            </w:r>
            <w:r w:rsidR="00AD6668" w:rsidRPr="009A7115">
              <w:rPr>
                <w:rFonts w:cstheme="minorBidi"/>
                <w:b/>
                <w:bCs/>
                <w:sz w:val="20"/>
              </w:rPr>
              <w:t xml:space="preserve"> 6mth – 3.5y</w:t>
            </w:r>
          </w:p>
        </w:tc>
        <w:tc>
          <w:tcPr>
            <w:tcW w:w="26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D6668" w:rsidRPr="009A7115" w:rsidRDefault="00AD6668" w:rsidP="004156D6">
            <w:pPr>
              <w:jc w:val="center"/>
              <w:rPr>
                <w:rFonts w:cstheme="minorBidi"/>
                <w:b/>
                <w:bCs/>
                <w:sz w:val="20"/>
                <w:lang w:val="en-US"/>
              </w:rPr>
            </w:pPr>
            <w:r w:rsidRPr="009A7115">
              <w:rPr>
                <w:rFonts w:cstheme="minorBidi"/>
                <w:b/>
                <w:bCs/>
                <w:sz w:val="20"/>
                <w:lang w:val="en-US"/>
              </w:rPr>
              <w:t xml:space="preserve">3% </w:t>
            </w:r>
            <w:r w:rsidRPr="009A7115">
              <w:rPr>
                <w:rFonts w:cstheme="minorBidi"/>
                <w:b/>
                <w:bCs/>
                <w:sz w:val="20"/>
              </w:rPr>
              <w:t>H2O2 +</w:t>
            </w:r>
            <w:r w:rsidRPr="009A7115">
              <w:rPr>
                <w:rFonts w:cstheme="minorBidi"/>
                <w:b/>
                <w:bCs/>
                <w:sz w:val="20"/>
                <w:lang w:val="en-US"/>
              </w:rPr>
              <w:t xml:space="preserve">2.5% </w:t>
            </w:r>
            <w:r w:rsidRPr="009A7115">
              <w:rPr>
                <w:rFonts w:cstheme="minorBidi"/>
                <w:b/>
                <w:bCs/>
                <w:sz w:val="20"/>
              </w:rPr>
              <w:t>NaOCl</w:t>
            </w:r>
            <w:r w:rsidRPr="009A7115">
              <w:rPr>
                <w:rFonts w:cstheme="minorBidi"/>
                <w:b/>
                <w:bCs/>
                <w:sz w:val="20"/>
                <w:lang w:val="en-US"/>
              </w:rPr>
              <w:t xml:space="preserve"> +Formocresol + GIC</w:t>
            </w:r>
          </w:p>
          <w:p w:rsidR="00AD6668" w:rsidRPr="009A7115" w:rsidRDefault="00AD6668" w:rsidP="004156D6">
            <w:pPr>
              <w:jc w:val="center"/>
              <w:rPr>
                <w:rFonts w:cstheme="minorBidi"/>
                <w:b/>
                <w:bCs/>
                <w:sz w:val="20"/>
              </w:rPr>
            </w:pP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D6668" w:rsidRPr="009A7115" w:rsidRDefault="00AD6668" w:rsidP="004156D6">
            <w:pPr>
              <w:jc w:val="center"/>
              <w:rPr>
                <w:rFonts w:cstheme="minorBidi"/>
                <w:b/>
                <w:bCs/>
                <w:sz w:val="20"/>
              </w:rPr>
            </w:pPr>
            <w:r w:rsidRPr="009A7115">
              <w:rPr>
                <w:rFonts w:cstheme="minorBidi"/>
                <w:b/>
                <w:bCs/>
                <w:sz w:val="20"/>
              </w:rPr>
              <w:t>Radiographically 93%</w:t>
            </w:r>
          </w:p>
          <w:p w:rsidR="00AD6668" w:rsidRPr="009A7115" w:rsidRDefault="00AD6668" w:rsidP="004156D6">
            <w:pPr>
              <w:jc w:val="center"/>
              <w:rPr>
                <w:rFonts w:cstheme="minorBidi"/>
                <w:b/>
                <w:bCs/>
                <w:sz w:val="20"/>
              </w:rPr>
            </w:pPr>
            <w:r w:rsidRPr="009A7115">
              <w:rPr>
                <w:rFonts w:cstheme="minorBidi"/>
                <w:b/>
                <w:bCs/>
                <w:sz w:val="20"/>
              </w:rPr>
              <w:t>PA healing 78%</w:t>
            </w:r>
          </w:p>
          <w:p w:rsidR="00AD6668" w:rsidRPr="009A7115" w:rsidRDefault="00AD6668" w:rsidP="004156D6">
            <w:pPr>
              <w:jc w:val="center"/>
              <w:rPr>
                <w:rFonts w:cstheme="minorBidi"/>
                <w:b/>
                <w:bCs/>
                <w:sz w:val="20"/>
              </w:rPr>
            </w:pPr>
            <w:r w:rsidRPr="009A7115">
              <w:rPr>
                <w:rFonts w:cstheme="minorBidi"/>
                <w:b/>
                <w:bCs/>
                <w:sz w:val="20"/>
              </w:rPr>
              <w:t>Root length 71%</w:t>
            </w:r>
          </w:p>
          <w:p w:rsidR="00AD6668" w:rsidRPr="009A7115" w:rsidRDefault="00AD6668" w:rsidP="004156D6">
            <w:pPr>
              <w:jc w:val="center"/>
              <w:rPr>
                <w:rFonts w:cstheme="minorBidi"/>
                <w:b/>
                <w:bCs/>
                <w:sz w:val="20"/>
              </w:rPr>
            </w:pPr>
            <w:r w:rsidRPr="009A7115">
              <w:rPr>
                <w:rFonts w:cstheme="minorBidi"/>
                <w:b/>
                <w:bCs/>
                <w:sz w:val="20"/>
              </w:rPr>
              <w:t>Dentine thickness 51%</w:t>
            </w:r>
          </w:p>
        </w:tc>
      </w:tr>
      <w:tr w:rsidR="00AD6668" w:rsidRPr="009A7115" w:rsidTr="00F1366B">
        <w:trPr>
          <w:trHeight w:val="690"/>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6668" w:rsidRPr="009A7115" w:rsidRDefault="00AD6668" w:rsidP="004156D6">
            <w:pPr>
              <w:jc w:val="center"/>
              <w:rPr>
                <w:rFonts w:cstheme="minorBidi"/>
                <w:b/>
                <w:bCs/>
                <w:sz w:val="20"/>
              </w:rPr>
            </w:pPr>
            <w:r w:rsidRPr="009A7115">
              <w:rPr>
                <w:rFonts w:cstheme="minorBidi"/>
                <w:b/>
                <w:bCs/>
                <w:sz w:val="20"/>
              </w:rPr>
              <w:t>Chueh et al 2009</w:t>
            </w:r>
          </w:p>
          <w:p w:rsidR="00AD6668" w:rsidRPr="009A7115" w:rsidRDefault="00AD6668" w:rsidP="004156D6">
            <w:pPr>
              <w:jc w:val="center"/>
              <w:rPr>
                <w:rFonts w:cstheme="minorBidi"/>
                <w:b/>
                <w:bCs/>
                <w:sz w:val="20"/>
              </w:rPr>
            </w:pP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AD6668" w:rsidRPr="009A7115" w:rsidRDefault="00AD6668" w:rsidP="004156D6">
            <w:pPr>
              <w:jc w:val="center"/>
              <w:rPr>
                <w:rFonts w:cstheme="minorBidi"/>
                <w:b/>
                <w:bCs/>
                <w:sz w:val="20"/>
              </w:rPr>
            </w:pPr>
            <w:r w:rsidRPr="009A7115">
              <w:rPr>
                <w:rFonts w:cstheme="minorBidi"/>
                <w:b/>
                <w:bCs/>
                <w:sz w:val="20"/>
              </w:rPr>
              <w:t>3</w:t>
            </w:r>
          </w:p>
          <w:p w:rsidR="00AD6668" w:rsidRPr="009A7115" w:rsidRDefault="00AD6668" w:rsidP="004156D6">
            <w:pPr>
              <w:jc w:val="center"/>
              <w:rPr>
                <w:rFonts w:cstheme="minorBidi"/>
                <w:b/>
                <w:bCs/>
                <w:sz w:val="20"/>
              </w:rPr>
            </w:pP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r w:rsidRPr="009A7115">
              <w:rPr>
                <w:rFonts w:cstheme="minorBidi"/>
                <w:b/>
                <w:bCs/>
                <w:sz w:val="20"/>
              </w:rPr>
              <w:t>23 teeth</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2</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r w:rsidRPr="009A7115">
              <w:rPr>
                <w:rFonts w:cstheme="minorBidi"/>
                <w:b/>
                <w:bCs/>
                <w:sz w:val="20"/>
              </w:rPr>
              <w:t>6.8 – 14.2</w:t>
            </w:r>
          </w:p>
          <w:p w:rsidR="00AD6668" w:rsidRPr="009A7115" w:rsidRDefault="00AD6668" w:rsidP="004156D6">
            <w:pPr>
              <w:jc w:val="center"/>
              <w:rPr>
                <w:rFonts w:cstheme="minorBidi"/>
                <w:b/>
                <w:bCs/>
                <w:sz w:val="20"/>
              </w:rPr>
            </w:pPr>
          </w:p>
        </w:tc>
        <w:tc>
          <w:tcPr>
            <w:tcW w:w="17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E84D4E" w:rsidP="004156D6">
            <w:pPr>
              <w:jc w:val="center"/>
              <w:rPr>
                <w:rFonts w:cstheme="minorBidi"/>
                <w:b/>
                <w:bCs/>
                <w:sz w:val="20"/>
              </w:rPr>
            </w:pPr>
            <w:r w:rsidRPr="009A7115">
              <w:rPr>
                <w:rFonts w:cstheme="minorBidi"/>
                <w:b/>
                <w:bCs/>
                <w:sz w:val="20"/>
              </w:rPr>
              <w:t>follow-up</w:t>
            </w:r>
            <w:r w:rsidR="00AD6668" w:rsidRPr="009A7115">
              <w:rPr>
                <w:rFonts w:cstheme="minorBidi"/>
                <w:b/>
                <w:bCs/>
                <w:sz w:val="20"/>
              </w:rPr>
              <w:t xml:space="preserve"> 3.6y</w:t>
            </w:r>
          </w:p>
        </w:tc>
        <w:tc>
          <w:tcPr>
            <w:tcW w:w="26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D6668" w:rsidRPr="009A7115" w:rsidRDefault="00AD6668" w:rsidP="004156D6">
            <w:pPr>
              <w:jc w:val="center"/>
              <w:rPr>
                <w:rFonts w:cstheme="minorBidi"/>
                <w:b/>
                <w:bCs/>
                <w:sz w:val="20"/>
              </w:rPr>
            </w:pPr>
            <w:r w:rsidRPr="009A7115">
              <w:rPr>
                <w:rFonts w:cstheme="minorBidi"/>
                <w:b/>
                <w:bCs/>
                <w:sz w:val="20"/>
                <w:lang w:val="en-US"/>
              </w:rPr>
              <w:t xml:space="preserve">2.5% </w:t>
            </w:r>
            <w:r w:rsidRPr="009A7115">
              <w:rPr>
                <w:rFonts w:cstheme="minorBidi"/>
                <w:b/>
                <w:bCs/>
                <w:sz w:val="20"/>
              </w:rPr>
              <w:t>NaOCl + Ca(</w:t>
            </w:r>
            <w:r w:rsidR="00A0481E" w:rsidRPr="009A7115">
              <w:rPr>
                <w:rFonts w:cstheme="minorBidi"/>
                <w:b/>
                <w:bCs/>
                <w:sz w:val="20"/>
              </w:rPr>
              <w:t>O</w:t>
            </w:r>
            <w:r w:rsidRPr="009A7115">
              <w:rPr>
                <w:rFonts w:cstheme="minorBidi"/>
                <w:b/>
                <w:bCs/>
                <w:sz w:val="20"/>
              </w:rPr>
              <w:t>H)</w:t>
            </w:r>
            <w:r w:rsidRPr="009A7115">
              <w:rPr>
                <w:rFonts w:cstheme="minorBidi"/>
                <w:b/>
                <w:bCs/>
                <w:sz w:val="20"/>
                <w:vertAlign w:val="subscript"/>
              </w:rPr>
              <w:t xml:space="preserve">2 </w:t>
            </w:r>
            <w:r w:rsidRPr="009A7115">
              <w:rPr>
                <w:rFonts w:cstheme="minorBidi"/>
                <w:b/>
                <w:bCs/>
                <w:sz w:val="20"/>
              </w:rPr>
              <w:t>+(MTA or amalgam or GP)</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D6668" w:rsidRPr="009A7115" w:rsidRDefault="00AD6668" w:rsidP="004156D6">
            <w:pPr>
              <w:jc w:val="center"/>
              <w:rPr>
                <w:rFonts w:cstheme="minorBidi"/>
                <w:b/>
                <w:bCs/>
                <w:sz w:val="20"/>
              </w:rPr>
            </w:pPr>
            <w:r w:rsidRPr="009A7115">
              <w:rPr>
                <w:rFonts w:cstheme="minorBidi"/>
                <w:b/>
                <w:bCs/>
                <w:sz w:val="20"/>
              </w:rPr>
              <w:t>PA healing 100%</w:t>
            </w:r>
          </w:p>
          <w:p w:rsidR="00AD6668" w:rsidRPr="009A7115" w:rsidRDefault="00AD6668" w:rsidP="004156D6">
            <w:pPr>
              <w:jc w:val="center"/>
              <w:rPr>
                <w:rFonts w:cstheme="minorBidi"/>
                <w:b/>
                <w:bCs/>
                <w:sz w:val="20"/>
              </w:rPr>
            </w:pPr>
            <w:r w:rsidRPr="009A7115">
              <w:rPr>
                <w:rFonts w:cstheme="minorBidi"/>
                <w:b/>
                <w:bCs/>
                <w:sz w:val="20"/>
              </w:rPr>
              <w:t>Root length 91%</w:t>
            </w:r>
          </w:p>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p>
        </w:tc>
      </w:tr>
      <w:tr w:rsidR="00AD6668" w:rsidRPr="009A7115" w:rsidTr="00F1366B">
        <w:trPr>
          <w:trHeight w:val="760"/>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668" w:rsidRPr="009A7115" w:rsidRDefault="00AD6668" w:rsidP="004156D6">
            <w:pPr>
              <w:jc w:val="center"/>
              <w:rPr>
                <w:rFonts w:cstheme="minorBidi"/>
                <w:b/>
                <w:bCs/>
                <w:sz w:val="20"/>
              </w:rPr>
            </w:pPr>
            <w:r w:rsidRPr="009A7115">
              <w:rPr>
                <w:rFonts w:cstheme="minorBidi"/>
                <w:b/>
                <w:bCs/>
                <w:sz w:val="20"/>
              </w:rPr>
              <w:t>Ding et al 2009</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AD6668" w:rsidRPr="009A7115" w:rsidRDefault="00AD6668" w:rsidP="004156D6">
            <w:pPr>
              <w:jc w:val="center"/>
              <w:rPr>
                <w:rFonts w:cstheme="minorBidi"/>
                <w:b/>
                <w:bCs/>
                <w:sz w:val="20"/>
              </w:rPr>
            </w:pPr>
            <w:r w:rsidRPr="009A7115">
              <w:rPr>
                <w:rFonts w:cstheme="minorBidi"/>
                <w:b/>
                <w:bCs/>
                <w:sz w:val="20"/>
              </w:rPr>
              <w:t>3</w:t>
            </w: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r w:rsidRPr="009A7115">
              <w:rPr>
                <w:rFonts w:cstheme="minorBidi"/>
                <w:b/>
                <w:bCs/>
                <w:sz w:val="20"/>
              </w:rPr>
              <w:t>12 teeth</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3</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8 – 11</w:t>
            </w:r>
          </w:p>
        </w:tc>
        <w:tc>
          <w:tcPr>
            <w:tcW w:w="17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6668" w:rsidRPr="009A7115" w:rsidRDefault="00AD6668" w:rsidP="004156D6">
            <w:pPr>
              <w:jc w:val="center"/>
              <w:rPr>
                <w:rFonts w:cstheme="minorBidi"/>
                <w:b/>
                <w:bCs/>
                <w:sz w:val="20"/>
              </w:rPr>
            </w:pPr>
          </w:p>
          <w:p w:rsidR="00AD6668" w:rsidRPr="009A7115" w:rsidRDefault="00E84D4E" w:rsidP="004156D6">
            <w:pPr>
              <w:jc w:val="center"/>
              <w:rPr>
                <w:rFonts w:cstheme="minorBidi"/>
                <w:b/>
                <w:bCs/>
                <w:sz w:val="20"/>
              </w:rPr>
            </w:pPr>
            <w:r w:rsidRPr="009A7115">
              <w:rPr>
                <w:rFonts w:cstheme="minorBidi"/>
                <w:b/>
                <w:bCs/>
                <w:sz w:val="20"/>
              </w:rPr>
              <w:t>follow-up</w:t>
            </w:r>
            <w:r w:rsidR="00AD6668" w:rsidRPr="009A7115">
              <w:rPr>
                <w:rFonts w:cstheme="minorBidi"/>
                <w:b/>
                <w:bCs/>
                <w:sz w:val="20"/>
              </w:rPr>
              <w:t xml:space="preserve"> 1.3y</w:t>
            </w:r>
          </w:p>
        </w:tc>
        <w:tc>
          <w:tcPr>
            <w:tcW w:w="26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D6668" w:rsidRPr="009A7115" w:rsidRDefault="00AD6668" w:rsidP="004156D6">
            <w:pPr>
              <w:jc w:val="center"/>
              <w:rPr>
                <w:rFonts w:cstheme="minorBidi"/>
                <w:b/>
                <w:bCs/>
                <w:sz w:val="20"/>
              </w:rPr>
            </w:pPr>
            <w:r w:rsidRPr="009A7115">
              <w:rPr>
                <w:rFonts w:cstheme="minorBidi"/>
                <w:b/>
                <w:bCs/>
                <w:sz w:val="20"/>
                <w:lang w:val="en-US"/>
              </w:rPr>
              <w:t xml:space="preserve">5.25% </w:t>
            </w:r>
            <w:r w:rsidRPr="009A7115">
              <w:rPr>
                <w:rFonts w:cstheme="minorBidi"/>
                <w:b/>
                <w:bCs/>
                <w:sz w:val="20"/>
              </w:rPr>
              <w:t>NaOCl + triple antibiotics +MTA</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D6668" w:rsidRPr="009A7115" w:rsidRDefault="00AD6668" w:rsidP="004156D6">
            <w:pPr>
              <w:jc w:val="center"/>
              <w:rPr>
                <w:rFonts w:cstheme="minorBidi"/>
                <w:b/>
                <w:bCs/>
                <w:sz w:val="20"/>
              </w:rPr>
            </w:pPr>
            <w:r w:rsidRPr="009A7115">
              <w:rPr>
                <w:rFonts w:cstheme="minorBidi"/>
                <w:b/>
                <w:bCs/>
                <w:sz w:val="20"/>
              </w:rPr>
              <w:t xml:space="preserve">6 pt completed the treatment But no </w:t>
            </w:r>
            <w:r w:rsidR="00E84D4E" w:rsidRPr="009A7115">
              <w:rPr>
                <w:rFonts w:cstheme="minorBidi"/>
                <w:b/>
                <w:bCs/>
                <w:sz w:val="20"/>
              </w:rPr>
              <w:t>follow-up</w:t>
            </w:r>
            <w:r w:rsidRPr="009A7115">
              <w:rPr>
                <w:rFonts w:cstheme="minorBidi"/>
                <w:b/>
                <w:bCs/>
                <w:sz w:val="20"/>
              </w:rPr>
              <w:t xml:space="preserve"> for 6.</w:t>
            </w:r>
          </w:p>
        </w:tc>
      </w:tr>
      <w:tr w:rsidR="00AD6668" w:rsidRPr="009A7115" w:rsidTr="00F1366B">
        <w:trPr>
          <w:trHeight w:val="1152"/>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668" w:rsidRPr="009A7115" w:rsidRDefault="00AD6668" w:rsidP="004156D6">
            <w:pPr>
              <w:jc w:val="center"/>
              <w:rPr>
                <w:rFonts w:cstheme="minorBidi"/>
                <w:b/>
                <w:bCs/>
                <w:sz w:val="20"/>
              </w:rPr>
            </w:pPr>
            <w:r w:rsidRPr="009A7115">
              <w:rPr>
                <w:rFonts w:cstheme="minorBidi"/>
                <w:b/>
                <w:bCs/>
                <w:sz w:val="20"/>
              </w:rPr>
              <w:t>Jung et al 2008</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AD6668" w:rsidRPr="009A7115" w:rsidRDefault="00AD6668" w:rsidP="004156D6">
            <w:pPr>
              <w:jc w:val="center"/>
              <w:rPr>
                <w:rFonts w:cstheme="minorBidi"/>
                <w:b/>
                <w:bCs/>
                <w:sz w:val="20"/>
              </w:rPr>
            </w:pPr>
            <w:r w:rsidRPr="009A7115">
              <w:rPr>
                <w:rFonts w:cstheme="minorBidi"/>
                <w:b/>
                <w:bCs/>
                <w:sz w:val="20"/>
              </w:rPr>
              <w:t>3</w:t>
            </w:r>
          </w:p>
          <w:p w:rsidR="00AD6668" w:rsidRPr="009A7115" w:rsidRDefault="00AD6668" w:rsidP="004156D6">
            <w:pPr>
              <w:jc w:val="center"/>
              <w:rPr>
                <w:rFonts w:cstheme="minorBidi"/>
                <w:b/>
                <w:bCs/>
                <w:sz w:val="20"/>
              </w:rPr>
            </w:pP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r w:rsidRPr="009A7115">
              <w:rPr>
                <w:rFonts w:cstheme="minorBidi"/>
                <w:b/>
                <w:bCs/>
                <w:sz w:val="20"/>
              </w:rPr>
              <w:t>9 teeth</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9 – 14</w:t>
            </w:r>
          </w:p>
        </w:tc>
        <w:tc>
          <w:tcPr>
            <w:tcW w:w="17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6668" w:rsidRPr="009A7115" w:rsidRDefault="00E84D4E" w:rsidP="004156D6">
            <w:pPr>
              <w:jc w:val="center"/>
              <w:rPr>
                <w:rFonts w:cstheme="minorBidi"/>
                <w:b/>
                <w:bCs/>
                <w:sz w:val="20"/>
              </w:rPr>
            </w:pPr>
            <w:r w:rsidRPr="009A7115">
              <w:rPr>
                <w:rFonts w:cstheme="minorBidi"/>
                <w:b/>
                <w:bCs/>
                <w:sz w:val="20"/>
              </w:rPr>
              <w:t>follow-up</w:t>
            </w:r>
            <w:r w:rsidR="00AD6668" w:rsidRPr="009A7115">
              <w:rPr>
                <w:rFonts w:cstheme="minorBidi"/>
                <w:b/>
                <w:bCs/>
                <w:sz w:val="20"/>
              </w:rPr>
              <w:t xml:space="preserve"> 1 – 5y</w:t>
            </w:r>
          </w:p>
        </w:tc>
        <w:tc>
          <w:tcPr>
            <w:tcW w:w="26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D6668" w:rsidRPr="009A7115" w:rsidRDefault="00AD6668" w:rsidP="004156D6">
            <w:pPr>
              <w:jc w:val="center"/>
              <w:rPr>
                <w:rFonts w:cstheme="minorBidi"/>
                <w:b/>
                <w:bCs/>
                <w:sz w:val="20"/>
              </w:rPr>
            </w:pPr>
            <w:r w:rsidRPr="009A7115">
              <w:rPr>
                <w:rFonts w:cstheme="minorBidi"/>
                <w:b/>
                <w:bCs/>
                <w:sz w:val="20"/>
                <w:lang w:val="en-US"/>
              </w:rPr>
              <w:t>2.5</w:t>
            </w:r>
            <w:r w:rsidRPr="009A7115">
              <w:rPr>
                <w:rFonts w:cstheme="minorBidi"/>
                <w:b/>
                <w:bCs/>
                <w:sz w:val="20"/>
              </w:rPr>
              <w:t xml:space="preserve">– </w:t>
            </w:r>
            <w:r w:rsidRPr="009A7115">
              <w:rPr>
                <w:rFonts w:cstheme="minorBidi"/>
                <w:b/>
                <w:bCs/>
                <w:sz w:val="20"/>
                <w:lang w:val="en-US"/>
              </w:rPr>
              <w:t xml:space="preserve">5.25% </w:t>
            </w:r>
            <w:r w:rsidRPr="009A7115">
              <w:rPr>
                <w:rFonts w:cstheme="minorBidi"/>
                <w:b/>
                <w:bCs/>
                <w:sz w:val="20"/>
              </w:rPr>
              <w:t>NaOCl + triple antibiotics +MTA</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D6668" w:rsidRPr="009A7115" w:rsidRDefault="00AD6668" w:rsidP="004156D6">
            <w:pPr>
              <w:jc w:val="center"/>
              <w:rPr>
                <w:rFonts w:cstheme="minorBidi"/>
                <w:b/>
                <w:bCs/>
                <w:sz w:val="20"/>
              </w:rPr>
            </w:pPr>
            <w:r w:rsidRPr="009A7115">
              <w:rPr>
                <w:rFonts w:cstheme="minorBidi"/>
                <w:b/>
                <w:bCs/>
                <w:sz w:val="20"/>
              </w:rPr>
              <w:t>100 % success asymptomatic +Continued root length &amp; Dentine wall  thickness</w:t>
            </w:r>
          </w:p>
        </w:tc>
      </w:tr>
      <w:tr w:rsidR="00AD6668" w:rsidRPr="009A7115" w:rsidTr="002A64FD">
        <w:trPr>
          <w:trHeight w:val="1029"/>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668" w:rsidRPr="009A7115" w:rsidRDefault="00AD6668" w:rsidP="004156D6">
            <w:pPr>
              <w:jc w:val="center"/>
              <w:rPr>
                <w:rFonts w:cstheme="minorBidi"/>
                <w:b/>
                <w:bCs/>
                <w:sz w:val="20"/>
              </w:rPr>
            </w:pPr>
            <w:r w:rsidRPr="009A7115">
              <w:rPr>
                <w:rFonts w:cstheme="minorBidi"/>
                <w:b/>
                <w:bCs/>
                <w:sz w:val="20"/>
              </w:rPr>
              <w:t>Bose et al 2009</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AD6668" w:rsidRPr="009A7115" w:rsidRDefault="00AD6668" w:rsidP="004156D6">
            <w:pPr>
              <w:jc w:val="center"/>
              <w:rPr>
                <w:rFonts w:cstheme="minorBidi"/>
                <w:b/>
                <w:bCs/>
                <w:sz w:val="20"/>
              </w:rPr>
            </w:pPr>
            <w:r w:rsidRPr="009A7115">
              <w:rPr>
                <w:rFonts w:cstheme="minorBidi"/>
                <w:b/>
                <w:bCs/>
                <w:sz w:val="20"/>
              </w:rPr>
              <w:t>3</w:t>
            </w:r>
          </w:p>
          <w:p w:rsidR="00AD6668" w:rsidRPr="009A7115" w:rsidRDefault="00AD6668" w:rsidP="004156D6">
            <w:pPr>
              <w:jc w:val="center"/>
              <w:rPr>
                <w:rFonts w:cstheme="minorBidi"/>
                <w:b/>
                <w:bCs/>
                <w:sz w:val="20"/>
              </w:rPr>
            </w:pP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r w:rsidRPr="009A7115">
              <w:rPr>
                <w:rFonts w:cstheme="minorBidi"/>
                <w:b/>
                <w:bCs/>
                <w:sz w:val="20"/>
              </w:rPr>
              <w:t>54 teeth</w:t>
            </w:r>
          </w:p>
          <w:p w:rsidR="00AD6668" w:rsidRPr="009A7115" w:rsidRDefault="00AD6668" w:rsidP="004156D6">
            <w:pPr>
              <w:jc w:val="center"/>
              <w:rPr>
                <w:rFonts w:cstheme="minorBidi"/>
                <w:b/>
                <w:bCs/>
                <w:sz w:val="20"/>
              </w:rPr>
            </w:pP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w:t>
            </w:r>
          </w:p>
        </w:tc>
        <w:tc>
          <w:tcPr>
            <w:tcW w:w="17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Not reported</w:t>
            </w:r>
          </w:p>
        </w:tc>
        <w:tc>
          <w:tcPr>
            <w:tcW w:w="26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D6668" w:rsidRPr="009A7115" w:rsidRDefault="00AD6668" w:rsidP="004156D6">
            <w:pPr>
              <w:jc w:val="center"/>
              <w:rPr>
                <w:rFonts w:cstheme="minorBidi"/>
                <w:b/>
                <w:bCs/>
                <w:sz w:val="20"/>
              </w:rPr>
            </w:pPr>
            <w:r w:rsidRPr="009A7115">
              <w:rPr>
                <w:rFonts w:cstheme="minorBidi"/>
                <w:b/>
                <w:bCs/>
                <w:sz w:val="20"/>
              </w:rPr>
              <w:t>NaOCl + Ca(</w:t>
            </w:r>
            <w:r w:rsidR="00A0481E" w:rsidRPr="009A7115">
              <w:rPr>
                <w:rFonts w:cstheme="minorBidi"/>
                <w:b/>
                <w:bCs/>
                <w:sz w:val="20"/>
              </w:rPr>
              <w:t>O</w:t>
            </w:r>
            <w:r w:rsidRPr="009A7115">
              <w:rPr>
                <w:rFonts w:cstheme="minorBidi"/>
                <w:b/>
                <w:bCs/>
                <w:sz w:val="20"/>
              </w:rPr>
              <w:t>H)</w:t>
            </w:r>
            <w:r w:rsidRPr="009A7115">
              <w:rPr>
                <w:rFonts w:cstheme="minorBidi"/>
                <w:b/>
                <w:bCs/>
                <w:sz w:val="20"/>
                <w:vertAlign w:val="subscript"/>
              </w:rPr>
              <w:t>2</w:t>
            </w:r>
            <w:r w:rsidRPr="009A7115">
              <w:rPr>
                <w:rFonts w:cstheme="minorBidi"/>
                <w:b/>
                <w:bCs/>
                <w:sz w:val="20"/>
              </w:rPr>
              <w:t xml:space="preserve">, triple antibiotics &amp; </w:t>
            </w:r>
            <w:r w:rsidRPr="009A7115">
              <w:rPr>
                <w:rFonts w:cstheme="minorBidi"/>
                <w:b/>
                <w:bCs/>
                <w:sz w:val="20"/>
                <w:lang w:val="en-US"/>
              </w:rPr>
              <w:t>Formocresol</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D6668" w:rsidRPr="009A7115" w:rsidRDefault="00AD6668" w:rsidP="004156D6">
            <w:pPr>
              <w:jc w:val="center"/>
              <w:rPr>
                <w:rFonts w:cstheme="minorBidi"/>
                <w:b/>
                <w:bCs/>
                <w:sz w:val="20"/>
              </w:rPr>
            </w:pPr>
            <w:r w:rsidRPr="009A7115">
              <w:rPr>
                <w:rFonts w:cstheme="minorBidi"/>
                <w:b/>
                <w:bCs/>
                <w:sz w:val="20"/>
              </w:rPr>
              <w:t>Ret success 89% increase in root length and thickness</w:t>
            </w:r>
          </w:p>
        </w:tc>
      </w:tr>
      <w:tr w:rsidR="00AD6668" w:rsidRPr="009A7115" w:rsidTr="00F1366B">
        <w:trPr>
          <w:trHeight w:val="846"/>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668" w:rsidRPr="009A7115" w:rsidRDefault="00AD6668" w:rsidP="004156D6">
            <w:pPr>
              <w:jc w:val="center"/>
              <w:rPr>
                <w:rFonts w:cstheme="minorBidi"/>
                <w:b/>
                <w:bCs/>
                <w:sz w:val="20"/>
              </w:rPr>
            </w:pPr>
            <w:r w:rsidRPr="009A7115">
              <w:rPr>
                <w:rFonts w:cstheme="minorBidi"/>
                <w:b/>
                <w:bCs/>
                <w:sz w:val="20"/>
              </w:rPr>
              <w:t>Chueh &amp; Huang 2006</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AD6668" w:rsidRPr="009A7115" w:rsidRDefault="00AD6668" w:rsidP="004156D6">
            <w:pPr>
              <w:jc w:val="center"/>
              <w:rPr>
                <w:rFonts w:cstheme="minorBidi"/>
                <w:b/>
                <w:bCs/>
                <w:sz w:val="20"/>
                <w:highlight w:val="yellow"/>
              </w:rPr>
            </w:pPr>
            <w:r w:rsidRPr="009A7115">
              <w:rPr>
                <w:rFonts w:cstheme="minorBidi"/>
                <w:b/>
                <w:bCs/>
                <w:sz w:val="20"/>
              </w:rPr>
              <w:t>3</w:t>
            </w:r>
          </w:p>
          <w:p w:rsidR="00AD6668" w:rsidRPr="009A7115" w:rsidRDefault="00AD6668" w:rsidP="004156D6">
            <w:pPr>
              <w:jc w:val="center"/>
              <w:rPr>
                <w:rFonts w:cstheme="minorBidi"/>
                <w:b/>
                <w:bCs/>
                <w:sz w:val="20"/>
              </w:rPr>
            </w:pP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r w:rsidRPr="009A7115">
              <w:rPr>
                <w:rFonts w:cstheme="minorBidi"/>
                <w:b/>
                <w:bCs/>
                <w:sz w:val="20"/>
              </w:rPr>
              <w:t>4 teeth</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9 – 10</w:t>
            </w:r>
          </w:p>
        </w:tc>
        <w:tc>
          <w:tcPr>
            <w:tcW w:w="17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E84D4E" w:rsidP="004156D6">
            <w:pPr>
              <w:jc w:val="center"/>
              <w:rPr>
                <w:rFonts w:cstheme="minorBidi"/>
                <w:b/>
                <w:bCs/>
                <w:sz w:val="20"/>
              </w:rPr>
            </w:pPr>
            <w:r w:rsidRPr="009A7115">
              <w:rPr>
                <w:rFonts w:cstheme="minorBidi"/>
                <w:b/>
                <w:bCs/>
                <w:sz w:val="20"/>
              </w:rPr>
              <w:t>follow-up</w:t>
            </w:r>
            <w:r w:rsidR="00AD6668" w:rsidRPr="009A7115">
              <w:rPr>
                <w:rFonts w:cstheme="minorBidi"/>
                <w:b/>
                <w:bCs/>
                <w:sz w:val="20"/>
              </w:rPr>
              <w:t xml:space="preserve"> 7mth – 5y</w:t>
            </w:r>
          </w:p>
        </w:tc>
        <w:tc>
          <w:tcPr>
            <w:tcW w:w="26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D6668" w:rsidRPr="009A7115" w:rsidRDefault="00AD6668" w:rsidP="004156D6">
            <w:pPr>
              <w:jc w:val="center"/>
              <w:rPr>
                <w:rFonts w:cstheme="minorBidi"/>
                <w:b/>
                <w:bCs/>
                <w:sz w:val="20"/>
              </w:rPr>
            </w:pPr>
            <w:r w:rsidRPr="009A7115">
              <w:rPr>
                <w:rFonts w:cstheme="minorBidi"/>
                <w:b/>
                <w:bCs/>
                <w:sz w:val="20"/>
                <w:lang w:val="en-US"/>
              </w:rPr>
              <w:t xml:space="preserve">2.5% </w:t>
            </w:r>
            <w:r w:rsidRPr="009A7115">
              <w:rPr>
                <w:rFonts w:cstheme="minorBidi"/>
                <w:b/>
                <w:bCs/>
                <w:sz w:val="20"/>
              </w:rPr>
              <w:t>NaOCl /Ca(</w:t>
            </w:r>
            <w:r w:rsidR="00A0481E" w:rsidRPr="009A7115">
              <w:rPr>
                <w:rFonts w:cstheme="minorBidi"/>
                <w:b/>
                <w:bCs/>
                <w:sz w:val="20"/>
              </w:rPr>
              <w:t>O</w:t>
            </w:r>
            <w:r w:rsidRPr="009A7115">
              <w:rPr>
                <w:rFonts w:cstheme="minorBidi"/>
                <w:b/>
                <w:bCs/>
                <w:sz w:val="20"/>
              </w:rPr>
              <w:t>H)</w:t>
            </w:r>
            <w:r w:rsidRPr="009A7115">
              <w:rPr>
                <w:rFonts w:cstheme="minorBidi"/>
                <w:b/>
                <w:bCs/>
                <w:sz w:val="20"/>
                <w:vertAlign w:val="subscript"/>
              </w:rPr>
              <w:t xml:space="preserve">2 </w:t>
            </w:r>
            <w:r w:rsidRPr="009A7115">
              <w:rPr>
                <w:rFonts w:cstheme="minorBidi"/>
                <w:b/>
                <w:bCs/>
                <w:sz w:val="20"/>
              </w:rPr>
              <w:t>+ amalgam/GIC</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D6668" w:rsidRPr="009A7115" w:rsidRDefault="00AD6668" w:rsidP="004156D6">
            <w:pPr>
              <w:jc w:val="center"/>
              <w:rPr>
                <w:rFonts w:cstheme="minorBidi"/>
                <w:b/>
                <w:bCs/>
                <w:sz w:val="20"/>
              </w:rPr>
            </w:pPr>
            <w:r w:rsidRPr="009A7115">
              <w:rPr>
                <w:rFonts w:cstheme="minorBidi"/>
                <w:b/>
                <w:bCs/>
                <w:sz w:val="20"/>
              </w:rPr>
              <w:t>100% success of RET with Complete calcification of apical 1/3 of the root</w:t>
            </w:r>
          </w:p>
        </w:tc>
      </w:tr>
      <w:tr w:rsidR="00AD6668" w:rsidRPr="009A7115" w:rsidTr="00F1366B">
        <w:trPr>
          <w:trHeight w:val="844"/>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668" w:rsidRPr="009A7115" w:rsidRDefault="00AD6668" w:rsidP="004156D6">
            <w:pPr>
              <w:jc w:val="center"/>
              <w:rPr>
                <w:rFonts w:cstheme="minorBidi"/>
                <w:b/>
                <w:bCs/>
                <w:sz w:val="20"/>
              </w:rPr>
            </w:pPr>
            <w:r w:rsidRPr="009A7115">
              <w:rPr>
                <w:rFonts w:cstheme="minorBidi"/>
                <w:b/>
                <w:bCs/>
                <w:sz w:val="20"/>
              </w:rPr>
              <w:t>Reynolds et al 2008</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AD6668" w:rsidRPr="009A7115" w:rsidRDefault="00AD6668" w:rsidP="004156D6">
            <w:pPr>
              <w:jc w:val="center"/>
              <w:rPr>
                <w:rFonts w:cstheme="minorBidi"/>
                <w:b/>
                <w:bCs/>
                <w:sz w:val="20"/>
              </w:rPr>
            </w:pPr>
            <w:r w:rsidRPr="009A7115">
              <w:rPr>
                <w:rFonts w:cstheme="minorBidi"/>
                <w:b/>
                <w:bCs/>
                <w:sz w:val="20"/>
              </w:rPr>
              <w:t>3</w:t>
            </w:r>
          </w:p>
          <w:p w:rsidR="00AD6668" w:rsidRPr="009A7115" w:rsidRDefault="00AD6668" w:rsidP="004156D6">
            <w:pPr>
              <w:jc w:val="center"/>
              <w:rPr>
                <w:rFonts w:cstheme="minorBidi"/>
                <w:b/>
                <w:bCs/>
                <w:sz w:val="20"/>
                <w:highlight w:val="yellow"/>
              </w:rPr>
            </w:pP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r w:rsidRPr="009A7115">
              <w:rPr>
                <w:rFonts w:cstheme="minorBidi"/>
                <w:b/>
                <w:bCs/>
                <w:sz w:val="20"/>
              </w:rPr>
              <w:t>2</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11</w:t>
            </w:r>
          </w:p>
        </w:tc>
        <w:tc>
          <w:tcPr>
            <w:tcW w:w="17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E84D4E" w:rsidP="004156D6">
            <w:pPr>
              <w:jc w:val="center"/>
              <w:rPr>
                <w:rFonts w:cstheme="minorBidi"/>
                <w:b/>
                <w:bCs/>
                <w:sz w:val="20"/>
              </w:rPr>
            </w:pPr>
            <w:r w:rsidRPr="009A7115">
              <w:rPr>
                <w:rFonts w:cstheme="minorBidi"/>
                <w:b/>
                <w:bCs/>
                <w:sz w:val="20"/>
              </w:rPr>
              <w:t>follow-up</w:t>
            </w:r>
            <w:r w:rsidR="00AD6668" w:rsidRPr="009A7115">
              <w:rPr>
                <w:rFonts w:cstheme="minorBidi"/>
                <w:b/>
                <w:bCs/>
                <w:sz w:val="20"/>
              </w:rPr>
              <w:t xml:space="preserve"> 18mth</w:t>
            </w:r>
          </w:p>
        </w:tc>
        <w:tc>
          <w:tcPr>
            <w:tcW w:w="26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D6668" w:rsidRPr="009A7115" w:rsidRDefault="00AD6668" w:rsidP="004156D6">
            <w:pPr>
              <w:jc w:val="center"/>
              <w:rPr>
                <w:rFonts w:cstheme="minorBidi"/>
                <w:b/>
                <w:bCs/>
                <w:sz w:val="20"/>
                <w:lang w:val="en-US"/>
              </w:rPr>
            </w:pPr>
            <w:r w:rsidRPr="009A7115">
              <w:rPr>
                <w:rFonts w:cstheme="minorBidi"/>
                <w:b/>
                <w:bCs/>
                <w:sz w:val="20"/>
                <w:lang w:val="en-US"/>
              </w:rPr>
              <w:t xml:space="preserve">6% </w:t>
            </w:r>
            <w:r w:rsidRPr="009A7115">
              <w:rPr>
                <w:rFonts w:cstheme="minorBidi"/>
                <w:b/>
                <w:bCs/>
                <w:sz w:val="20"/>
              </w:rPr>
              <w:t>NaOCl+ CHX + triple antibiotics +MTA</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D6668" w:rsidRPr="009A7115" w:rsidRDefault="00AD6668" w:rsidP="004156D6">
            <w:pPr>
              <w:jc w:val="center"/>
              <w:rPr>
                <w:rFonts w:cstheme="minorBidi"/>
                <w:b/>
                <w:bCs/>
                <w:sz w:val="20"/>
              </w:rPr>
            </w:pPr>
            <w:r w:rsidRPr="009A7115">
              <w:rPr>
                <w:rFonts w:cstheme="minorBidi"/>
                <w:b/>
                <w:bCs/>
                <w:sz w:val="20"/>
              </w:rPr>
              <w:t>100% success with slight cervical discoloration</w:t>
            </w:r>
          </w:p>
        </w:tc>
      </w:tr>
      <w:tr w:rsidR="00AD6668" w:rsidRPr="009A7115" w:rsidTr="00F1366B">
        <w:trPr>
          <w:trHeight w:val="699"/>
        </w:trPr>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668" w:rsidRPr="009A7115" w:rsidRDefault="00CE5AC8" w:rsidP="004156D6">
            <w:pPr>
              <w:jc w:val="center"/>
              <w:rPr>
                <w:rFonts w:cstheme="minorBidi"/>
                <w:b/>
                <w:bCs/>
                <w:sz w:val="20"/>
              </w:rPr>
            </w:pPr>
            <w:bookmarkStart w:id="105" w:name="au1"/>
            <w:bookmarkEnd w:id="105"/>
            <w:r w:rsidRPr="009A7115">
              <w:rPr>
                <w:rFonts w:cstheme="minorBidi"/>
                <w:b/>
                <w:bCs/>
                <w:sz w:val="20"/>
              </w:rPr>
              <w:t>Petrino</w:t>
            </w:r>
            <w:r w:rsidRPr="009A7115" w:rsidDel="00CE5AC8">
              <w:rPr>
                <w:rStyle w:val="Strong"/>
                <w:rFonts w:cstheme="minorBidi"/>
                <w:sz w:val="20"/>
              </w:rPr>
              <w:t xml:space="preserve"> </w:t>
            </w:r>
            <w:r w:rsidR="00AD6668" w:rsidRPr="009A7115">
              <w:rPr>
                <w:rStyle w:val="Strong"/>
                <w:rFonts w:cstheme="minorBidi"/>
                <w:sz w:val="20"/>
              </w:rPr>
              <w:t>et al 2010</w:t>
            </w:r>
          </w:p>
        </w:tc>
        <w:tc>
          <w:tcPr>
            <w:tcW w:w="123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AD6668" w:rsidRPr="009A7115" w:rsidRDefault="00AD6668" w:rsidP="004156D6">
            <w:pPr>
              <w:jc w:val="center"/>
              <w:rPr>
                <w:rFonts w:cstheme="minorBidi"/>
                <w:b/>
                <w:bCs/>
                <w:sz w:val="20"/>
              </w:rPr>
            </w:pPr>
            <w:r w:rsidRPr="009A7115">
              <w:rPr>
                <w:rFonts w:cstheme="minorBidi"/>
                <w:b/>
                <w:bCs/>
                <w:sz w:val="20"/>
              </w:rPr>
              <w:t>3</w:t>
            </w:r>
          </w:p>
          <w:p w:rsidR="00AD6668" w:rsidRPr="009A7115" w:rsidRDefault="00AD6668" w:rsidP="004156D6">
            <w:pPr>
              <w:jc w:val="center"/>
              <w:rPr>
                <w:rFonts w:cstheme="minorBidi"/>
                <w:b/>
                <w:bCs/>
                <w:sz w:val="20"/>
                <w:highlight w:val="yellow"/>
              </w:rPr>
            </w:pP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AD6668" w:rsidP="004156D6">
            <w:pPr>
              <w:jc w:val="center"/>
              <w:rPr>
                <w:rFonts w:cstheme="minorBidi"/>
                <w:b/>
                <w:bCs/>
                <w:sz w:val="20"/>
              </w:rPr>
            </w:pPr>
            <w:r w:rsidRPr="009A7115">
              <w:rPr>
                <w:rFonts w:cstheme="minorBidi"/>
                <w:b/>
                <w:bCs/>
                <w:sz w:val="20"/>
              </w:rPr>
              <w:t>6</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w:t>
            </w:r>
          </w:p>
        </w:tc>
        <w:tc>
          <w:tcPr>
            <w:tcW w:w="1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6668" w:rsidRPr="009A7115" w:rsidRDefault="00AD6668" w:rsidP="004156D6">
            <w:pPr>
              <w:jc w:val="center"/>
              <w:rPr>
                <w:rFonts w:cstheme="minorBidi"/>
                <w:b/>
                <w:bCs/>
                <w:sz w:val="20"/>
              </w:rPr>
            </w:pPr>
          </w:p>
          <w:p w:rsidR="00AD6668" w:rsidRPr="009A7115" w:rsidRDefault="00AD6668" w:rsidP="004156D6">
            <w:pPr>
              <w:jc w:val="center"/>
              <w:rPr>
                <w:rFonts w:cstheme="minorBidi"/>
                <w:b/>
                <w:bCs/>
                <w:sz w:val="20"/>
              </w:rPr>
            </w:pPr>
            <w:r w:rsidRPr="009A7115">
              <w:rPr>
                <w:rFonts w:cstheme="minorBidi"/>
                <w:b/>
                <w:bCs/>
                <w:sz w:val="20"/>
              </w:rPr>
              <w:t>6 – 13</w:t>
            </w:r>
          </w:p>
          <w:p w:rsidR="00AD6668" w:rsidRPr="009A7115" w:rsidRDefault="00AD6668" w:rsidP="004156D6">
            <w:pPr>
              <w:jc w:val="center"/>
              <w:rPr>
                <w:rFonts w:cstheme="minorBidi"/>
                <w:b/>
                <w:bCs/>
                <w:sz w:val="20"/>
              </w:rPr>
            </w:pPr>
          </w:p>
        </w:tc>
        <w:tc>
          <w:tcPr>
            <w:tcW w:w="17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D6668" w:rsidRPr="009A7115" w:rsidRDefault="00E84D4E" w:rsidP="004156D6">
            <w:pPr>
              <w:jc w:val="center"/>
              <w:rPr>
                <w:rFonts w:cstheme="minorBidi"/>
                <w:b/>
                <w:bCs/>
                <w:sz w:val="20"/>
              </w:rPr>
            </w:pPr>
            <w:r w:rsidRPr="009A7115">
              <w:rPr>
                <w:rFonts w:cstheme="minorBidi"/>
                <w:b/>
                <w:bCs/>
                <w:sz w:val="20"/>
              </w:rPr>
              <w:t>follow-up</w:t>
            </w:r>
            <w:r w:rsidR="00AD6668" w:rsidRPr="009A7115">
              <w:rPr>
                <w:rFonts w:cstheme="minorBidi"/>
                <w:b/>
                <w:bCs/>
                <w:sz w:val="20"/>
              </w:rPr>
              <w:t xml:space="preserve"> 6mth – 1y</w:t>
            </w:r>
          </w:p>
        </w:tc>
        <w:tc>
          <w:tcPr>
            <w:tcW w:w="26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D6668" w:rsidRPr="009A7115" w:rsidRDefault="00AD6668" w:rsidP="004156D6">
            <w:pPr>
              <w:jc w:val="center"/>
              <w:rPr>
                <w:rFonts w:cstheme="minorBidi"/>
                <w:b/>
                <w:bCs/>
                <w:sz w:val="20"/>
                <w:lang w:val="en-US"/>
              </w:rPr>
            </w:pPr>
            <w:r w:rsidRPr="009A7115">
              <w:rPr>
                <w:rFonts w:cstheme="minorBidi"/>
                <w:b/>
                <w:bCs/>
                <w:sz w:val="20"/>
                <w:lang w:val="en-US"/>
              </w:rPr>
              <w:t>5.25%</w:t>
            </w:r>
            <w:r w:rsidRPr="009A7115">
              <w:rPr>
                <w:rFonts w:cstheme="minorBidi"/>
                <w:b/>
                <w:bCs/>
                <w:sz w:val="20"/>
              </w:rPr>
              <w:t>NaOCl+ .12%CHX + triple antibiotics +MTA</w:t>
            </w:r>
          </w:p>
        </w:tc>
        <w:tc>
          <w:tcPr>
            <w:tcW w:w="288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D6668" w:rsidRPr="009A7115" w:rsidRDefault="00AD6668" w:rsidP="004156D6">
            <w:pPr>
              <w:jc w:val="center"/>
              <w:rPr>
                <w:rFonts w:cstheme="minorBidi"/>
                <w:b/>
                <w:bCs/>
                <w:sz w:val="20"/>
              </w:rPr>
            </w:pPr>
            <w:r w:rsidRPr="009A7115">
              <w:rPr>
                <w:rFonts w:cstheme="minorBidi"/>
                <w:b/>
                <w:bCs/>
                <w:sz w:val="20"/>
              </w:rPr>
              <w:t>100% success increased root length &amp; 50% increase in dentine wall +some discoloration</w:t>
            </w:r>
          </w:p>
        </w:tc>
      </w:tr>
    </w:tbl>
    <w:p w:rsidR="008441CB" w:rsidRPr="00B013ED" w:rsidRDefault="008441CB" w:rsidP="00AD6668">
      <w:pPr>
        <w:pStyle w:val="Heading1"/>
        <w:numPr>
          <w:ilvl w:val="0"/>
          <w:numId w:val="0"/>
        </w:numPr>
        <w:sectPr w:rsidR="008441CB" w:rsidRPr="00B013ED" w:rsidSect="00365534">
          <w:pgSz w:w="16838" w:h="11906" w:orient="landscape"/>
          <w:pgMar w:top="1440" w:right="1298" w:bottom="1151" w:left="2268" w:header="709" w:footer="709" w:gutter="0"/>
          <w:cols w:space="708"/>
          <w:docGrid w:linePitch="360"/>
        </w:sectPr>
      </w:pPr>
    </w:p>
    <w:p w:rsidR="008441CB" w:rsidRPr="00B013ED" w:rsidRDefault="008441CB" w:rsidP="002B54A2">
      <w:pPr>
        <w:pStyle w:val="Heading2"/>
      </w:pPr>
      <w:bookmarkStart w:id="106" w:name="_Toc359995782"/>
      <w:bookmarkStart w:id="107" w:name="_Toc370819205"/>
      <w:r w:rsidRPr="00B013ED">
        <w:lastRenderedPageBreak/>
        <w:t>Conclusions and Summary</w:t>
      </w:r>
      <w:bookmarkEnd w:id="106"/>
      <w:bookmarkEnd w:id="107"/>
      <w:r w:rsidRPr="00B013ED">
        <w:t xml:space="preserve"> </w:t>
      </w:r>
    </w:p>
    <w:p w:rsidR="008441CB" w:rsidRPr="00B013ED" w:rsidRDefault="008441CB" w:rsidP="00033813">
      <w:pPr>
        <w:autoSpaceDE w:val="0"/>
        <w:autoSpaceDN w:val="0"/>
        <w:adjustRightInd w:val="0"/>
        <w:spacing w:line="480" w:lineRule="auto"/>
        <w:rPr>
          <w:rFonts w:cstheme="minorBidi"/>
          <w:b/>
        </w:rPr>
      </w:pPr>
      <w:r w:rsidRPr="00B013ED">
        <w:rPr>
          <w:rFonts w:cstheme="minorBidi"/>
          <w:b/>
        </w:rPr>
        <w:t>Recommendations of best practice based on the clinical experience of the guideline development group</w:t>
      </w:r>
      <w:r w:rsidR="00620F69">
        <w:rPr>
          <w:rFonts w:cstheme="minorBidi"/>
          <w:b/>
        </w:rPr>
        <w:t xml:space="preserve"> (SIGN)</w:t>
      </w:r>
      <w:r w:rsidRPr="00B013ED">
        <w:rPr>
          <w:rFonts w:cstheme="minorBidi"/>
          <w:b/>
        </w:rPr>
        <w:t xml:space="preserve"> for the management of </w:t>
      </w:r>
      <w:r w:rsidR="004B3418">
        <w:rPr>
          <w:rFonts w:cstheme="minorBidi"/>
          <w:b/>
        </w:rPr>
        <w:t>non-vital</w:t>
      </w:r>
      <w:r w:rsidRPr="00B013ED">
        <w:rPr>
          <w:rFonts w:cstheme="minorBidi"/>
          <w:b/>
        </w:rPr>
        <w:t xml:space="preserve"> anterior teeth with incomplete root development.</w:t>
      </w:r>
    </w:p>
    <w:p w:rsidR="008441CB" w:rsidRDefault="008441CB" w:rsidP="00E67E7F">
      <w:pPr>
        <w:pStyle w:val="ListParagraph"/>
        <w:numPr>
          <w:ilvl w:val="0"/>
          <w:numId w:val="54"/>
        </w:numPr>
        <w:autoSpaceDE w:val="0"/>
        <w:autoSpaceDN w:val="0"/>
        <w:adjustRightInd w:val="0"/>
        <w:spacing w:after="0" w:line="480" w:lineRule="auto"/>
        <w:rPr>
          <w:rFonts w:cstheme="minorBidi"/>
          <w:szCs w:val="24"/>
        </w:rPr>
      </w:pPr>
      <w:r w:rsidRPr="00B013ED">
        <w:rPr>
          <w:rFonts w:cstheme="minorBidi"/>
          <w:szCs w:val="24"/>
        </w:rPr>
        <w:t xml:space="preserve">There seems to be sufficient evidence to make a recommendation that the prolonged use of calcium hydroxide in root canals of </w:t>
      </w:r>
      <w:r w:rsidR="004B3418">
        <w:rPr>
          <w:rFonts w:cstheme="minorBidi"/>
          <w:szCs w:val="24"/>
        </w:rPr>
        <w:t>non-vital</w:t>
      </w:r>
      <w:r w:rsidRPr="00B013ED">
        <w:rPr>
          <w:rFonts w:cstheme="minorBidi"/>
          <w:szCs w:val="24"/>
        </w:rPr>
        <w:t xml:space="preserve"> immature teeth should be avoided.  Therefore the prolonged use of calcium hydroxide for the traditional apexification technique is no longer advocated as the treatment of choice for such teeth.</w:t>
      </w:r>
    </w:p>
    <w:p w:rsidR="00AD6668" w:rsidRPr="00B013ED" w:rsidRDefault="00AD6668" w:rsidP="00AD6668">
      <w:pPr>
        <w:pStyle w:val="ListParagraph"/>
        <w:autoSpaceDE w:val="0"/>
        <w:autoSpaceDN w:val="0"/>
        <w:adjustRightInd w:val="0"/>
        <w:spacing w:after="0" w:line="480" w:lineRule="auto"/>
        <w:rPr>
          <w:rFonts w:cstheme="minorBidi"/>
          <w:szCs w:val="24"/>
        </w:rPr>
      </w:pPr>
    </w:p>
    <w:p w:rsidR="00AD6668" w:rsidRDefault="008441CB" w:rsidP="00E67E7F">
      <w:pPr>
        <w:pStyle w:val="ListParagraph"/>
        <w:numPr>
          <w:ilvl w:val="0"/>
          <w:numId w:val="54"/>
        </w:numPr>
        <w:autoSpaceDE w:val="0"/>
        <w:autoSpaceDN w:val="0"/>
        <w:adjustRightInd w:val="0"/>
        <w:spacing w:after="0" w:line="480" w:lineRule="auto"/>
        <w:rPr>
          <w:rFonts w:cstheme="minorBidi"/>
          <w:szCs w:val="24"/>
        </w:rPr>
      </w:pPr>
      <w:r w:rsidRPr="00B013ED">
        <w:rPr>
          <w:rFonts w:cstheme="minorBidi"/>
          <w:szCs w:val="24"/>
        </w:rPr>
        <w:t xml:space="preserve">For </w:t>
      </w:r>
      <w:r w:rsidR="004B3418">
        <w:rPr>
          <w:rFonts w:cstheme="minorBidi"/>
          <w:szCs w:val="24"/>
        </w:rPr>
        <w:t>non-vital</w:t>
      </w:r>
      <w:r w:rsidRPr="00B013ED">
        <w:rPr>
          <w:rFonts w:cstheme="minorBidi"/>
          <w:szCs w:val="24"/>
        </w:rPr>
        <w:t xml:space="preserve"> anterior teeth with incomplete root development, and/or a wide open apex it is recommended to use calcium hydroxide for a short period of time to achieve disinfection.  This should be followed by the application of MTA to create a barrier, obturation of root canal space with gutta percha and finally the creation of a good coronal seal to prevent re-infection of the root canal space.  </w:t>
      </w:r>
      <w:r w:rsidR="00AD6668">
        <w:rPr>
          <w:rFonts w:cstheme="minorBidi"/>
          <w:szCs w:val="24"/>
        </w:rPr>
        <w:t xml:space="preserve">                                                          </w:t>
      </w:r>
    </w:p>
    <w:p w:rsidR="00AD6668" w:rsidRPr="00AD6668" w:rsidRDefault="00AD6668" w:rsidP="00AD6668">
      <w:pPr>
        <w:pStyle w:val="ListParagraph"/>
        <w:rPr>
          <w:rFonts w:cstheme="minorBidi"/>
          <w:b/>
          <w:szCs w:val="24"/>
        </w:rPr>
      </w:pPr>
    </w:p>
    <w:p w:rsidR="008441CB" w:rsidRPr="00AD6668" w:rsidRDefault="008441CB" w:rsidP="00AD6668">
      <w:pPr>
        <w:pStyle w:val="ListParagraph"/>
        <w:autoSpaceDE w:val="0"/>
        <w:autoSpaceDN w:val="0"/>
        <w:adjustRightInd w:val="0"/>
        <w:spacing w:after="0" w:line="480" w:lineRule="auto"/>
        <w:rPr>
          <w:rFonts w:cstheme="minorBidi"/>
          <w:szCs w:val="24"/>
        </w:rPr>
      </w:pPr>
      <w:r w:rsidRPr="00AD6668">
        <w:rPr>
          <w:rFonts w:cstheme="minorBidi"/>
          <w:b/>
          <w:szCs w:val="24"/>
        </w:rPr>
        <w:t>This should be the treatment of choice based on the current systematic review.</w:t>
      </w:r>
    </w:p>
    <w:p w:rsidR="00033813" w:rsidRPr="00360E50" w:rsidRDefault="008441CB" w:rsidP="00E67E7F">
      <w:pPr>
        <w:pStyle w:val="ListParagraph"/>
        <w:numPr>
          <w:ilvl w:val="0"/>
          <w:numId w:val="54"/>
        </w:numPr>
        <w:autoSpaceDE w:val="0"/>
        <w:autoSpaceDN w:val="0"/>
        <w:adjustRightInd w:val="0"/>
        <w:spacing w:after="0" w:line="480" w:lineRule="auto"/>
        <w:rPr>
          <w:rFonts w:cstheme="minorBidi"/>
        </w:rPr>
      </w:pPr>
      <w:r w:rsidRPr="00B013ED">
        <w:rPr>
          <w:rFonts w:cstheme="minorBidi"/>
          <w:szCs w:val="24"/>
        </w:rPr>
        <w:t xml:space="preserve">Clinicians should consider using the </w:t>
      </w:r>
      <w:r w:rsidR="00A0481E" w:rsidRPr="00B013ED">
        <w:rPr>
          <w:rFonts w:cstheme="minorBidi"/>
          <w:szCs w:val="24"/>
        </w:rPr>
        <w:t>regenerative/revitalisation endodontic tec</w:t>
      </w:r>
      <w:r w:rsidRPr="00B013ED">
        <w:rPr>
          <w:rFonts w:cstheme="minorBidi"/>
          <w:szCs w:val="24"/>
        </w:rPr>
        <w:t xml:space="preserve">hnique in cases where the root development is very incomplete with insufficient amount of dentine, and where it is considered that the tooth has a hopeless prognosis even with application of MTA.  In these cases it </w:t>
      </w:r>
      <w:r w:rsidRPr="00B013ED">
        <w:rPr>
          <w:rFonts w:cstheme="minorBidi"/>
          <w:szCs w:val="24"/>
        </w:rPr>
        <w:lastRenderedPageBreak/>
        <w:t xml:space="preserve">would be advantageous to gain some deposition of hard tissues through a regenerative approach.  However, this is based on weak evidence although many trials are underway.  </w:t>
      </w:r>
    </w:p>
    <w:p w:rsidR="00360E50" w:rsidRDefault="00360E50">
      <w:pPr>
        <w:rPr>
          <w:rFonts w:cstheme="minorBidi"/>
          <w:szCs w:val="24"/>
        </w:rPr>
      </w:pPr>
      <w:r>
        <w:rPr>
          <w:rFonts w:cstheme="minorBidi"/>
          <w:szCs w:val="24"/>
        </w:rPr>
        <w:br w:type="page"/>
      </w:r>
    </w:p>
    <w:p w:rsidR="00360E50" w:rsidRPr="00B013ED" w:rsidRDefault="00360E50" w:rsidP="00360E50">
      <w:pPr>
        <w:pStyle w:val="ListParagraph"/>
        <w:autoSpaceDE w:val="0"/>
        <w:autoSpaceDN w:val="0"/>
        <w:adjustRightInd w:val="0"/>
        <w:spacing w:after="0" w:line="480" w:lineRule="auto"/>
        <w:rPr>
          <w:rFonts w:cstheme="minorBidi"/>
        </w:rPr>
      </w:pPr>
    </w:p>
    <w:p w:rsidR="00734144" w:rsidRPr="00B013ED" w:rsidRDefault="00033813" w:rsidP="00AA3957">
      <w:pPr>
        <w:pStyle w:val="Heading1"/>
      </w:pPr>
      <w:bookmarkStart w:id="108" w:name="_Toc370819206"/>
      <w:r w:rsidRPr="00B013ED">
        <w:t>Chapter 2</w:t>
      </w:r>
      <w:bookmarkEnd w:id="108"/>
    </w:p>
    <w:bookmarkStart w:id="109" w:name="_Toc370819207"/>
    <w:bookmarkStart w:id="110" w:name="_Toc359995814"/>
    <w:bookmarkStart w:id="111" w:name="_Toc180862548"/>
    <w:bookmarkStart w:id="112" w:name="_Toc180862617"/>
    <w:bookmarkStart w:id="113" w:name="_Toc182295483"/>
    <w:bookmarkStart w:id="114" w:name="_Toc226789701"/>
    <w:p w:rsidR="00065FAA" w:rsidRPr="00AA3957" w:rsidRDefault="00F534E6" w:rsidP="00F534E6">
      <w:pPr>
        <w:pStyle w:val="Heading1"/>
        <w:numPr>
          <w:ilvl w:val="0"/>
          <w:numId w:val="0"/>
        </w:numPr>
        <w:jc w:val="center"/>
        <w:rPr>
          <w:rFonts w:cstheme="minorBidi"/>
        </w:rPr>
      </w:pPr>
      <w:r w:rsidRPr="00F534E6">
        <w:rPr>
          <w:noProof/>
          <w:sz w:val="32"/>
          <w:szCs w:val="32"/>
          <w:lang w:eastAsia="en-GB"/>
        </w:rPr>
        <mc:AlternateContent>
          <mc:Choice Requires="wps">
            <w:drawing>
              <wp:anchor distT="0" distB="0" distL="114300" distR="114300" simplePos="0" relativeHeight="251865088" behindDoc="0" locked="0" layoutInCell="1" allowOverlap="1" wp14:anchorId="4D75869B" wp14:editId="30B9B616">
                <wp:simplePos x="0" y="0"/>
                <wp:positionH relativeFrom="column">
                  <wp:posOffset>160019</wp:posOffset>
                </wp:positionH>
                <wp:positionV relativeFrom="paragraph">
                  <wp:posOffset>83820</wp:posOffset>
                </wp:positionV>
                <wp:extent cx="5000625" cy="0"/>
                <wp:effectExtent l="0" t="19050" r="9525" b="19050"/>
                <wp:wrapNone/>
                <wp:docPr id="275" name="Straight Connector 275"/>
                <wp:cNvGraphicFramePr/>
                <a:graphic xmlns:a="http://schemas.openxmlformats.org/drawingml/2006/main">
                  <a:graphicData uri="http://schemas.microsoft.com/office/word/2010/wordprocessingShape">
                    <wps:wsp>
                      <wps:cNvCnPr/>
                      <wps:spPr>
                        <a:xfrm>
                          <a:off x="0" y="0"/>
                          <a:ext cx="50006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5"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12.6pt,6.6pt" to="406.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" strokecolor="black [3213]" strokeweight="2.25pt"/>
            </w:pict>
          </mc:Fallback>
        </mc:AlternateContent>
      </w:r>
      <w:proofErr w:type="gramStart"/>
      <w:r w:rsidR="00065FAA" w:rsidRPr="00AA3957">
        <w:rPr>
          <w:sz w:val="32"/>
          <w:szCs w:val="32"/>
        </w:rPr>
        <w:t>An evaluation of the effects of non-setting calcium hydroxide and mineral trioxide aggregate (MTA) on human dentine.</w:t>
      </w:r>
      <w:bookmarkEnd w:id="109"/>
      <w:proofErr w:type="gramEnd"/>
    </w:p>
    <w:p w:rsidR="00065FAA" w:rsidRDefault="00065FAA" w:rsidP="00065FAA">
      <w:pPr>
        <w:rPr>
          <w:rFonts w:eastAsiaTheme="majorEastAsia"/>
          <w:b/>
          <w:bCs/>
          <w:sz w:val="32"/>
          <w:szCs w:val="26"/>
        </w:rPr>
      </w:pPr>
      <w:r>
        <w:br w:type="page"/>
      </w:r>
    </w:p>
    <w:p w:rsidR="006D3E86" w:rsidRPr="006D3E86" w:rsidRDefault="006D3E86" w:rsidP="006D3E86">
      <w:pPr>
        <w:pStyle w:val="ListParagraph"/>
        <w:keepLines/>
        <w:numPr>
          <w:ilvl w:val="0"/>
          <w:numId w:val="1"/>
        </w:numPr>
        <w:spacing w:before="200" w:line="480" w:lineRule="auto"/>
        <w:outlineLvl w:val="1"/>
        <w:rPr>
          <w:rFonts w:eastAsiaTheme="majorEastAsia"/>
          <w:b/>
          <w:bCs/>
          <w:vanish/>
          <w:sz w:val="32"/>
          <w:szCs w:val="26"/>
        </w:rPr>
      </w:pPr>
      <w:bookmarkStart w:id="115" w:name="_Toc361092571"/>
      <w:bookmarkStart w:id="116" w:name="_Toc361092742"/>
      <w:bookmarkStart w:id="117" w:name="_Toc361126094"/>
      <w:bookmarkStart w:id="118" w:name="_Toc361130311"/>
      <w:bookmarkStart w:id="119" w:name="_Toc361137573"/>
      <w:bookmarkStart w:id="120" w:name="_Toc361137752"/>
      <w:bookmarkStart w:id="121" w:name="_Toc361137931"/>
      <w:bookmarkStart w:id="122" w:name="_Toc361491480"/>
      <w:bookmarkStart w:id="123" w:name="_Toc361612906"/>
      <w:bookmarkStart w:id="124" w:name="_Toc361613085"/>
      <w:bookmarkStart w:id="125" w:name="_Toc361641116"/>
      <w:bookmarkStart w:id="126" w:name="_Toc361641294"/>
      <w:bookmarkStart w:id="127" w:name="_Toc361641472"/>
      <w:bookmarkStart w:id="128" w:name="_Toc361701923"/>
      <w:bookmarkStart w:id="129" w:name="_Toc361702097"/>
      <w:bookmarkStart w:id="130" w:name="_Toc361706122"/>
      <w:bookmarkStart w:id="131" w:name="_Toc361714506"/>
      <w:bookmarkStart w:id="132" w:name="_Toc361714679"/>
      <w:bookmarkStart w:id="133" w:name="_Toc361714934"/>
      <w:bookmarkStart w:id="134" w:name="_Toc361722380"/>
      <w:bookmarkStart w:id="135" w:name="_Toc361722646"/>
      <w:bookmarkStart w:id="136" w:name="_Toc361729266"/>
      <w:bookmarkStart w:id="137" w:name="_Toc361733397"/>
      <w:bookmarkStart w:id="138" w:name="_Toc361734325"/>
      <w:bookmarkStart w:id="139" w:name="_Toc362582917"/>
      <w:bookmarkStart w:id="140" w:name="_Toc370466086"/>
      <w:bookmarkStart w:id="141" w:name="_Toc370510863"/>
      <w:bookmarkStart w:id="142" w:name="_Toc370511081"/>
      <w:bookmarkStart w:id="143" w:name="_Toc370511304"/>
      <w:bookmarkStart w:id="144" w:name="_Toc370734256"/>
      <w:bookmarkStart w:id="145" w:name="_Toc370803194"/>
      <w:bookmarkStart w:id="146" w:name="_Toc370819208"/>
      <w:bookmarkStart w:id="147" w:name="_Toc35999578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065FAA" w:rsidRDefault="00065FAA" w:rsidP="006D3E86">
      <w:pPr>
        <w:pStyle w:val="Heading2"/>
      </w:pPr>
      <w:bookmarkStart w:id="148" w:name="_Toc370819209"/>
      <w:r>
        <w:t>Literature review</w:t>
      </w:r>
      <w:bookmarkEnd w:id="148"/>
      <w:r>
        <w:t xml:space="preserve"> </w:t>
      </w:r>
    </w:p>
    <w:p w:rsidR="00065FAA" w:rsidRPr="00B013ED" w:rsidRDefault="00065FAA" w:rsidP="00065FAA">
      <w:pPr>
        <w:pStyle w:val="Heading3"/>
        <w:spacing w:line="480" w:lineRule="auto"/>
      </w:pPr>
      <w:bookmarkStart w:id="149" w:name="_Toc370819210"/>
      <w:r w:rsidRPr="00B013ED">
        <w:t>The dental pulp in trauma</w:t>
      </w:r>
      <w:bookmarkEnd w:id="147"/>
      <w:bookmarkEnd w:id="149"/>
    </w:p>
    <w:p w:rsidR="00065FAA" w:rsidRPr="00B013ED" w:rsidRDefault="00065FAA" w:rsidP="00065FAA">
      <w:pPr>
        <w:spacing w:line="480" w:lineRule="auto"/>
        <w:jc w:val="both"/>
        <w:rPr>
          <w:rFonts w:cstheme="minorBidi"/>
        </w:rPr>
      </w:pPr>
      <w:r w:rsidRPr="00B013ED">
        <w:rPr>
          <w:rFonts w:cstheme="minorBidi"/>
        </w:rPr>
        <w:t xml:space="preserve">The changes seen </w:t>
      </w:r>
      <w:r>
        <w:rPr>
          <w:rFonts w:cstheme="minorBidi"/>
        </w:rPr>
        <w:t xml:space="preserve">soon </w:t>
      </w:r>
      <w:r w:rsidRPr="00B013ED">
        <w:rPr>
          <w:rFonts w:cstheme="minorBidi"/>
        </w:rPr>
        <w:t xml:space="preserve">after pulp injury are oedema and disorganisation of the odontoblasts layer as well as nuclear pkynosis (shrinkage) of pulp cells. Perivascular </w:t>
      </w:r>
      <w:r>
        <w:rPr>
          <w:rFonts w:cstheme="minorBidi"/>
        </w:rPr>
        <w:t>haemorrhage</w:t>
      </w:r>
      <w:r w:rsidRPr="00B013ED">
        <w:rPr>
          <w:rFonts w:cstheme="minorBidi"/>
        </w:rPr>
        <w:t xml:space="preserve"> can be demonstrated within a few hours. However, in most cases, a complete arrest of pulpal circulation occurs, which leads to isch</w:t>
      </w:r>
      <w:r>
        <w:rPr>
          <w:rFonts w:cstheme="minorBidi"/>
        </w:rPr>
        <w:t>a</w:t>
      </w:r>
      <w:r w:rsidRPr="00B013ED">
        <w:rPr>
          <w:rFonts w:cstheme="minorBidi"/>
        </w:rPr>
        <w:t>emia, breakdown of vessel walls, escape of erythrocytes and the eventual conversion of haemoglobin to red granular debris, which permeates the pulp tissue and gives it a red colour. The events of pulpal healing after luxation injury are unknown, but it might be expected that a gradual revascularisation and re-innervation of the pulp occurs if the size of the apical foramen is adequate to permit vascular in-growth and that intervening infection of the isch</w:t>
      </w:r>
      <w:r>
        <w:rPr>
          <w:rFonts w:cstheme="minorBidi"/>
        </w:rPr>
        <w:t>a</w:t>
      </w:r>
      <w:r w:rsidRPr="00B013ED">
        <w:rPr>
          <w:rFonts w:cstheme="minorBidi"/>
        </w:rPr>
        <w:t xml:space="preserve">emic pulp does not occur. The injury usually interferes with normal dentine formation. This is related to a number of factors, among which the stage of root formation and the type of luxation injury seem to be decisive. In teeth with incomplete root development, a distinct incremental line usually indicates arrest of normal tubular dentine at the time of injury. After a certain period, apposition of hard tissue is resumed, but without the normal tubular structure. This tissue often contains cell inclusions, which maintain their tubular connections with dentine formed before the injury, as well as vascular inclusions. This junction between old and new is weak, explaining the separation, which may occur during extractions. </w:t>
      </w:r>
    </w:p>
    <w:p w:rsidR="00065FAA" w:rsidRPr="00B013ED" w:rsidRDefault="00065FAA" w:rsidP="005845D3">
      <w:pPr>
        <w:spacing w:line="480" w:lineRule="auto"/>
        <w:jc w:val="both"/>
        <w:rPr>
          <w:rFonts w:cstheme="minorBidi"/>
        </w:rPr>
      </w:pPr>
      <w:r w:rsidRPr="00B013ED">
        <w:rPr>
          <w:rFonts w:cstheme="minorBidi"/>
        </w:rPr>
        <w:lastRenderedPageBreak/>
        <w:t>This hard tissue formation may continue to the point of total obliteration of the pulp canal. Although the calcified cellular tissue, which is formed in response to the injury, may resemble bone and cementum, it lacks the cellular organisation characteristics of these tissues. The rate of hard tissue formation is accelerated after injury, resulting in large amounts of newly formed hard tissue, especially in the coronal portion. In the case of luxation of young permanent teeth bone can be deposited within the pulp after trauma and is usually connected to the root canal walls by a collagenous fibre arrangement imitating a PDL. This form of healing has been found to be related to damage to Hertwig’s epithelial root sheath (HERS). Such damage can occur from either incomplete repositioning, whereby HERS becomes isch</w:t>
      </w:r>
      <w:r>
        <w:rPr>
          <w:rFonts w:cstheme="minorBidi"/>
        </w:rPr>
        <w:t>a</w:t>
      </w:r>
      <w:r w:rsidRPr="00B013ED">
        <w:rPr>
          <w:rFonts w:cstheme="minorBidi"/>
        </w:rPr>
        <w:t>emic, or b</w:t>
      </w:r>
      <w:r w:rsidR="00620F69">
        <w:rPr>
          <w:rFonts w:cstheme="minorBidi"/>
        </w:rPr>
        <w:t>y</w:t>
      </w:r>
      <w:r w:rsidRPr="00B013ED">
        <w:rPr>
          <w:rFonts w:cstheme="minorBidi"/>
        </w:rPr>
        <w:t xml:space="preserve"> forceful repositioning, whereby all or parts of HERS are crushed. In mature teeth, the disturbance to the odontoblasts layer can be more severe, with resorption sometimes preceding deposition of new hard tissue. The time required for re</w:t>
      </w:r>
      <w:r w:rsidRPr="00B013ED">
        <w:rPr>
          <w:rFonts w:ascii="Cambria Math" w:hAnsi="Cambria Math" w:cs="Cambria Math"/>
        </w:rPr>
        <w:t>‐</w:t>
      </w:r>
      <w:r w:rsidRPr="00B013ED">
        <w:rPr>
          <w:rFonts w:cstheme="minorBidi"/>
        </w:rPr>
        <w:t xml:space="preserve">establishing vascularisation after injury is longer in a tooth with complete root formation. Temporary resorption of bone surrounding the root apex and of dentine within the apical foramen of extruded and laterally luxated mature incisors has been shown (transient apical breakdown). Mineralisation </w:t>
      </w:r>
      <w:r w:rsidR="00620F69">
        <w:rPr>
          <w:rFonts w:cstheme="minorBidi"/>
        </w:rPr>
        <w:t>o</w:t>
      </w:r>
      <w:r w:rsidRPr="00B013ED">
        <w:rPr>
          <w:rFonts w:cstheme="minorBidi"/>
        </w:rPr>
        <w:t>f these resorptive processes could be associated with normalisation of coronal discolouration and/or restoration of pulpal sensibility (Andreasen,</w:t>
      </w:r>
      <w:r>
        <w:rPr>
          <w:rFonts w:cstheme="minorBidi"/>
        </w:rPr>
        <w:t xml:space="preserve"> </w:t>
      </w:r>
      <w:r w:rsidRPr="00B013ED">
        <w:rPr>
          <w:rFonts w:cstheme="minorBidi"/>
        </w:rPr>
        <w:t>198</w:t>
      </w:r>
      <w:r w:rsidR="005C17EC">
        <w:rPr>
          <w:rFonts w:cstheme="minorBidi"/>
        </w:rPr>
        <w:t>5</w:t>
      </w:r>
      <w:r w:rsidRPr="00B013ED">
        <w:rPr>
          <w:rFonts w:cstheme="minorBidi"/>
        </w:rPr>
        <w:t>)</w:t>
      </w:r>
      <w:r>
        <w:rPr>
          <w:rFonts w:cstheme="minorBidi"/>
        </w:rPr>
        <w:t>.</w:t>
      </w:r>
      <w:r w:rsidRPr="00B013ED">
        <w:rPr>
          <w:rFonts w:cstheme="minorBidi"/>
        </w:rPr>
        <w:t xml:space="preserve"> Transient </w:t>
      </w:r>
      <w:r w:rsidR="00620F69">
        <w:rPr>
          <w:rFonts w:cstheme="minorBidi"/>
        </w:rPr>
        <w:t>a</w:t>
      </w:r>
      <w:r w:rsidRPr="00B013ED">
        <w:rPr>
          <w:rFonts w:cstheme="minorBidi"/>
        </w:rPr>
        <w:t xml:space="preserve">pical breakdown appears to be related to moderate injuries such as extrusion and lateral luxation. It </w:t>
      </w:r>
      <w:r w:rsidR="00CE31BD" w:rsidRPr="00B013ED">
        <w:rPr>
          <w:rFonts w:cstheme="minorBidi"/>
        </w:rPr>
        <w:t>is</w:t>
      </w:r>
      <w:r w:rsidRPr="00B013ED">
        <w:rPr>
          <w:rFonts w:cstheme="minorBidi"/>
        </w:rPr>
        <w:t xml:space="preserve"> rare after slight injury such as concussion and subluxation and totally absent after severe injury such as intrusive </w:t>
      </w:r>
      <w:r w:rsidR="00CE31BD" w:rsidRPr="00B013ED">
        <w:rPr>
          <w:rFonts w:cstheme="minorBidi"/>
        </w:rPr>
        <w:t>luxation (</w:t>
      </w:r>
      <w:r w:rsidRPr="00B013ED">
        <w:rPr>
          <w:rFonts w:cstheme="minorBidi"/>
        </w:rPr>
        <w:t>Andreasen, 198</w:t>
      </w:r>
      <w:r w:rsidR="005845D3">
        <w:rPr>
          <w:rFonts w:cstheme="minorBidi"/>
        </w:rPr>
        <w:t>5</w:t>
      </w:r>
      <w:r w:rsidRPr="00B013ED">
        <w:rPr>
          <w:rFonts w:cstheme="minorBidi"/>
        </w:rPr>
        <w:t>)</w:t>
      </w:r>
      <w:r>
        <w:rPr>
          <w:rFonts w:cstheme="minorBidi"/>
        </w:rPr>
        <w:t>.</w:t>
      </w:r>
    </w:p>
    <w:p w:rsidR="00065FAA" w:rsidRPr="00B013ED" w:rsidRDefault="00065FAA" w:rsidP="00065FAA">
      <w:pPr>
        <w:spacing w:line="480" w:lineRule="auto"/>
        <w:jc w:val="both"/>
        <w:rPr>
          <w:rFonts w:cstheme="minorBidi"/>
        </w:rPr>
      </w:pPr>
      <w:r w:rsidRPr="00B013ED">
        <w:rPr>
          <w:rFonts w:cstheme="minorBidi"/>
        </w:rPr>
        <w:lastRenderedPageBreak/>
        <w:t xml:space="preserve">According to Mackie </w:t>
      </w:r>
      <w:r w:rsidRPr="00B013ED">
        <w:rPr>
          <w:rFonts w:cstheme="minorBidi"/>
          <w:i/>
          <w:iCs/>
        </w:rPr>
        <w:t>et al</w:t>
      </w:r>
      <w:r w:rsidRPr="00B013ED">
        <w:rPr>
          <w:rFonts w:cstheme="minorBidi"/>
        </w:rPr>
        <w:t>., 1998 endodontic treatment is usually indicated when one or more of the following features are present: the clinical assessment of necrotic pulp by signs and symptoms, such as the presence of acute or chronic pain, tenderness to percussion, increased mobility, discolouration of the crown, or the presence of a draining sinus tract and tooth not responding to electrical pulp test.</w:t>
      </w:r>
    </w:p>
    <w:p w:rsidR="00065FAA" w:rsidRPr="00B013ED" w:rsidRDefault="00065FAA" w:rsidP="00065FAA">
      <w:pPr>
        <w:spacing w:line="480" w:lineRule="auto"/>
        <w:jc w:val="both"/>
        <w:rPr>
          <w:rFonts w:cstheme="minorBidi"/>
        </w:rPr>
      </w:pPr>
      <w:r w:rsidRPr="00B013ED">
        <w:rPr>
          <w:rFonts w:cstheme="minorBidi"/>
        </w:rPr>
        <w:t>External inflammatory resorption indicates that the pulp is necrotic and infected, and in need of urgent treatment. Apical changing after luxation injuries may indicate that revasculariation of the pulp is occurring, or that it has happened.</w:t>
      </w:r>
    </w:p>
    <w:p w:rsidR="00065FAA" w:rsidRPr="00B013ED" w:rsidRDefault="00065FAA" w:rsidP="00065FAA">
      <w:pPr>
        <w:pStyle w:val="Heading3"/>
        <w:spacing w:line="480" w:lineRule="auto"/>
      </w:pPr>
      <w:bookmarkStart w:id="150" w:name="_Toc359995787"/>
      <w:bookmarkStart w:id="151" w:name="_Toc370819211"/>
      <w:r w:rsidRPr="00B013ED">
        <w:t>Root development</w:t>
      </w:r>
      <w:bookmarkEnd w:id="150"/>
      <w:bookmarkEnd w:id="151"/>
      <w:r w:rsidRPr="00B013ED">
        <w:rPr>
          <w:rStyle w:val="CommentReference"/>
          <w:rFonts w:ascii="Times New Roman" w:hAnsi="Times New Roman" w:cs="Times New Roman"/>
        </w:rPr>
        <w:t xml:space="preserve"> </w:t>
      </w:r>
    </w:p>
    <w:p w:rsidR="00065FAA" w:rsidRPr="00CC6F0F" w:rsidRDefault="00065FAA" w:rsidP="0041305F">
      <w:pPr>
        <w:spacing w:line="480" w:lineRule="auto"/>
        <w:jc w:val="both"/>
        <w:rPr>
          <w:rFonts w:cstheme="minorBidi"/>
        </w:rPr>
      </w:pPr>
      <w:r w:rsidRPr="00B013ED">
        <w:rPr>
          <w:rFonts w:cstheme="minorBidi"/>
        </w:rPr>
        <w:t>Normally the root growth begins after the crown formation. At this stage when enamel and dentin</w:t>
      </w:r>
      <w:r>
        <w:rPr>
          <w:rFonts w:cstheme="minorBidi"/>
        </w:rPr>
        <w:t>e</w:t>
      </w:r>
      <w:r w:rsidRPr="00B013ED">
        <w:rPr>
          <w:rFonts w:cstheme="minorBidi"/>
        </w:rPr>
        <w:t xml:space="preserve"> formation has reached the cementoenamel junction the inner and outer enamel epithelia fuse to form a bilayered epithelial sheath termed Hertwig’s epithelial root sheath (HERS). This HERS regulate</w:t>
      </w:r>
      <w:r>
        <w:rPr>
          <w:rFonts w:cstheme="minorBidi"/>
        </w:rPr>
        <w:t>s</w:t>
      </w:r>
      <w:r w:rsidRPr="00B013ED">
        <w:rPr>
          <w:rFonts w:cstheme="minorBidi"/>
        </w:rPr>
        <w:t xml:space="preserve"> the root development time, shape</w:t>
      </w:r>
      <w:r>
        <w:rPr>
          <w:rFonts w:cstheme="minorBidi"/>
        </w:rPr>
        <w:t>s the</w:t>
      </w:r>
      <w:r w:rsidRPr="00B013ED">
        <w:rPr>
          <w:rFonts w:cstheme="minorBidi"/>
        </w:rPr>
        <w:t xml:space="preserve"> future root,</w:t>
      </w:r>
      <w:r w:rsidR="00620F69">
        <w:rPr>
          <w:rFonts w:cstheme="minorBidi"/>
        </w:rPr>
        <w:t xml:space="preserve"> and</w:t>
      </w:r>
      <w:r w:rsidRPr="00B013ED">
        <w:rPr>
          <w:rFonts w:cstheme="minorBidi"/>
        </w:rPr>
        <w:t xml:space="preserve"> induces mesenchymal cell differentiation into odontoblasts and cementoblasts. Odontoblasts will form the first layer of dentin</w:t>
      </w:r>
      <w:r>
        <w:rPr>
          <w:rFonts w:cstheme="minorBidi"/>
        </w:rPr>
        <w:t>e</w:t>
      </w:r>
      <w:r w:rsidRPr="00B013ED">
        <w:rPr>
          <w:rFonts w:cstheme="minorBidi"/>
        </w:rPr>
        <w:t xml:space="preserve">. </w:t>
      </w:r>
      <w:r>
        <w:rPr>
          <w:rFonts w:cstheme="minorBidi"/>
        </w:rPr>
        <w:t xml:space="preserve">HERS </w:t>
      </w:r>
      <w:r w:rsidRPr="00B013ED">
        <w:rPr>
          <w:rFonts w:cstheme="minorBidi"/>
        </w:rPr>
        <w:t xml:space="preserve">begins to disintegrate and lose its continuity and close relationship to the root surface. Its remnants persist as an epithelial network of strands or tubules near the external surface of the root </w:t>
      </w:r>
      <w:r>
        <w:rPr>
          <w:rFonts w:cstheme="minorBidi"/>
        </w:rPr>
        <w:t>(</w:t>
      </w:r>
      <w:r w:rsidRPr="00B013ED">
        <w:rPr>
          <w:rFonts w:cstheme="minorBidi"/>
        </w:rPr>
        <w:t>Zeichner-David et al.</w:t>
      </w:r>
      <w:r>
        <w:rPr>
          <w:rFonts w:cstheme="minorBidi"/>
        </w:rPr>
        <w:t xml:space="preserve">, </w:t>
      </w:r>
      <w:r w:rsidRPr="00B013ED">
        <w:rPr>
          <w:rFonts w:cstheme="minorBidi"/>
        </w:rPr>
        <w:t>2003)</w:t>
      </w:r>
      <w:r>
        <w:rPr>
          <w:rFonts w:cstheme="minorBidi"/>
        </w:rPr>
        <w:t>.</w:t>
      </w:r>
      <w:r w:rsidRPr="00B013ED">
        <w:rPr>
          <w:rFonts w:cstheme="minorBidi"/>
        </w:rPr>
        <w:t xml:space="preserve"> The epithelial diaphragm surrounds the apical opening to the pulp and eventually becomes the apical foramen. An open apex of immature teeth will continue growing until apical closure occurs approximately 3 years after eruption to form a mature root (Bhasker</w:t>
      </w:r>
      <w:r w:rsidR="00AF4BF4">
        <w:rPr>
          <w:rFonts w:cstheme="minorBidi"/>
        </w:rPr>
        <w:t>,</w:t>
      </w:r>
      <w:r w:rsidRPr="00B013ED">
        <w:rPr>
          <w:rFonts w:cstheme="minorBidi"/>
        </w:rPr>
        <w:t xml:space="preserve"> 1991).</w:t>
      </w:r>
      <w:bookmarkStart w:id="152" w:name="_Toc359995788"/>
      <w:r>
        <w:br w:type="page"/>
      </w:r>
    </w:p>
    <w:p w:rsidR="00065FAA" w:rsidRPr="00B013ED" w:rsidRDefault="00065FAA" w:rsidP="00065FAA">
      <w:pPr>
        <w:pStyle w:val="Heading3"/>
        <w:spacing w:line="480" w:lineRule="auto"/>
      </w:pPr>
      <w:bookmarkStart w:id="153" w:name="_Toc370819212"/>
      <w:r w:rsidRPr="00B013ED">
        <w:lastRenderedPageBreak/>
        <w:t>What are the classifications of immature t</w:t>
      </w:r>
      <w:r>
        <w:t>ee</w:t>
      </w:r>
      <w:r w:rsidRPr="00B013ED">
        <w:t>th?</w:t>
      </w:r>
      <w:bookmarkEnd w:id="152"/>
      <w:bookmarkEnd w:id="153"/>
    </w:p>
    <w:p w:rsidR="00065FAA" w:rsidRPr="00B013ED" w:rsidRDefault="00065FAA" w:rsidP="00065FAA">
      <w:pPr>
        <w:spacing w:line="480" w:lineRule="auto"/>
        <w:jc w:val="both"/>
        <w:rPr>
          <w:rFonts w:cstheme="minorBidi"/>
          <w:bCs/>
        </w:rPr>
      </w:pPr>
      <w:r w:rsidRPr="00B013ED">
        <w:rPr>
          <w:rFonts w:cstheme="minorBidi"/>
          <w:bCs/>
        </w:rPr>
        <w:t xml:space="preserve">The most common classification that is used for </w:t>
      </w:r>
      <w:r>
        <w:rPr>
          <w:rFonts w:cstheme="minorBidi"/>
          <w:bCs/>
        </w:rPr>
        <w:t xml:space="preserve">the </w:t>
      </w:r>
      <w:r w:rsidRPr="00B013ED">
        <w:rPr>
          <w:rFonts w:cstheme="minorBidi"/>
          <w:bCs/>
        </w:rPr>
        <w:t xml:space="preserve">shape of open apices is that described by Dominguez-Reyes </w:t>
      </w:r>
      <w:r>
        <w:rPr>
          <w:rFonts w:cstheme="minorBidi"/>
          <w:bCs/>
        </w:rPr>
        <w:t>and co-workers (</w:t>
      </w:r>
      <w:r w:rsidRPr="00B013ED">
        <w:rPr>
          <w:rFonts w:cstheme="minorBidi"/>
          <w:bCs/>
        </w:rPr>
        <w:t>2005</w:t>
      </w:r>
      <w:r>
        <w:rPr>
          <w:rFonts w:cstheme="minorBidi"/>
          <w:bCs/>
        </w:rPr>
        <w:t>).</w:t>
      </w:r>
    </w:p>
    <w:p w:rsidR="00065FAA" w:rsidRPr="00B013ED" w:rsidRDefault="00065FAA" w:rsidP="00065FAA">
      <w:pPr>
        <w:spacing w:line="480" w:lineRule="auto"/>
        <w:jc w:val="both"/>
        <w:rPr>
          <w:rFonts w:cstheme="minorBidi"/>
        </w:rPr>
      </w:pPr>
      <w:r w:rsidRPr="00B013ED">
        <w:rPr>
          <w:rFonts w:cstheme="minorBidi"/>
        </w:rPr>
        <w:t>1.</w:t>
      </w:r>
      <w:r w:rsidRPr="00B013ED">
        <w:rPr>
          <w:rFonts w:cstheme="minorBidi"/>
        </w:rPr>
        <w:tab/>
        <w:t>Convergent walls</w:t>
      </w:r>
    </w:p>
    <w:p w:rsidR="00065FAA" w:rsidRPr="00B013ED" w:rsidRDefault="00065FAA" w:rsidP="00065FAA">
      <w:pPr>
        <w:spacing w:line="480" w:lineRule="auto"/>
        <w:jc w:val="both"/>
        <w:rPr>
          <w:rFonts w:cstheme="minorBidi"/>
        </w:rPr>
      </w:pPr>
      <w:r w:rsidRPr="00B013ED">
        <w:rPr>
          <w:rFonts w:cstheme="minorBidi"/>
        </w:rPr>
        <w:t>2.</w:t>
      </w:r>
      <w:r w:rsidRPr="00B013ED">
        <w:rPr>
          <w:rFonts w:cstheme="minorBidi"/>
        </w:rPr>
        <w:tab/>
        <w:t>Parallel apical walls</w:t>
      </w:r>
    </w:p>
    <w:p w:rsidR="00065FAA" w:rsidRPr="00B013ED" w:rsidRDefault="00065FAA" w:rsidP="00065FAA">
      <w:pPr>
        <w:spacing w:line="480" w:lineRule="auto"/>
        <w:jc w:val="both"/>
        <w:rPr>
          <w:rFonts w:cstheme="minorBidi"/>
        </w:rPr>
      </w:pPr>
      <w:r w:rsidRPr="00B013ED">
        <w:rPr>
          <w:rFonts w:cstheme="minorBidi"/>
        </w:rPr>
        <w:t>3.</w:t>
      </w:r>
      <w:r w:rsidRPr="00B013ED">
        <w:rPr>
          <w:rFonts w:cstheme="minorBidi"/>
        </w:rPr>
        <w:tab/>
        <w:t>Divergent root canals</w:t>
      </w:r>
    </w:p>
    <w:p w:rsidR="00065FAA" w:rsidRPr="00B013ED" w:rsidRDefault="00065FAA" w:rsidP="00065FAA">
      <w:pPr>
        <w:spacing w:line="480" w:lineRule="auto"/>
        <w:jc w:val="both"/>
        <w:rPr>
          <w:rFonts w:cstheme="minorBidi"/>
        </w:rPr>
      </w:pPr>
      <w:r w:rsidRPr="00B013ED">
        <w:rPr>
          <w:rFonts w:cstheme="minorBidi"/>
        </w:rPr>
        <w:t>The completion of root development and closure of the apex occurs up to three year</w:t>
      </w:r>
      <w:r>
        <w:rPr>
          <w:rFonts w:cstheme="minorBidi"/>
        </w:rPr>
        <w:t>s</w:t>
      </w:r>
      <w:r w:rsidRPr="00B013ED">
        <w:rPr>
          <w:rFonts w:cstheme="minorBidi"/>
        </w:rPr>
        <w:t xml:space="preserve"> after the eruption of the permanent tooth. For teeth with incomplete root development that have suffered pulpal injury, two treatment approaches are usually considered; apexogenesis or apexification [Rafter, 2005]. </w:t>
      </w:r>
    </w:p>
    <w:p w:rsidR="00065FAA" w:rsidRPr="00B013ED" w:rsidRDefault="00065FAA" w:rsidP="00065FAA">
      <w:pPr>
        <w:pStyle w:val="Heading3"/>
        <w:spacing w:line="480" w:lineRule="auto"/>
      </w:pPr>
      <w:bookmarkStart w:id="154" w:name="_Toc370819213"/>
      <w:r w:rsidRPr="00B013ED">
        <w:t>Apexogenesis</w:t>
      </w:r>
      <w:bookmarkEnd w:id="154"/>
    </w:p>
    <w:p w:rsidR="00065FAA" w:rsidRPr="00B013ED" w:rsidRDefault="00065FAA" w:rsidP="00065FAA">
      <w:pPr>
        <w:spacing w:line="480" w:lineRule="auto"/>
        <w:jc w:val="both"/>
        <w:rPr>
          <w:rFonts w:cstheme="minorBidi"/>
        </w:rPr>
      </w:pPr>
      <w:r w:rsidRPr="00B013ED">
        <w:rPr>
          <w:rFonts w:cstheme="minorBidi"/>
        </w:rPr>
        <w:t xml:space="preserve">Apexogenesis involves removal of the inflamed pulp and the placement of calcium hydroxide </w:t>
      </w:r>
      <w:r w:rsidR="00620F69">
        <w:rPr>
          <w:rFonts w:cstheme="minorBidi"/>
        </w:rPr>
        <w:t>o</w:t>
      </w:r>
      <w:r w:rsidRPr="00B013ED">
        <w:rPr>
          <w:rFonts w:cstheme="minorBidi"/>
        </w:rPr>
        <w:t>n the remaining healthy pulp tissue. Traditionally this has implied removal of the coronal portion of the pulp. A number of investigators have demonstrated that, following mechanical exposures of the pulp that were left untreated for up to 168 hours, inflammation was limited to the coronal 2-3</w:t>
      </w:r>
      <w:r>
        <w:rPr>
          <w:rFonts w:cstheme="minorBidi"/>
        </w:rPr>
        <w:t xml:space="preserve"> </w:t>
      </w:r>
      <w:r w:rsidRPr="00B013ED">
        <w:rPr>
          <w:rFonts w:cstheme="minorBidi"/>
        </w:rPr>
        <w:t>mm of the pulp</w:t>
      </w:r>
      <w:r>
        <w:rPr>
          <w:rFonts w:cstheme="minorBidi"/>
        </w:rPr>
        <w:t xml:space="preserve"> (</w:t>
      </w:r>
      <w:r w:rsidRPr="00B013ED">
        <w:rPr>
          <w:rFonts w:cstheme="minorBidi"/>
        </w:rPr>
        <w:t xml:space="preserve">Cvek </w:t>
      </w:r>
      <w:r w:rsidRPr="00B013ED">
        <w:rPr>
          <w:rFonts w:cstheme="minorBidi"/>
          <w:i/>
          <w:iCs/>
        </w:rPr>
        <w:t>et al</w:t>
      </w:r>
      <w:r w:rsidRPr="00B013ED">
        <w:rPr>
          <w:rFonts w:cstheme="minorBidi"/>
        </w:rPr>
        <w:t>., 1982</w:t>
      </w:r>
      <w:r>
        <w:rPr>
          <w:rFonts w:cstheme="minorBidi"/>
        </w:rPr>
        <w:t>)</w:t>
      </w:r>
      <w:r w:rsidRPr="00B013ED">
        <w:rPr>
          <w:rFonts w:cstheme="minorBidi"/>
        </w:rPr>
        <w:t xml:space="preserve">. This has led to the so-called Cvek pulpotomy or shallow pulpotomy in which only the most superficial pulp is removed. </w:t>
      </w:r>
    </w:p>
    <w:p w:rsidR="00065FAA" w:rsidRDefault="00065FAA" w:rsidP="00065FAA">
      <w:pPr>
        <w:rPr>
          <w:rFonts w:eastAsiaTheme="majorEastAsia"/>
          <w:b/>
          <w:bCs/>
          <w:sz w:val="32"/>
          <w:szCs w:val="26"/>
        </w:rPr>
      </w:pPr>
      <w:bookmarkStart w:id="155" w:name="_Toc359995789"/>
      <w:r>
        <w:br w:type="page"/>
      </w:r>
    </w:p>
    <w:p w:rsidR="00065FAA" w:rsidRPr="00B013ED" w:rsidRDefault="00065FAA" w:rsidP="00065FAA">
      <w:pPr>
        <w:pStyle w:val="Heading3"/>
        <w:spacing w:line="480" w:lineRule="auto"/>
      </w:pPr>
      <w:bookmarkStart w:id="156" w:name="_Toc370819214"/>
      <w:r w:rsidRPr="00B013ED">
        <w:lastRenderedPageBreak/>
        <w:t>Goals of apexogenesis (Webber, 1984):</w:t>
      </w:r>
      <w:bookmarkEnd w:id="155"/>
      <w:bookmarkEnd w:id="156"/>
    </w:p>
    <w:p w:rsidR="00065FAA" w:rsidRPr="00B013ED" w:rsidRDefault="00065FAA" w:rsidP="00065FAA">
      <w:pPr>
        <w:spacing w:line="480" w:lineRule="auto"/>
        <w:jc w:val="both"/>
        <w:rPr>
          <w:rFonts w:cstheme="minorBidi"/>
        </w:rPr>
      </w:pPr>
      <w:r w:rsidRPr="00B013ED">
        <w:rPr>
          <w:rFonts w:cstheme="minorBidi"/>
        </w:rPr>
        <w:t>The aim is to:</w:t>
      </w:r>
    </w:p>
    <w:p w:rsidR="00065FAA" w:rsidRPr="00B013ED" w:rsidRDefault="00065FAA" w:rsidP="00065FAA">
      <w:pPr>
        <w:pStyle w:val="ListParagraph"/>
        <w:numPr>
          <w:ilvl w:val="0"/>
          <w:numId w:val="64"/>
        </w:numPr>
        <w:spacing w:line="480" w:lineRule="auto"/>
        <w:jc w:val="both"/>
        <w:rPr>
          <w:rFonts w:cstheme="minorBidi"/>
        </w:rPr>
      </w:pPr>
      <w:r w:rsidRPr="00B013ED">
        <w:rPr>
          <w:rFonts w:cstheme="minorBidi"/>
        </w:rPr>
        <w:t xml:space="preserve">Sustain </w:t>
      </w:r>
      <w:proofErr w:type="gramStart"/>
      <w:r w:rsidRPr="00B013ED">
        <w:rPr>
          <w:rFonts w:cstheme="minorBidi"/>
        </w:rPr>
        <w:t>a  viable</w:t>
      </w:r>
      <w:proofErr w:type="gramEnd"/>
      <w:r w:rsidRPr="00B013ED">
        <w:rPr>
          <w:rFonts w:cstheme="minorBidi"/>
        </w:rPr>
        <w:t xml:space="preserve"> Hertwig's sheath, thus allowing continued development of root length for a more favourable crown-to</w:t>
      </w:r>
      <w:r>
        <w:rPr>
          <w:rFonts w:cstheme="minorBidi"/>
        </w:rPr>
        <w:t>-</w:t>
      </w:r>
      <w:r w:rsidRPr="00B013ED">
        <w:rPr>
          <w:rFonts w:cstheme="minorBidi"/>
        </w:rPr>
        <w:t xml:space="preserve">root ratio. </w:t>
      </w:r>
    </w:p>
    <w:p w:rsidR="00065FAA" w:rsidRPr="00B013ED" w:rsidRDefault="00065FAA" w:rsidP="00065FAA">
      <w:pPr>
        <w:pStyle w:val="ListParagraph"/>
        <w:numPr>
          <w:ilvl w:val="0"/>
          <w:numId w:val="64"/>
        </w:numPr>
        <w:spacing w:line="480" w:lineRule="auto"/>
        <w:jc w:val="both"/>
        <w:rPr>
          <w:rFonts w:cstheme="minorBidi"/>
        </w:rPr>
      </w:pPr>
      <w:r w:rsidRPr="00B013ED">
        <w:rPr>
          <w:rFonts w:cstheme="minorBidi"/>
        </w:rPr>
        <w:t xml:space="preserve">Maintaining pulp vitality, thus allowing the remaining odontoblasts to lay down dentine, producing a thicker root and decreasing the chance of root fracture. </w:t>
      </w:r>
    </w:p>
    <w:p w:rsidR="00065FAA" w:rsidRPr="00B013ED" w:rsidRDefault="00065FAA" w:rsidP="00065FAA">
      <w:pPr>
        <w:pStyle w:val="ListParagraph"/>
        <w:numPr>
          <w:ilvl w:val="0"/>
          <w:numId w:val="64"/>
        </w:numPr>
        <w:spacing w:line="480" w:lineRule="auto"/>
        <w:jc w:val="both"/>
        <w:rPr>
          <w:rFonts w:cstheme="minorBidi"/>
        </w:rPr>
      </w:pPr>
      <w:r w:rsidRPr="00B013ED">
        <w:rPr>
          <w:rFonts w:cstheme="minorBidi"/>
        </w:rPr>
        <w:t xml:space="preserve">Promoting root end closure and decreasing the chance of root fracture. </w:t>
      </w:r>
    </w:p>
    <w:p w:rsidR="00065FAA" w:rsidRPr="00B013ED" w:rsidRDefault="00065FAA" w:rsidP="00065FAA">
      <w:pPr>
        <w:pStyle w:val="ListParagraph"/>
        <w:numPr>
          <w:ilvl w:val="0"/>
          <w:numId w:val="64"/>
        </w:numPr>
        <w:spacing w:line="480" w:lineRule="auto"/>
        <w:jc w:val="both"/>
        <w:rPr>
          <w:rFonts w:cstheme="minorBidi"/>
        </w:rPr>
      </w:pPr>
      <w:r w:rsidRPr="00B013ED">
        <w:rPr>
          <w:rFonts w:cstheme="minorBidi"/>
        </w:rPr>
        <w:t xml:space="preserve">Promoting root end closure, thus creating a natural apical constriction for root canal filling. </w:t>
      </w:r>
    </w:p>
    <w:p w:rsidR="00065FAA" w:rsidRPr="00B013ED" w:rsidRDefault="00065FAA" w:rsidP="00065FAA">
      <w:pPr>
        <w:pStyle w:val="ListParagraph"/>
        <w:numPr>
          <w:ilvl w:val="0"/>
          <w:numId w:val="64"/>
        </w:numPr>
        <w:spacing w:line="480" w:lineRule="auto"/>
        <w:jc w:val="both"/>
        <w:rPr>
          <w:rFonts w:cstheme="minorBidi"/>
        </w:rPr>
      </w:pPr>
      <w:r w:rsidRPr="00B013ED">
        <w:rPr>
          <w:rFonts w:cstheme="minorBidi"/>
        </w:rPr>
        <w:t xml:space="preserve">Generating a dentinal bridge is not essential for the success of the procedure, but it does suggest that the pulp has maintained vitality. </w:t>
      </w:r>
      <w:bookmarkStart w:id="157" w:name="_Toc359995790"/>
    </w:p>
    <w:p w:rsidR="00065FAA" w:rsidRPr="00B013ED" w:rsidRDefault="00065FAA" w:rsidP="00065FAA">
      <w:pPr>
        <w:pStyle w:val="Heading3"/>
        <w:spacing w:line="480" w:lineRule="auto"/>
      </w:pPr>
      <w:bookmarkStart w:id="158" w:name="_Toc370819215"/>
      <w:r w:rsidRPr="00B013ED">
        <w:t>Apexification</w:t>
      </w:r>
      <w:bookmarkEnd w:id="157"/>
      <w:bookmarkEnd w:id="158"/>
      <w:r w:rsidRPr="00B013ED">
        <w:t xml:space="preserve">  </w:t>
      </w:r>
    </w:p>
    <w:p w:rsidR="00065FAA" w:rsidRPr="002911C4" w:rsidRDefault="00065FAA" w:rsidP="00620F69">
      <w:pPr>
        <w:spacing w:line="480" w:lineRule="auto"/>
        <w:jc w:val="both"/>
        <w:rPr>
          <w:rFonts w:cstheme="minorBidi"/>
        </w:rPr>
      </w:pPr>
      <w:r w:rsidRPr="00B013ED">
        <w:rPr>
          <w:rFonts w:cstheme="minorBidi"/>
        </w:rPr>
        <w:t>When immature teeth suffer from pulp necro</w:t>
      </w:r>
      <w:r>
        <w:rPr>
          <w:rFonts w:cstheme="minorBidi"/>
        </w:rPr>
        <w:t>sis</w:t>
      </w:r>
      <w:r w:rsidRPr="00B013ED">
        <w:rPr>
          <w:rFonts w:cstheme="minorBidi"/>
        </w:rPr>
        <w:t xml:space="preserve">, the development of </w:t>
      </w:r>
      <w:r>
        <w:rPr>
          <w:rFonts w:cstheme="minorBidi"/>
        </w:rPr>
        <w:t xml:space="preserve">the </w:t>
      </w:r>
      <w:r w:rsidRPr="00B013ED">
        <w:rPr>
          <w:rFonts w:cstheme="minorBidi"/>
        </w:rPr>
        <w:t xml:space="preserve">tooth root ceases which </w:t>
      </w:r>
      <w:r w:rsidR="00620F69">
        <w:rPr>
          <w:rFonts w:cstheme="minorBidi"/>
        </w:rPr>
        <w:t>leaves</w:t>
      </w:r>
      <w:r w:rsidR="00620F69" w:rsidRPr="00B013ED">
        <w:rPr>
          <w:rFonts w:cstheme="minorBidi"/>
        </w:rPr>
        <w:t xml:space="preserve"> </w:t>
      </w:r>
      <w:r w:rsidRPr="00B013ED">
        <w:rPr>
          <w:rFonts w:cstheme="minorBidi"/>
        </w:rPr>
        <w:t xml:space="preserve">the apical area widely open with fragile dentinal walls. </w:t>
      </w:r>
      <w:r>
        <w:rPr>
          <w:rFonts w:cstheme="minorBidi"/>
        </w:rPr>
        <w:t>A</w:t>
      </w:r>
      <w:r w:rsidRPr="00B013ED">
        <w:rPr>
          <w:rFonts w:cstheme="minorBidi"/>
        </w:rPr>
        <w:t>pexification is the best treatment option. Usually the treated</w:t>
      </w:r>
      <w:r>
        <w:rPr>
          <w:rFonts w:cstheme="minorBidi"/>
        </w:rPr>
        <w:t xml:space="preserve"> tooth </w:t>
      </w:r>
      <w:proofErr w:type="gramStart"/>
      <w:r>
        <w:rPr>
          <w:rFonts w:cstheme="minorBidi"/>
        </w:rPr>
        <w:t xml:space="preserve">undergoes </w:t>
      </w:r>
      <w:r w:rsidRPr="00B013ED">
        <w:rPr>
          <w:rFonts w:cstheme="minorBidi"/>
        </w:rPr>
        <w:t xml:space="preserve"> root</w:t>
      </w:r>
      <w:proofErr w:type="gramEnd"/>
      <w:r w:rsidRPr="00B013ED">
        <w:rPr>
          <w:rFonts w:cstheme="minorBidi"/>
        </w:rPr>
        <w:t xml:space="preserve"> irrigation and disinfection</w:t>
      </w:r>
      <w:r>
        <w:rPr>
          <w:rFonts w:cstheme="minorBidi"/>
        </w:rPr>
        <w:t xml:space="preserve"> </w:t>
      </w:r>
      <w:r w:rsidRPr="00B013ED">
        <w:rPr>
          <w:rFonts w:cstheme="minorBidi"/>
        </w:rPr>
        <w:t>(Rafter, 2005). The canal is then filled with calcium hydroxide paste for the purpose of further disinfection and induction of an apical calcific barrier. Calcium hydroxide is antimicrobial because of its release of hydroxyl ions and high pH caus</w:t>
      </w:r>
      <w:r w:rsidR="00620F69">
        <w:rPr>
          <w:rFonts w:cstheme="minorBidi"/>
        </w:rPr>
        <w:t>ing</w:t>
      </w:r>
      <w:r w:rsidRPr="00B013ED">
        <w:rPr>
          <w:rFonts w:cstheme="minorBidi"/>
        </w:rPr>
        <w:t xml:space="preserve"> damage to the bacterial cellular components. Calcium hydroxide chemically alters </w:t>
      </w:r>
      <w:r w:rsidR="00FB1785" w:rsidRPr="002911C4">
        <w:rPr>
          <w:rFonts w:ascii="Arial" w:hAnsi="Arial" w:cs="Arial"/>
          <w:color w:val="222222"/>
        </w:rPr>
        <w:t>Lipopolysaccharide</w:t>
      </w:r>
      <w:r w:rsidR="00FB1785" w:rsidRPr="002911C4">
        <w:rPr>
          <w:rFonts w:cstheme="minorBidi"/>
        </w:rPr>
        <w:t xml:space="preserve"> </w:t>
      </w:r>
      <w:r w:rsidR="002911C4">
        <w:rPr>
          <w:rFonts w:cstheme="minorBidi"/>
        </w:rPr>
        <w:t>(</w:t>
      </w:r>
      <w:r w:rsidRPr="002911C4">
        <w:rPr>
          <w:rFonts w:cstheme="minorBidi"/>
        </w:rPr>
        <w:t>LPS</w:t>
      </w:r>
      <w:r w:rsidR="002911C4">
        <w:rPr>
          <w:rFonts w:cstheme="minorBidi"/>
        </w:rPr>
        <w:t>)</w:t>
      </w:r>
      <w:r w:rsidRPr="00B013ED">
        <w:rPr>
          <w:rFonts w:cstheme="minorBidi"/>
        </w:rPr>
        <w:t xml:space="preserve"> which affects its </w:t>
      </w:r>
      <w:r w:rsidRPr="00B013ED">
        <w:rPr>
          <w:rFonts w:cstheme="minorBidi"/>
        </w:rPr>
        <w:lastRenderedPageBreak/>
        <w:t>various biological properties (</w:t>
      </w:r>
      <w:r w:rsidRPr="002911C4">
        <w:rPr>
          <w:rFonts w:cstheme="minorBidi"/>
        </w:rPr>
        <w:t xml:space="preserve">Nelson-Filho </w:t>
      </w:r>
      <w:r w:rsidRPr="002911C4">
        <w:rPr>
          <w:rFonts w:cstheme="minorBidi"/>
          <w:i/>
        </w:rPr>
        <w:t>et al.,</w:t>
      </w:r>
      <w:r w:rsidRPr="002911C4">
        <w:rPr>
          <w:rFonts w:cstheme="minorBidi"/>
        </w:rPr>
        <w:t xml:space="preserve"> 2002, Jiang </w:t>
      </w:r>
      <w:r w:rsidRPr="002911C4">
        <w:rPr>
          <w:rFonts w:cstheme="minorBidi"/>
          <w:i/>
        </w:rPr>
        <w:t>et al.,</w:t>
      </w:r>
      <w:r w:rsidRPr="002911C4">
        <w:rPr>
          <w:rFonts w:cstheme="minorBidi"/>
        </w:rPr>
        <w:t xml:space="preserve"> 2003). Filling the root canal with calcium hydroxide helped to form the apical calcific barrier.</w:t>
      </w:r>
    </w:p>
    <w:p w:rsidR="00065FAA" w:rsidRPr="002911C4" w:rsidRDefault="00065FAA" w:rsidP="00065FAA">
      <w:pPr>
        <w:pStyle w:val="Heading4"/>
        <w:spacing w:line="480" w:lineRule="auto"/>
        <w:rPr>
          <w:rStyle w:val="StyleStrongBodyCSArial14pt"/>
          <w:rFonts w:ascii="Arial" w:hAnsi="Arial"/>
          <w:bCs/>
          <w:sz w:val="26"/>
        </w:rPr>
      </w:pPr>
      <w:bookmarkStart w:id="159" w:name="_Toc359995791"/>
      <w:r w:rsidRPr="002911C4">
        <w:rPr>
          <w:rStyle w:val="StyleStrongBodyCSArial14pt"/>
          <w:rFonts w:ascii="Arial" w:hAnsi="Arial"/>
          <w:bCs/>
          <w:sz w:val="26"/>
        </w:rPr>
        <w:t>Aims of Endodontic Therapy</w:t>
      </w:r>
      <w:bookmarkEnd w:id="159"/>
      <w:r w:rsidRPr="002911C4">
        <w:rPr>
          <w:rStyle w:val="StyleStrongBodyCSArial14pt"/>
          <w:rFonts w:ascii="Arial" w:hAnsi="Arial"/>
          <w:bCs/>
          <w:sz w:val="26"/>
        </w:rPr>
        <w:t xml:space="preserve"> </w:t>
      </w:r>
    </w:p>
    <w:p w:rsidR="00065FAA" w:rsidRPr="002911C4" w:rsidRDefault="00065FAA" w:rsidP="00065FAA">
      <w:pPr>
        <w:spacing w:line="480" w:lineRule="auto"/>
        <w:jc w:val="both"/>
        <w:rPr>
          <w:rFonts w:cstheme="minorBidi"/>
        </w:rPr>
      </w:pPr>
      <w:r w:rsidRPr="002911C4">
        <w:rPr>
          <w:rFonts w:cstheme="minorBidi"/>
        </w:rPr>
        <w:t xml:space="preserve">The aims of root canal treatment are summarised as (Schilder, 1974; Saunders and Saunders, 1997, El Meligy, 2006): </w:t>
      </w:r>
    </w:p>
    <w:p w:rsidR="00065FAA" w:rsidRPr="00B013ED" w:rsidRDefault="00065FAA" w:rsidP="00065FAA">
      <w:pPr>
        <w:spacing w:line="480" w:lineRule="auto"/>
        <w:jc w:val="both"/>
        <w:rPr>
          <w:rFonts w:cstheme="minorBidi"/>
        </w:rPr>
      </w:pPr>
      <w:r w:rsidRPr="002911C4">
        <w:rPr>
          <w:rFonts w:cstheme="minorBidi"/>
        </w:rPr>
        <w:t>1.</w:t>
      </w:r>
      <w:r w:rsidRPr="002911C4">
        <w:rPr>
          <w:rFonts w:cstheme="minorBidi"/>
        </w:rPr>
        <w:tab/>
        <w:t>Infection control.</w:t>
      </w:r>
    </w:p>
    <w:p w:rsidR="00065FAA" w:rsidRPr="00B013ED" w:rsidRDefault="00065FAA" w:rsidP="00065FAA">
      <w:pPr>
        <w:spacing w:line="480" w:lineRule="auto"/>
        <w:jc w:val="both"/>
        <w:rPr>
          <w:rFonts w:cstheme="minorBidi"/>
        </w:rPr>
      </w:pPr>
      <w:r w:rsidRPr="00B013ED">
        <w:rPr>
          <w:rFonts w:cstheme="minorBidi"/>
        </w:rPr>
        <w:t>2.</w:t>
      </w:r>
      <w:r w:rsidRPr="00B013ED">
        <w:rPr>
          <w:rFonts w:cstheme="minorBidi"/>
        </w:rPr>
        <w:tab/>
        <w:t>Shaping the root canal to ease and facilitate the placement of root filling.</w:t>
      </w:r>
    </w:p>
    <w:p w:rsidR="00065FAA" w:rsidRPr="00B013ED" w:rsidRDefault="00065FAA" w:rsidP="00065FAA">
      <w:pPr>
        <w:spacing w:line="480" w:lineRule="auto"/>
        <w:jc w:val="both"/>
        <w:rPr>
          <w:rFonts w:cstheme="minorBidi"/>
        </w:rPr>
      </w:pPr>
      <w:r w:rsidRPr="00B013ED">
        <w:rPr>
          <w:rFonts w:cstheme="minorBidi"/>
        </w:rPr>
        <w:t>3.</w:t>
      </w:r>
      <w:r w:rsidRPr="00B013ED">
        <w:rPr>
          <w:rFonts w:cstheme="minorBidi"/>
        </w:rPr>
        <w:tab/>
        <w:t>Removing the remnants of pulp tissue and infected material.</w:t>
      </w:r>
    </w:p>
    <w:p w:rsidR="00065FAA" w:rsidRPr="00B013ED" w:rsidRDefault="00065FAA" w:rsidP="00065FAA">
      <w:pPr>
        <w:spacing w:line="480" w:lineRule="auto"/>
        <w:jc w:val="both"/>
        <w:rPr>
          <w:rFonts w:cstheme="minorBidi"/>
        </w:rPr>
      </w:pPr>
      <w:r w:rsidRPr="00B013ED">
        <w:rPr>
          <w:rFonts w:cstheme="minorBidi"/>
        </w:rPr>
        <w:t>4.</w:t>
      </w:r>
      <w:r w:rsidRPr="00B013ED">
        <w:rPr>
          <w:rFonts w:cstheme="minorBidi"/>
        </w:rPr>
        <w:tab/>
        <w:t>Disinfection of root canal space in order to minimise bacteria and their toxic product</w:t>
      </w:r>
      <w:r>
        <w:rPr>
          <w:rFonts w:cstheme="minorBidi"/>
        </w:rPr>
        <w:t>s</w:t>
      </w:r>
      <w:r w:rsidRPr="00B013ED">
        <w:rPr>
          <w:rFonts w:cstheme="minorBidi"/>
        </w:rPr>
        <w:t xml:space="preserve"> to an acceptable biological level.</w:t>
      </w:r>
    </w:p>
    <w:p w:rsidR="00065FAA" w:rsidRPr="00B013ED" w:rsidRDefault="00065FAA" w:rsidP="00065FAA">
      <w:pPr>
        <w:spacing w:line="480" w:lineRule="auto"/>
        <w:jc w:val="both"/>
        <w:rPr>
          <w:rFonts w:cstheme="minorBidi"/>
        </w:rPr>
      </w:pPr>
      <w:r w:rsidRPr="00B013ED">
        <w:rPr>
          <w:rFonts w:cstheme="minorBidi"/>
        </w:rPr>
        <w:t>5.</w:t>
      </w:r>
      <w:r w:rsidRPr="00B013ED">
        <w:rPr>
          <w:rFonts w:cstheme="minorBidi"/>
        </w:rPr>
        <w:tab/>
        <w:t>Obturation of the root canal by suitable materials.</w:t>
      </w:r>
    </w:p>
    <w:p w:rsidR="00065FAA" w:rsidRPr="00B013ED" w:rsidRDefault="00065FAA" w:rsidP="00065FAA">
      <w:pPr>
        <w:spacing w:line="480" w:lineRule="auto"/>
        <w:jc w:val="both"/>
        <w:rPr>
          <w:rFonts w:cstheme="minorBidi"/>
        </w:rPr>
      </w:pPr>
      <w:r w:rsidRPr="00B013ED">
        <w:rPr>
          <w:rFonts w:cstheme="minorBidi"/>
        </w:rPr>
        <w:t>6.</w:t>
      </w:r>
      <w:r w:rsidRPr="00B013ED">
        <w:rPr>
          <w:rFonts w:cstheme="minorBidi"/>
        </w:rPr>
        <w:tab/>
        <w:t>Conservation of root structure as much as possible.</w:t>
      </w:r>
    </w:p>
    <w:p w:rsidR="00065FAA" w:rsidRPr="00B013ED" w:rsidRDefault="00065FAA" w:rsidP="00065FAA">
      <w:pPr>
        <w:pStyle w:val="Heading4"/>
        <w:spacing w:line="480" w:lineRule="auto"/>
        <w:rPr>
          <w:color w:val="FF0000"/>
        </w:rPr>
      </w:pPr>
      <w:bookmarkStart w:id="160" w:name="_Toc359995792"/>
      <w:r w:rsidRPr="00B013ED">
        <w:t xml:space="preserve">Challenges in the treatment of </w:t>
      </w:r>
      <w:r>
        <w:t>non-vital</w:t>
      </w:r>
      <w:r w:rsidRPr="00B013ED">
        <w:t xml:space="preserve"> immature teeth</w:t>
      </w:r>
      <w:bookmarkEnd w:id="160"/>
    </w:p>
    <w:p w:rsidR="00065FAA" w:rsidRPr="00B013ED" w:rsidRDefault="00065FAA" w:rsidP="00620F69">
      <w:pPr>
        <w:pStyle w:val="ListParagraph"/>
        <w:numPr>
          <w:ilvl w:val="0"/>
          <w:numId w:val="61"/>
        </w:numPr>
        <w:spacing w:line="480" w:lineRule="auto"/>
        <w:jc w:val="both"/>
        <w:rPr>
          <w:rFonts w:cstheme="minorBidi"/>
        </w:rPr>
      </w:pPr>
      <w:r w:rsidRPr="00B013ED">
        <w:rPr>
          <w:rFonts w:cstheme="minorBidi"/>
        </w:rPr>
        <w:t>The ap</w:t>
      </w:r>
      <w:r>
        <w:rPr>
          <w:rFonts w:cstheme="minorBidi"/>
        </w:rPr>
        <w:t>ices</w:t>
      </w:r>
      <w:r w:rsidRPr="00B013ED">
        <w:rPr>
          <w:rFonts w:cstheme="minorBidi"/>
        </w:rPr>
        <w:t xml:space="preserve"> of the root canals are frequently divergent, are oval in shape, narrower mesio-distally than bucco-palatally and the apices immature making debridement and obturation difficult. </w:t>
      </w:r>
    </w:p>
    <w:p w:rsidR="00065FAA" w:rsidRPr="00B013ED" w:rsidRDefault="00065FAA" w:rsidP="00065FAA">
      <w:pPr>
        <w:pStyle w:val="ListParagraph"/>
        <w:numPr>
          <w:ilvl w:val="0"/>
          <w:numId w:val="61"/>
        </w:numPr>
        <w:spacing w:line="480" w:lineRule="auto"/>
        <w:jc w:val="both"/>
        <w:rPr>
          <w:rFonts w:cstheme="minorBidi"/>
        </w:rPr>
      </w:pPr>
      <w:r w:rsidRPr="00B013ED">
        <w:rPr>
          <w:rFonts w:cstheme="minorBidi"/>
        </w:rPr>
        <w:t xml:space="preserve">The dentine walls are thin and liable to fracture under physiological forces. </w:t>
      </w:r>
    </w:p>
    <w:p w:rsidR="00065FAA" w:rsidRPr="00B013ED" w:rsidRDefault="00065FAA" w:rsidP="00065FAA">
      <w:pPr>
        <w:pStyle w:val="ListParagraph"/>
        <w:numPr>
          <w:ilvl w:val="0"/>
          <w:numId w:val="61"/>
        </w:numPr>
        <w:spacing w:line="480" w:lineRule="auto"/>
        <w:jc w:val="both"/>
        <w:rPr>
          <w:rFonts w:cstheme="minorBidi"/>
        </w:rPr>
      </w:pPr>
      <w:r w:rsidRPr="00B013ED">
        <w:rPr>
          <w:rFonts w:cstheme="minorBidi"/>
        </w:rPr>
        <w:t xml:space="preserve">Widening of the coronal segment to make the diameter greater than that of the apical portion can significantly weaken the root and increase the risk of fracture. </w:t>
      </w:r>
    </w:p>
    <w:p w:rsidR="00065FAA" w:rsidRPr="00B013ED" w:rsidRDefault="00065FAA" w:rsidP="00065FAA">
      <w:pPr>
        <w:pStyle w:val="ListParagraph"/>
        <w:numPr>
          <w:ilvl w:val="0"/>
          <w:numId w:val="61"/>
        </w:numPr>
        <w:spacing w:line="480" w:lineRule="auto"/>
        <w:jc w:val="both"/>
        <w:rPr>
          <w:rFonts w:cstheme="minorBidi"/>
        </w:rPr>
      </w:pPr>
      <w:r w:rsidRPr="00B013ED">
        <w:rPr>
          <w:rFonts w:cstheme="minorBidi"/>
        </w:rPr>
        <w:lastRenderedPageBreak/>
        <w:t xml:space="preserve">The disadvantages of surgical intervention include the difficulty of obtaining the necessary apical seal in the young pulpless tooth with its thin, fragile, irregular walls at the root apex. </w:t>
      </w:r>
    </w:p>
    <w:p w:rsidR="00065FAA" w:rsidRPr="00B013ED" w:rsidRDefault="00065FAA" w:rsidP="00065FAA">
      <w:pPr>
        <w:pStyle w:val="ListParagraph"/>
        <w:numPr>
          <w:ilvl w:val="0"/>
          <w:numId w:val="61"/>
        </w:numPr>
        <w:spacing w:line="480" w:lineRule="auto"/>
        <w:jc w:val="both"/>
        <w:rPr>
          <w:rFonts w:cstheme="minorBidi"/>
        </w:rPr>
      </w:pPr>
      <w:r w:rsidRPr="00B013ED">
        <w:rPr>
          <w:rFonts w:cstheme="minorBidi"/>
        </w:rPr>
        <w:t xml:space="preserve">The wide foramen results in a large volume of filling material and a compromised seal. </w:t>
      </w:r>
    </w:p>
    <w:p w:rsidR="00065FAA" w:rsidRPr="00B013ED" w:rsidRDefault="00065FAA" w:rsidP="00065FAA">
      <w:pPr>
        <w:pStyle w:val="ListParagraph"/>
        <w:numPr>
          <w:ilvl w:val="0"/>
          <w:numId w:val="61"/>
        </w:numPr>
        <w:spacing w:line="480" w:lineRule="auto"/>
        <w:jc w:val="both"/>
        <w:rPr>
          <w:rFonts w:cstheme="minorBidi"/>
        </w:rPr>
      </w:pPr>
      <w:r w:rsidRPr="00B013ED">
        <w:rPr>
          <w:rFonts w:cstheme="minorBidi"/>
        </w:rPr>
        <w:t>Apicectomy further reduces the root length resulting in a very unfavourable crown</w:t>
      </w:r>
      <w:proofErr w:type="gramStart"/>
      <w:r>
        <w:rPr>
          <w:rFonts w:cstheme="minorBidi"/>
        </w:rPr>
        <w:t>:</w:t>
      </w:r>
      <w:r w:rsidRPr="00B013ED">
        <w:rPr>
          <w:rFonts w:cstheme="minorBidi"/>
        </w:rPr>
        <w:t>root</w:t>
      </w:r>
      <w:proofErr w:type="gramEnd"/>
      <w:r w:rsidRPr="00B013ED">
        <w:rPr>
          <w:rFonts w:cstheme="minorBidi"/>
        </w:rPr>
        <w:t xml:space="preserve"> ratio.</w:t>
      </w:r>
    </w:p>
    <w:p w:rsidR="00065FAA" w:rsidRPr="00B013ED" w:rsidRDefault="00065FAA" w:rsidP="00065FAA">
      <w:pPr>
        <w:rPr>
          <w:rFonts w:eastAsiaTheme="majorEastAsia"/>
          <w:b/>
          <w:bCs/>
        </w:rPr>
      </w:pPr>
      <w:bookmarkStart w:id="161" w:name="_Toc359995793"/>
      <w:r w:rsidRPr="00B013ED">
        <w:br w:type="page"/>
      </w:r>
    </w:p>
    <w:p w:rsidR="00065FAA" w:rsidRPr="00B013ED" w:rsidRDefault="00065FAA" w:rsidP="002B54A2">
      <w:pPr>
        <w:pStyle w:val="Heading2"/>
      </w:pPr>
      <w:r w:rsidRPr="00B013ED" w:rsidDel="00107FBB">
        <w:lastRenderedPageBreak/>
        <w:t xml:space="preserve"> </w:t>
      </w:r>
      <w:bookmarkStart w:id="162" w:name="_Toc370819216"/>
      <w:r w:rsidRPr="00B013ED">
        <w:t>Materials used to form apical barrier.</w:t>
      </w:r>
      <w:bookmarkEnd w:id="161"/>
      <w:bookmarkEnd w:id="162"/>
      <w:r w:rsidRPr="00B013ED">
        <w:t xml:space="preserve"> </w:t>
      </w:r>
    </w:p>
    <w:p w:rsidR="00065FAA" w:rsidRPr="00B013ED" w:rsidRDefault="00065FAA" w:rsidP="00065FAA">
      <w:pPr>
        <w:pStyle w:val="Heading3"/>
        <w:spacing w:line="480" w:lineRule="auto"/>
      </w:pPr>
      <w:bookmarkStart w:id="163" w:name="_Toc370819217"/>
      <w:r w:rsidRPr="00B013ED">
        <w:t>A number of materials have been proposed over the years including:</w:t>
      </w:r>
      <w:bookmarkEnd w:id="163"/>
    </w:p>
    <w:p w:rsidR="00065FAA" w:rsidRPr="006963A6" w:rsidRDefault="00065FAA" w:rsidP="00F177FE">
      <w:pPr>
        <w:pStyle w:val="ListParagraph"/>
        <w:numPr>
          <w:ilvl w:val="0"/>
          <w:numId w:val="85"/>
        </w:numPr>
        <w:spacing w:line="480" w:lineRule="auto"/>
        <w:jc w:val="both"/>
        <w:rPr>
          <w:rFonts w:cstheme="minorBidi"/>
        </w:rPr>
      </w:pPr>
      <w:r w:rsidRPr="006963A6">
        <w:rPr>
          <w:rFonts w:cstheme="minorBidi"/>
        </w:rPr>
        <w:t>Calcium hydroxide paste which was introduced by Kaiser (1964).</w:t>
      </w:r>
    </w:p>
    <w:p w:rsidR="00065FAA" w:rsidRPr="006963A6" w:rsidRDefault="00065FAA" w:rsidP="00F177FE">
      <w:pPr>
        <w:pStyle w:val="ListParagraph"/>
        <w:numPr>
          <w:ilvl w:val="0"/>
          <w:numId w:val="85"/>
        </w:numPr>
        <w:spacing w:line="480" w:lineRule="auto"/>
        <w:rPr>
          <w:rFonts w:cstheme="minorBidi"/>
        </w:rPr>
      </w:pPr>
      <w:r w:rsidRPr="006963A6">
        <w:rPr>
          <w:rFonts w:cstheme="minorBidi"/>
        </w:rPr>
        <w:t xml:space="preserve">Calcium hydroxide powder which was mixed with CMCP (camphorated monochlorophenol), metacresyl acetate, cresenol, saline, Ringer’s solution, distilled water or anaesthetic solution (Michanowicz and Michanowicz, 1967; Pitts </w:t>
      </w:r>
      <w:r w:rsidRPr="006963A6">
        <w:rPr>
          <w:rFonts w:cstheme="minorBidi"/>
          <w:i/>
          <w:iCs/>
        </w:rPr>
        <w:t>et al.,</w:t>
      </w:r>
      <w:r w:rsidRPr="006963A6">
        <w:rPr>
          <w:rFonts w:cstheme="minorBidi"/>
        </w:rPr>
        <w:t xml:space="preserve"> 1984; Weisenseel </w:t>
      </w:r>
      <w:r w:rsidRPr="006963A6">
        <w:rPr>
          <w:rFonts w:cstheme="minorBidi"/>
          <w:i/>
          <w:iCs/>
        </w:rPr>
        <w:t>et al.,</w:t>
      </w:r>
      <w:r w:rsidRPr="006963A6">
        <w:rPr>
          <w:rFonts w:cstheme="minorBidi"/>
        </w:rPr>
        <w:t xml:space="preserve"> 1987</w:t>
      </w:r>
      <w:r>
        <w:rPr>
          <w:rFonts w:cstheme="minorBidi"/>
        </w:rPr>
        <w:t xml:space="preserve">; </w:t>
      </w:r>
      <w:r w:rsidRPr="006963A6">
        <w:rPr>
          <w:rFonts w:cstheme="minorBidi"/>
        </w:rPr>
        <w:t xml:space="preserve">Schumacher and Rutledge, </w:t>
      </w:r>
      <w:proofErr w:type="gramStart"/>
      <w:r w:rsidRPr="006963A6">
        <w:rPr>
          <w:rFonts w:cstheme="minorBidi"/>
        </w:rPr>
        <w:t>1993;</w:t>
      </w:r>
      <w:proofErr w:type="gramEnd"/>
      <w:r w:rsidRPr="006963A6">
        <w:rPr>
          <w:rFonts w:cstheme="minorBidi"/>
        </w:rPr>
        <w:t>).</w:t>
      </w:r>
    </w:p>
    <w:p w:rsidR="00065FAA" w:rsidRPr="006963A6" w:rsidRDefault="00065FAA" w:rsidP="00F177FE">
      <w:pPr>
        <w:pStyle w:val="ListParagraph"/>
        <w:numPr>
          <w:ilvl w:val="0"/>
          <w:numId w:val="85"/>
        </w:numPr>
        <w:spacing w:line="480" w:lineRule="auto"/>
        <w:rPr>
          <w:rFonts w:cstheme="minorBidi"/>
        </w:rPr>
      </w:pPr>
      <w:r w:rsidRPr="006963A6">
        <w:rPr>
          <w:rFonts w:cstheme="minorBidi"/>
        </w:rPr>
        <w:t>Tricalcium phosphate (</w:t>
      </w:r>
      <w:r w:rsidRPr="006963A6">
        <w:rPr>
          <w:rFonts w:ascii="Arial" w:hAnsi="Arial" w:cs="Arial"/>
        </w:rPr>
        <w:t>Harbert</w:t>
      </w:r>
      <w:r w:rsidRPr="006963A6">
        <w:rPr>
          <w:rFonts w:ascii="Arial" w:hAnsi="Arial"/>
        </w:rPr>
        <w:t>, 1996)</w:t>
      </w:r>
      <w:r w:rsidRPr="006963A6">
        <w:rPr>
          <w:rFonts w:cstheme="minorBidi"/>
        </w:rPr>
        <w:t>.</w:t>
      </w:r>
    </w:p>
    <w:p w:rsidR="00065FAA" w:rsidRPr="006963A6" w:rsidRDefault="00065FAA" w:rsidP="00F177FE">
      <w:pPr>
        <w:pStyle w:val="ListParagraph"/>
        <w:numPr>
          <w:ilvl w:val="0"/>
          <w:numId w:val="85"/>
        </w:numPr>
        <w:spacing w:line="480" w:lineRule="auto"/>
        <w:rPr>
          <w:rFonts w:cstheme="minorBidi"/>
        </w:rPr>
      </w:pPr>
      <w:r w:rsidRPr="006963A6">
        <w:rPr>
          <w:rFonts w:cstheme="minorBidi"/>
        </w:rPr>
        <w:t xml:space="preserve">Collagen calcium phosphate (Nevins </w:t>
      </w:r>
      <w:r w:rsidRPr="006963A6">
        <w:rPr>
          <w:rFonts w:cstheme="minorBidi"/>
          <w:i/>
          <w:iCs/>
        </w:rPr>
        <w:t>et al.,</w:t>
      </w:r>
      <w:r w:rsidRPr="006963A6">
        <w:rPr>
          <w:rFonts w:cstheme="minorBidi"/>
        </w:rPr>
        <w:t xml:space="preserve"> 1978). </w:t>
      </w:r>
    </w:p>
    <w:p w:rsidR="00065FAA" w:rsidRPr="006963A6" w:rsidRDefault="00065FAA" w:rsidP="00F177FE">
      <w:pPr>
        <w:pStyle w:val="ListParagraph"/>
        <w:numPr>
          <w:ilvl w:val="0"/>
          <w:numId w:val="85"/>
        </w:numPr>
        <w:spacing w:line="480" w:lineRule="auto"/>
        <w:rPr>
          <w:rFonts w:cstheme="minorBidi"/>
        </w:rPr>
      </w:pPr>
      <w:r w:rsidRPr="006963A6">
        <w:rPr>
          <w:rFonts w:cstheme="minorBidi"/>
        </w:rPr>
        <w:t xml:space="preserve">Osteogenic protein (Shabahang </w:t>
      </w:r>
      <w:r w:rsidRPr="006963A6">
        <w:rPr>
          <w:rFonts w:cstheme="minorBidi"/>
          <w:i/>
          <w:iCs/>
        </w:rPr>
        <w:t>et al.,</w:t>
      </w:r>
      <w:r w:rsidRPr="006963A6">
        <w:rPr>
          <w:rFonts w:cstheme="minorBidi"/>
        </w:rPr>
        <w:t xml:space="preserve"> 1999).</w:t>
      </w:r>
    </w:p>
    <w:p w:rsidR="00065FAA" w:rsidRPr="006963A6" w:rsidRDefault="00065FAA" w:rsidP="00F177FE">
      <w:pPr>
        <w:pStyle w:val="ListParagraph"/>
        <w:numPr>
          <w:ilvl w:val="0"/>
          <w:numId w:val="85"/>
        </w:numPr>
        <w:spacing w:line="480" w:lineRule="auto"/>
        <w:rPr>
          <w:rFonts w:cstheme="minorBidi"/>
        </w:rPr>
      </w:pPr>
      <w:r w:rsidRPr="006963A6">
        <w:rPr>
          <w:rFonts w:cstheme="minorBidi"/>
        </w:rPr>
        <w:t xml:space="preserve">Bone growth factor </w:t>
      </w:r>
      <w:r w:rsidRPr="006963A6">
        <w:rPr>
          <w:rFonts w:cstheme="minorBidi"/>
          <w:szCs w:val="24"/>
        </w:rPr>
        <w:t>(</w:t>
      </w:r>
      <w:r w:rsidRPr="006963A6">
        <w:rPr>
          <w:rStyle w:val="articlealttitle1"/>
          <w:rFonts w:eastAsia="Arial Unicode MS" w:cstheme="minorBidi"/>
          <w:kern w:val="36"/>
        </w:rPr>
        <w:t xml:space="preserve">Tittle </w:t>
      </w:r>
      <w:r w:rsidRPr="006963A6">
        <w:rPr>
          <w:rStyle w:val="articlealttitle1"/>
          <w:rFonts w:eastAsia="Arial Unicode MS" w:cstheme="minorBidi"/>
          <w:i/>
          <w:iCs/>
          <w:kern w:val="36"/>
        </w:rPr>
        <w:t>et al.,</w:t>
      </w:r>
      <w:r w:rsidRPr="006963A6">
        <w:rPr>
          <w:rStyle w:val="articlealttitle1"/>
          <w:rFonts w:eastAsia="Arial Unicode MS" w:cstheme="minorBidi"/>
          <w:kern w:val="36"/>
        </w:rPr>
        <w:t xml:space="preserve"> 1996</w:t>
      </w:r>
      <w:r w:rsidRPr="006963A6">
        <w:rPr>
          <w:rFonts w:cstheme="minorBidi"/>
          <w:szCs w:val="24"/>
        </w:rPr>
        <w:t>).</w:t>
      </w:r>
      <w:r w:rsidRPr="006963A6">
        <w:rPr>
          <w:rFonts w:cstheme="minorBidi"/>
        </w:rPr>
        <w:t xml:space="preserve"> </w:t>
      </w:r>
    </w:p>
    <w:p w:rsidR="00065FAA" w:rsidRPr="006963A6" w:rsidRDefault="00065FAA" w:rsidP="00F177FE">
      <w:pPr>
        <w:pStyle w:val="ListParagraph"/>
        <w:numPr>
          <w:ilvl w:val="0"/>
          <w:numId w:val="85"/>
        </w:numPr>
        <w:spacing w:line="480" w:lineRule="auto"/>
        <w:rPr>
          <w:rFonts w:cstheme="minorBidi"/>
        </w:rPr>
      </w:pPr>
      <w:r w:rsidRPr="006963A6">
        <w:rPr>
          <w:rFonts w:cstheme="minorBidi"/>
        </w:rPr>
        <w:t xml:space="preserve">Mineral trioxide aggregate (Bal </w:t>
      </w:r>
      <w:r w:rsidRPr="006963A6">
        <w:rPr>
          <w:rFonts w:cstheme="minorBidi"/>
          <w:i/>
          <w:iCs/>
        </w:rPr>
        <w:t>et al.,</w:t>
      </w:r>
      <w:r w:rsidRPr="006963A6">
        <w:rPr>
          <w:rFonts w:cstheme="minorBidi"/>
        </w:rPr>
        <w:t xml:space="preserve"> 1993</w:t>
      </w:r>
      <w:r>
        <w:rPr>
          <w:rFonts w:cstheme="minorBidi"/>
        </w:rPr>
        <w:t xml:space="preserve">; </w:t>
      </w:r>
      <w:r w:rsidRPr="006963A6">
        <w:rPr>
          <w:rFonts w:cstheme="minorBidi"/>
        </w:rPr>
        <w:t>Lee et al., 2003).</w:t>
      </w:r>
    </w:p>
    <w:p w:rsidR="00065FAA" w:rsidRPr="006963A6" w:rsidRDefault="00065FAA" w:rsidP="00F177FE">
      <w:pPr>
        <w:pStyle w:val="ListParagraph"/>
        <w:numPr>
          <w:ilvl w:val="0"/>
          <w:numId w:val="85"/>
        </w:numPr>
        <w:spacing w:line="480" w:lineRule="auto"/>
        <w:rPr>
          <w:rFonts w:cstheme="minorBidi"/>
        </w:rPr>
      </w:pPr>
      <w:r w:rsidRPr="006963A6">
        <w:rPr>
          <w:rFonts w:cstheme="minorBidi"/>
        </w:rPr>
        <w:t>Oxidised cellulose (Surgicel®) use has been also reported (Dimashkieh, 1975).</w:t>
      </w:r>
    </w:p>
    <w:p w:rsidR="00065FAA" w:rsidRPr="006963A6" w:rsidRDefault="00065FAA" w:rsidP="00F177FE">
      <w:pPr>
        <w:pStyle w:val="ListParagraph"/>
        <w:numPr>
          <w:ilvl w:val="0"/>
          <w:numId w:val="85"/>
        </w:numPr>
        <w:spacing w:line="480" w:lineRule="auto"/>
        <w:rPr>
          <w:rFonts w:cstheme="minorBidi"/>
        </w:rPr>
      </w:pPr>
      <w:r w:rsidRPr="006963A6">
        <w:rPr>
          <w:rFonts w:cstheme="minorBidi"/>
        </w:rPr>
        <w:t>Proplast, apoly-tetrafluor-ethylene and carbon felt</w:t>
      </w:r>
      <w:r>
        <w:rPr>
          <w:rFonts w:cstheme="minorBidi"/>
        </w:rPr>
        <w:t>-</w:t>
      </w:r>
      <w:r w:rsidRPr="006963A6">
        <w:rPr>
          <w:rFonts w:cstheme="minorBidi"/>
        </w:rPr>
        <w:t xml:space="preserve">like porous material was experimentally used (Eleazer </w:t>
      </w:r>
      <w:r w:rsidRPr="006963A6">
        <w:rPr>
          <w:rFonts w:cstheme="minorBidi"/>
          <w:i/>
          <w:iCs/>
        </w:rPr>
        <w:t>et al.,</w:t>
      </w:r>
      <w:r w:rsidRPr="006963A6">
        <w:rPr>
          <w:rFonts w:cstheme="minorBidi"/>
        </w:rPr>
        <w:t xml:space="preserve"> 1984).</w:t>
      </w:r>
    </w:p>
    <w:p w:rsidR="00065FAA" w:rsidRPr="006963A6" w:rsidRDefault="00065FAA" w:rsidP="00F177FE">
      <w:pPr>
        <w:pStyle w:val="ListParagraph"/>
        <w:numPr>
          <w:ilvl w:val="0"/>
          <w:numId w:val="85"/>
        </w:numPr>
        <w:spacing w:line="480" w:lineRule="auto"/>
        <w:rPr>
          <w:rFonts w:cstheme="minorBidi"/>
        </w:rPr>
      </w:pPr>
      <w:r w:rsidRPr="006963A6">
        <w:rPr>
          <w:rFonts w:cstheme="minorBidi"/>
        </w:rPr>
        <w:t>Decalcified allogenic bone matrix (Narang and Wells., 1973).</w:t>
      </w:r>
    </w:p>
    <w:p w:rsidR="00065FAA" w:rsidRPr="006963A6" w:rsidRDefault="00065FAA" w:rsidP="00F177FE">
      <w:pPr>
        <w:pStyle w:val="ListParagraph"/>
        <w:numPr>
          <w:ilvl w:val="0"/>
          <w:numId w:val="85"/>
        </w:numPr>
        <w:spacing w:line="480" w:lineRule="auto"/>
        <w:rPr>
          <w:rFonts w:cstheme="minorBidi"/>
        </w:rPr>
      </w:pPr>
      <w:r w:rsidRPr="006963A6">
        <w:rPr>
          <w:rFonts w:cstheme="minorBidi"/>
        </w:rPr>
        <w:t>Barium hydroxide (Narang and Wells., 1973).</w:t>
      </w:r>
    </w:p>
    <w:p w:rsidR="00065FAA" w:rsidRPr="006963A6" w:rsidRDefault="00065FAA" w:rsidP="00F177FE">
      <w:pPr>
        <w:pStyle w:val="ListParagraph"/>
        <w:numPr>
          <w:ilvl w:val="0"/>
          <w:numId w:val="85"/>
        </w:numPr>
        <w:spacing w:line="480" w:lineRule="auto"/>
        <w:rPr>
          <w:rFonts w:cstheme="minorBidi"/>
        </w:rPr>
      </w:pPr>
      <w:r w:rsidRPr="006963A6">
        <w:rPr>
          <w:rFonts w:cstheme="minorBidi"/>
        </w:rPr>
        <w:t>True bovine bone ceramics (Yoshida, 1998) and dentine chips as plugs.</w:t>
      </w:r>
    </w:p>
    <w:p w:rsidR="00065FAA" w:rsidRPr="006963A6" w:rsidRDefault="00065FAA" w:rsidP="00F177FE">
      <w:pPr>
        <w:pStyle w:val="ListParagraph"/>
        <w:numPr>
          <w:ilvl w:val="0"/>
          <w:numId w:val="85"/>
        </w:numPr>
        <w:spacing w:line="480" w:lineRule="auto"/>
        <w:rPr>
          <w:rFonts w:cstheme="minorBidi"/>
        </w:rPr>
      </w:pPr>
      <w:r w:rsidRPr="006963A6">
        <w:rPr>
          <w:rFonts w:cstheme="minorBidi"/>
        </w:rPr>
        <w:lastRenderedPageBreak/>
        <w:t xml:space="preserve">Antibacterials such as camphorated monochlorophenol (Weine, 2004) or metronidazole (Nyarasdy </w:t>
      </w:r>
      <w:r w:rsidRPr="006963A6">
        <w:rPr>
          <w:rFonts w:cstheme="minorBidi"/>
          <w:i/>
        </w:rPr>
        <w:t>et al.,</w:t>
      </w:r>
      <w:r w:rsidRPr="006963A6">
        <w:rPr>
          <w:rFonts w:cstheme="minorBidi"/>
        </w:rPr>
        <w:t xml:space="preserve"> 1987) were used as </w:t>
      </w:r>
      <w:r>
        <w:rPr>
          <w:rFonts w:cstheme="minorBidi"/>
        </w:rPr>
        <w:t>intra-canal</w:t>
      </w:r>
      <w:r w:rsidRPr="006963A6">
        <w:rPr>
          <w:rFonts w:cstheme="minorBidi"/>
        </w:rPr>
        <w:t xml:space="preserve"> medications to stimulate apexfication.</w:t>
      </w:r>
    </w:p>
    <w:p w:rsidR="00065FAA" w:rsidRPr="00B013ED" w:rsidRDefault="00065FAA" w:rsidP="00065FAA">
      <w:pPr>
        <w:pStyle w:val="Heading3"/>
        <w:spacing w:line="480" w:lineRule="auto"/>
      </w:pPr>
      <w:bookmarkStart w:id="164" w:name="_Toc359995794"/>
      <w:bookmarkStart w:id="165" w:name="_Toc370819218"/>
      <w:bookmarkStart w:id="166" w:name="_Toc180862538"/>
      <w:bookmarkStart w:id="167" w:name="_Toc180862607"/>
      <w:bookmarkStart w:id="168" w:name="_Toc182295473"/>
      <w:bookmarkStart w:id="169" w:name="_Toc226789681"/>
      <w:r w:rsidRPr="00B013ED">
        <w:t>Calcium Hydroxide (CH) In Endodontic Therapy</w:t>
      </w:r>
      <w:bookmarkEnd w:id="164"/>
      <w:bookmarkEnd w:id="165"/>
    </w:p>
    <w:p w:rsidR="00065FAA" w:rsidRPr="00B013ED" w:rsidRDefault="00065FAA" w:rsidP="00065FAA">
      <w:pPr>
        <w:spacing w:line="480" w:lineRule="auto"/>
        <w:jc w:val="both"/>
      </w:pPr>
      <w:r w:rsidRPr="00B013ED">
        <w:t xml:space="preserve">Calcium hydroxide (CH) has been advocated for a long time as the best material used in root canal treatment. It is considered to possess many of the properties of an ideal root canal dressing, acting as a physical barrier, preventing root canal re-infection and interrupting the nutrient supply to the remaining bacteria. However, its mechanisms of cell damage are still not well known. The best accepted explanation </w:t>
      </w:r>
      <w:r>
        <w:t xml:space="preserve">is </w:t>
      </w:r>
      <w:r w:rsidRPr="00B013ED">
        <w:t>that the high pH hydroxyl group is the most important propert</w:t>
      </w:r>
      <w:r>
        <w:t>y</w:t>
      </w:r>
      <w:r w:rsidRPr="00B013ED">
        <w:t xml:space="preserve"> for calcium hydroxide. The release of hydroxyl ions in an aqueous environment causes damage to the bacterial cytoplasmic membrane and disrupts both protein denaturation and the DNA of bacterial cells. The antimicrobial action of calcium hydroxide is also related to its capacity to react with carbon dioxide in the root canal and thus some carbon dioxide dependent bacteria do not survive in this environment. Calcium hydroxide serves as an effective agent in removing tissue debris remaining in the root canal wall.</w:t>
      </w:r>
    </w:p>
    <w:p w:rsidR="00065FAA" w:rsidRPr="00B013ED" w:rsidRDefault="00065FAA" w:rsidP="00620F69">
      <w:pPr>
        <w:autoSpaceDE w:val="0"/>
        <w:autoSpaceDN w:val="0"/>
        <w:adjustRightInd w:val="0"/>
        <w:spacing w:line="480" w:lineRule="auto"/>
        <w:jc w:val="both"/>
        <w:rPr>
          <w:rFonts w:cstheme="minorBidi"/>
          <w:color w:val="000000" w:themeColor="text1"/>
        </w:rPr>
      </w:pPr>
      <w:r w:rsidRPr="00B013ED">
        <w:rPr>
          <w:rFonts w:cstheme="minorBidi"/>
          <w:color w:val="000000" w:themeColor="text1"/>
        </w:rPr>
        <w:t xml:space="preserve">The reasons behind using calcium hydroxide as a root-filling material are to maintain </w:t>
      </w:r>
      <w:r>
        <w:rPr>
          <w:rFonts w:cstheme="minorBidi"/>
          <w:color w:val="000000" w:themeColor="text1"/>
        </w:rPr>
        <w:t xml:space="preserve">a </w:t>
      </w:r>
      <w:r w:rsidRPr="00B013ED">
        <w:rPr>
          <w:rFonts w:cstheme="minorBidi"/>
          <w:color w:val="000000" w:themeColor="text1"/>
        </w:rPr>
        <w:t>healthy environment by stimulating the apical root tissues in order to promote healing and for its antimicrobial effects (</w:t>
      </w:r>
      <w:r w:rsidR="00C406CC" w:rsidRPr="00C406CC">
        <w:rPr>
          <w:rFonts w:cstheme="minorBidi"/>
          <w:color w:val="000000" w:themeColor="text1"/>
        </w:rPr>
        <w:t>Desai</w:t>
      </w:r>
      <w:r w:rsidR="00C406CC">
        <w:rPr>
          <w:rFonts w:cstheme="minorBidi"/>
          <w:color w:val="000000" w:themeColor="text1"/>
        </w:rPr>
        <w:t xml:space="preserve"> and</w:t>
      </w:r>
      <w:r w:rsidR="00C406CC" w:rsidRPr="00C406CC">
        <w:rPr>
          <w:rFonts w:cstheme="minorBidi"/>
          <w:color w:val="000000" w:themeColor="text1"/>
        </w:rPr>
        <w:t xml:space="preserve"> Chandler</w:t>
      </w:r>
      <w:r w:rsidRPr="00B013ED">
        <w:rPr>
          <w:rFonts w:cstheme="minorBidi"/>
          <w:color w:val="000000" w:themeColor="text1"/>
        </w:rPr>
        <w:t xml:space="preserve">, 2009). The exact mechanisms are unknown, but the following </w:t>
      </w:r>
      <w:r>
        <w:rPr>
          <w:rFonts w:cstheme="minorBidi"/>
          <w:color w:val="000000" w:themeColor="text1"/>
        </w:rPr>
        <w:t xml:space="preserve">theories </w:t>
      </w:r>
      <w:r w:rsidRPr="00B013ED">
        <w:rPr>
          <w:rFonts w:cstheme="minorBidi"/>
          <w:color w:val="000000" w:themeColor="text1"/>
        </w:rPr>
        <w:t xml:space="preserve">have been proposed: </w:t>
      </w:r>
    </w:p>
    <w:p w:rsidR="00065FAA" w:rsidRPr="00B013ED" w:rsidRDefault="00065FAA" w:rsidP="00065FAA">
      <w:pPr>
        <w:autoSpaceDE w:val="0"/>
        <w:autoSpaceDN w:val="0"/>
        <w:adjustRightInd w:val="0"/>
        <w:spacing w:line="480" w:lineRule="auto"/>
        <w:jc w:val="both"/>
        <w:rPr>
          <w:rFonts w:cstheme="minorBidi"/>
          <w:color w:val="000000" w:themeColor="text1"/>
        </w:rPr>
      </w:pPr>
      <w:r w:rsidRPr="00B013ED">
        <w:rPr>
          <w:rFonts w:cstheme="minorBidi"/>
          <w:color w:val="000000" w:themeColor="text1"/>
        </w:rPr>
        <w:lastRenderedPageBreak/>
        <w:t xml:space="preserve">1. Calcium hydroxide has an antibacterial activity which </w:t>
      </w:r>
      <w:r>
        <w:rPr>
          <w:rFonts w:cstheme="minorBidi"/>
          <w:color w:val="000000" w:themeColor="text1"/>
        </w:rPr>
        <w:t xml:space="preserve">is </w:t>
      </w:r>
      <w:r w:rsidRPr="00B013ED">
        <w:rPr>
          <w:rFonts w:cstheme="minorBidi"/>
          <w:color w:val="000000" w:themeColor="text1"/>
        </w:rPr>
        <w:t>depend</w:t>
      </w:r>
      <w:r>
        <w:rPr>
          <w:rFonts w:cstheme="minorBidi"/>
          <w:color w:val="000000" w:themeColor="text1"/>
        </w:rPr>
        <w:t>ent</w:t>
      </w:r>
      <w:r w:rsidRPr="00B013ED">
        <w:rPr>
          <w:rFonts w:cstheme="minorBidi"/>
          <w:color w:val="000000" w:themeColor="text1"/>
        </w:rPr>
        <w:t xml:space="preserve"> on the availability of free hydroxyl ions</w:t>
      </w:r>
      <w:r>
        <w:rPr>
          <w:rFonts w:cstheme="minorBidi"/>
          <w:color w:val="000000" w:themeColor="text1"/>
        </w:rPr>
        <w:t xml:space="preserve"> </w:t>
      </w:r>
      <w:r w:rsidRPr="00B013ED">
        <w:rPr>
          <w:rFonts w:cstheme="minorBidi"/>
          <w:color w:val="000000" w:themeColor="text1"/>
        </w:rPr>
        <w:t>(Cvek</w:t>
      </w:r>
      <w:r w:rsidR="007846DE" w:rsidRPr="00B013ED">
        <w:rPr>
          <w:rFonts w:cstheme="minorBidi"/>
          <w:color w:val="000000" w:themeColor="text1"/>
        </w:rPr>
        <w:t>, 1974</w:t>
      </w:r>
      <w:r>
        <w:rPr>
          <w:rFonts w:cstheme="minorBidi"/>
          <w:color w:val="000000" w:themeColor="text1"/>
        </w:rPr>
        <w:t>;</w:t>
      </w:r>
      <w:r w:rsidRPr="00B013ED">
        <w:rPr>
          <w:rFonts w:cstheme="minorBidi"/>
          <w:color w:val="000000" w:themeColor="text1"/>
        </w:rPr>
        <w:t xml:space="preserve"> Bystrom </w:t>
      </w:r>
      <w:r w:rsidRPr="00B013ED">
        <w:rPr>
          <w:rFonts w:cstheme="minorBidi"/>
          <w:i/>
          <w:iCs/>
          <w:color w:val="000000" w:themeColor="text1"/>
        </w:rPr>
        <w:t>et al.</w:t>
      </w:r>
      <w:r w:rsidR="007846DE" w:rsidRPr="00B013ED">
        <w:rPr>
          <w:rFonts w:cstheme="minorBidi"/>
          <w:i/>
          <w:iCs/>
          <w:color w:val="000000" w:themeColor="text1"/>
        </w:rPr>
        <w:t>,</w:t>
      </w:r>
      <w:r w:rsidR="007846DE" w:rsidRPr="00B013ED">
        <w:rPr>
          <w:rFonts w:cstheme="minorBidi"/>
          <w:color w:val="000000" w:themeColor="text1"/>
        </w:rPr>
        <w:t xml:space="preserve"> 1985</w:t>
      </w:r>
      <w:r w:rsidRPr="00B013ED">
        <w:rPr>
          <w:rFonts w:cstheme="minorBidi"/>
          <w:color w:val="000000" w:themeColor="text1"/>
        </w:rPr>
        <w:t>). It has a high pH (hydroxyl group) that encourages repair and active calcification. There is an initial degenerative response in the immediate vicinity followed rapidly by a minerali</w:t>
      </w:r>
      <w:r>
        <w:rPr>
          <w:rFonts w:cstheme="minorBidi"/>
          <w:color w:val="000000" w:themeColor="text1"/>
        </w:rPr>
        <w:t>s</w:t>
      </w:r>
      <w:r w:rsidRPr="00B013ED">
        <w:rPr>
          <w:rFonts w:cstheme="minorBidi"/>
          <w:color w:val="000000" w:themeColor="text1"/>
        </w:rPr>
        <w:t>ation and ossification response (Manhart, 1982).</w:t>
      </w:r>
    </w:p>
    <w:p w:rsidR="00065FAA" w:rsidRPr="00B013ED" w:rsidRDefault="00065FAA" w:rsidP="00065FAA">
      <w:pPr>
        <w:autoSpaceDE w:val="0"/>
        <w:autoSpaceDN w:val="0"/>
        <w:adjustRightInd w:val="0"/>
        <w:spacing w:line="480" w:lineRule="auto"/>
        <w:jc w:val="both"/>
        <w:rPr>
          <w:rFonts w:cstheme="minorBidi"/>
          <w:color w:val="000000" w:themeColor="text1"/>
        </w:rPr>
      </w:pPr>
      <w:r w:rsidRPr="00B013ED">
        <w:rPr>
          <w:rFonts w:cstheme="minorBidi"/>
          <w:color w:val="000000" w:themeColor="text1"/>
        </w:rPr>
        <w:t>2. The alkaline pH of calcium hydroxide neutrali</w:t>
      </w:r>
      <w:r>
        <w:rPr>
          <w:rFonts w:cstheme="minorBidi"/>
          <w:color w:val="000000" w:themeColor="text1"/>
        </w:rPr>
        <w:t>s</w:t>
      </w:r>
      <w:r w:rsidRPr="00B013ED">
        <w:rPr>
          <w:rFonts w:cstheme="minorBidi"/>
          <w:color w:val="000000" w:themeColor="text1"/>
        </w:rPr>
        <w:t>es lactic acid from osteoclasts and prevents dissolution of minerali</w:t>
      </w:r>
      <w:r>
        <w:rPr>
          <w:rFonts w:cstheme="minorBidi"/>
          <w:color w:val="000000" w:themeColor="text1"/>
        </w:rPr>
        <w:t>s</w:t>
      </w:r>
      <w:r w:rsidRPr="00B013ED">
        <w:rPr>
          <w:rFonts w:cstheme="minorBidi"/>
          <w:color w:val="000000" w:themeColor="text1"/>
        </w:rPr>
        <w:t>ed components of teeth. This pH also activates alkaline phosphatase that plays an important role in hard tissue formation (Stoc</w:t>
      </w:r>
      <w:r w:rsidR="00830F3E">
        <w:rPr>
          <w:rFonts w:cstheme="minorBidi"/>
          <w:color w:val="000000" w:themeColor="text1"/>
        </w:rPr>
        <w:t>k</w:t>
      </w:r>
      <w:r w:rsidRPr="00B013ED">
        <w:rPr>
          <w:rFonts w:cstheme="minorBidi"/>
          <w:color w:val="000000" w:themeColor="text1"/>
        </w:rPr>
        <w:t>, 1985).</w:t>
      </w:r>
    </w:p>
    <w:p w:rsidR="00065FAA" w:rsidRPr="00B013ED" w:rsidRDefault="00065FAA" w:rsidP="00065FAA">
      <w:pPr>
        <w:autoSpaceDE w:val="0"/>
        <w:autoSpaceDN w:val="0"/>
        <w:adjustRightInd w:val="0"/>
        <w:spacing w:line="480" w:lineRule="auto"/>
        <w:jc w:val="both"/>
        <w:rPr>
          <w:rFonts w:cstheme="minorBidi"/>
          <w:color w:val="000000" w:themeColor="text1"/>
        </w:rPr>
      </w:pPr>
      <w:r w:rsidRPr="00B013ED">
        <w:rPr>
          <w:rFonts w:cstheme="minorBidi"/>
          <w:color w:val="000000" w:themeColor="text1"/>
        </w:rPr>
        <w:t>3. Calcium hydroxide is less toxic to tissue in the root canal as it has protein denatur</w:t>
      </w:r>
      <w:r>
        <w:rPr>
          <w:rFonts w:cstheme="minorBidi"/>
          <w:color w:val="000000" w:themeColor="text1"/>
        </w:rPr>
        <w:t>ing</w:t>
      </w:r>
      <w:r w:rsidRPr="00B013ED">
        <w:rPr>
          <w:rFonts w:cstheme="minorBidi"/>
          <w:color w:val="000000" w:themeColor="text1"/>
        </w:rPr>
        <w:t xml:space="preserve"> properties.</w:t>
      </w:r>
    </w:p>
    <w:p w:rsidR="00065FAA" w:rsidRPr="00B013ED" w:rsidRDefault="00065FAA" w:rsidP="00065FAA">
      <w:pPr>
        <w:autoSpaceDE w:val="0"/>
        <w:autoSpaceDN w:val="0"/>
        <w:adjustRightInd w:val="0"/>
        <w:spacing w:line="480" w:lineRule="auto"/>
        <w:jc w:val="both"/>
        <w:rPr>
          <w:rFonts w:cstheme="minorBidi"/>
          <w:color w:val="000000" w:themeColor="text1"/>
        </w:rPr>
      </w:pPr>
      <w:r w:rsidRPr="00B013ED">
        <w:rPr>
          <w:rFonts w:cstheme="minorBidi"/>
          <w:color w:val="000000" w:themeColor="text1"/>
        </w:rPr>
        <w:t xml:space="preserve">4. Calcium hydroxide activates the calcium-dependent adenosine triphosphatase reaction associated with hard tissue formation (Torneck </w:t>
      </w:r>
      <w:r w:rsidRPr="00B013ED">
        <w:rPr>
          <w:rFonts w:cstheme="minorBidi"/>
          <w:i/>
          <w:iCs/>
          <w:color w:val="000000" w:themeColor="text1"/>
        </w:rPr>
        <w:t>et al</w:t>
      </w:r>
      <w:r w:rsidRPr="00B013ED">
        <w:rPr>
          <w:rFonts w:cstheme="minorBidi"/>
          <w:color w:val="000000" w:themeColor="text1"/>
        </w:rPr>
        <w:t>., 1983</w:t>
      </w:r>
      <w:r>
        <w:rPr>
          <w:rFonts w:cstheme="minorBidi"/>
          <w:color w:val="000000" w:themeColor="text1"/>
        </w:rPr>
        <w:t xml:space="preserve">; </w:t>
      </w:r>
      <w:r w:rsidRPr="00B013ED">
        <w:rPr>
          <w:rFonts w:cstheme="minorBidi"/>
          <w:color w:val="000000" w:themeColor="text1"/>
        </w:rPr>
        <w:t>Stoc</w:t>
      </w:r>
      <w:r w:rsidR="00830F3E">
        <w:rPr>
          <w:rFonts w:cstheme="minorBidi"/>
          <w:color w:val="000000" w:themeColor="text1"/>
        </w:rPr>
        <w:t>k</w:t>
      </w:r>
      <w:r w:rsidRPr="00B013ED">
        <w:rPr>
          <w:rFonts w:cstheme="minorBidi"/>
          <w:color w:val="000000" w:themeColor="text1"/>
        </w:rPr>
        <w:t>, 1985).</w:t>
      </w:r>
    </w:p>
    <w:p w:rsidR="00065FAA" w:rsidRPr="00B013ED" w:rsidRDefault="00065FAA" w:rsidP="00065FAA">
      <w:pPr>
        <w:autoSpaceDE w:val="0"/>
        <w:autoSpaceDN w:val="0"/>
        <w:adjustRightInd w:val="0"/>
        <w:spacing w:line="480" w:lineRule="auto"/>
        <w:jc w:val="both"/>
        <w:rPr>
          <w:rFonts w:cstheme="minorBidi"/>
          <w:color w:val="000000" w:themeColor="text1"/>
        </w:rPr>
      </w:pPr>
      <w:r w:rsidRPr="00B013ED">
        <w:rPr>
          <w:rFonts w:cstheme="minorBidi"/>
          <w:color w:val="000000" w:themeColor="text1"/>
        </w:rPr>
        <w:t xml:space="preserve">5. Calcium hydroxide diffuses through dentinal tubules and may communicate with the periodontal ligament space to arrest external root resorption and accelerate healing (Tronstad </w:t>
      </w:r>
      <w:r w:rsidRPr="00B013ED">
        <w:rPr>
          <w:rFonts w:cstheme="minorBidi"/>
          <w:i/>
          <w:iCs/>
          <w:color w:val="000000" w:themeColor="text1"/>
        </w:rPr>
        <w:t>et al</w:t>
      </w:r>
      <w:r w:rsidRPr="00B013ED">
        <w:rPr>
          <w:rFonts w:cstheme="minorBidi"/>
          <w:color w:val="000000" w:themeColor="text1"/>
        </w:rPr>
        <w:t>.,</w:t>
      </w:r>
      <w:r>
        <w:rPr>
          <w:rFonts w:cstheme="minorBidi"/>
          <w:color w:val="000000" w:themeColor="text1"/>
        </w:rPr>
        <w:t xml:space="preserve"> </w:t>
      </w:r>
      <w:r w:rsidRPr="00B013ED">
        <w:rPr>
          <w:rFonts w:cstheme="minorBidi"/>
          <w:color w:val="000000" w:themeColor="text1"/>
        </w:rPr>
        <w:t>1981</w:t>
      </w:r>
      <w:r>
        <w:rPr>
          <w:rFonts w:cstheme="minorBidi"/>
          <w:color w:val="000000" w:themeColor="text1"/>
        </w:rPr>
        <w:t xml:space="preserve">; </w:t>
      </w:r>
      <w:r w:rsidRPr="00B013ED">
        <w:rPr>
          <w:rFonts w:cstheme="minorBidi"/>
          <w:color w:val="000000" w:themeColor="text1"/>
        </w:rPr>
        <w:t xml:space="preserve">Manhart, 1982). </w:t>
      </w:r>
    </w:p>
    <w:p w:rsidR="00065FAA" w:rsidRPr="00B013ED" w:rsidRDefault="00065FAA" w:rsidP="00065FAA">
      <w:pPr>
        <w:pStyle w:val="Heading4"/>
        <w:spacing w:line="480" w:lineRule="auto"/>
      </w:pPr>
      <w:bookmarkStart w:id="170" w:name="_Toc359995795"/>
      <w:r w:rsidRPr="00B013ED">
        <w:t xml:space="preserve">Use of calcium hydroxide </w:t>
      </w:r>
      <w:bookmarkEnd w:id="170"/>
      <w:r w:rsidRPr="00B013ED">
        <w:t>for apexification</w:t>
      </w:r>
    </w:p>
    <w:p w:rsidR="00065FAA" w:rsidRPr="00B013ED" w:rsidRDefault="00065FAA" w:rsidP="00065FAA">
      <w:pPr>
        <w:autoSpaceDE w:val="0"/>
        <w:autoSpaceDN w:val="0"/>
        <w:adjustRightInd w:val="0"/>
        <w:spacing w:line="480" w:lineRule="auto"/>
        <w:jc w:val="both"/>
        <w:rPr>
          <w:rFonts w:cstheme="minorBidi"/>
          <w:lang w:val="en-US"/>
        </w:rPr>
      </w:pPr>
      <w:r w:rsidRPr="00B013ED">
        <w:rPr>
          <w:rFonts w:cstheme="minorBidi"/>
          <w:lang w:val="en-US"/>
        </w:rPr>
        <w:t>Apexification is defined as the process of establishing a condition within the root canal and periapical tissues after pulp death that allows a calcified barrier to form across the open apex of an immature root (</w:t>
      </w:r>
      <w:r w:rsidR="00F421F2">
        <w:rPr>
          <w:rFonts w:cstheme="minorBidi"/>
          <w:lang w:val="en-US"/>
        </w:rPr>
        <w:t xml:space="preserve">Pitt </w:t>
      </w:r>
      <w:r w:rsidRPr="00B013ED">
        <w:rPr>
          <w:rFonts w:cstheme="minorBidi"/>
          <w:lang w:val="en-US"/>
        </w:rPr>
        <w:t xml:space="preserve">Ford, 2002). This calcified barrier </w:t>
      </w:r>
      <w:r>
        <w:rPr>
          <w:rFonts w:cstheme="minorBidi"/>
          <w:lang w:val="en-US"/>
        </w:rPr>
        <w:t xml:space="preserve">is </w:t>
      </w:r>
      <w:r w:rsidRPr="00B013ED">
        <w:rPr>
          <w:rFonts w:cstheme="minorBidi"/>
          <w:lang w:val="en-US"/>
        </w:rPr>
        <w:t>form</w:t>
      </w:r>
      <w:r>
        <w:rPr>
          <w:rFonts w:cstheme="minorBidi"/>
          <w:lang w:val="en-US"/>
        </w:rPr>
        <w:t>ed</w:t>
      </w:r>
      <w:r w:rsidRPr="00B013ED">
        <w:rPr>
          <w:rFonts w:cstheme="minorBidi"/>
          <w:lang w:val="en-US"/>
        </w:rPr>
        <w:t xml:space="preserve"> </w:t>
      </w:r>
      <w:r>
        <w:rPr>
          <w:rFonts w:cstheme="minorBidi"/>
          <w:lang w:val="en-US"/>
        </w:rPr>
        <w:t>as</w:t>
      </w:r>
      <w:r w:rsidRPr="00B013ED">
        <w:rPr>
          <w:rFonts w:cstheme="minorBidi"/>
          <w:lang w:val="en-US"/>
        </w:rPr>
        <w:t xml:space="preserve"> osteocementum or other bone-like tissue (Grossman, 1988).</w:t>
      </w:r>
    </w:p>
    <w:p w:rsidR="00065FAA" w:rsidRPr="00B013ED" w:rsidRDefault="00065FAA" w:rsidP="00065FAA">
      <w:pPr>
        <w:autoSpaceDE w:val="0"/>
        <w:autoSpaceDN w:val="0"/>
        <w:adjustRightInd w:val="0"/>
        <w:spacing w:line="480" w:lineRule="auto"/>
        <w:jc w:val="both"/>
        <w:rPr>
          <w:rFonts w:cstheme="minorBidi"/>
          <w:lang w:val="en-US"/>
        </w:rPr>
      </w:pPr>
      <w:r w:rsidRPr="00B013ED">
        <w:rPr>
          <w:rFonts w:cstheme="minorBidi"/>
          <w:lang w:val="en-US"/>
        </w:rPr>
        <w:lastRenderedPageBreak/>
        <w:t xml:space="preserve">Studies reporting the success and clinical outcomes with calcium hydroxide have already been systematically reviewed in the previous chapter.  The literature review here will concentrate </w:t>
      </w:r>
      <w:r>
        <w:rPr>
          <w:rFonts w:cstheme="minorBidi"/>
          <w:lang w:val="en-US"/>
        </w:rPr>
        <w:t xml:space="preserve">on </w:t>
      </w:r>
      <w:r w:rsidRPr="00B013ED">
        <w:rPr>
          <w:rFonts w:cstheme="minorBidi"/>
          <w:lang w:val="en-US"/>
        </w:rPr>
        <w:t>the eff</w:t>
      </w:r>
      <w:r>
        <w:rPr>
          <w:rFonts w:cstheme="minorBidi"/>
          <w:lang w:val="en-US"/>
        </w:rPr>
        <w:t>e</w:t>
      </w:r>
      <w:r w:rsidRPr="00B013ED">
        <w:rPr>
          <w:rFonts w:cstheme="minorBidi"/>
          <w:lang w:val="en-US"/>
        </w:rPr>
        <w:t xml:space="preserve">ct of calcium hydroxide on the structural integrity of the teeth through its effect on the dentine.  </w:t>
      </w:r>
    </w:p>
    <w:p w:rsidR="00065FAA" w:rsidRPr="00B013ED" w:rsidRDefault="00065FAA" w:rsidP="00065FAA">
      <w:pPr>
        <w:pStyle w:val="Heading4"/>
        <w:spacing w:line="480" w:lineRule="auto"/>
      </w:pPr>
      <w:bookmarkStart w:id="171" w:name="_Toc359995796"/>
      <w:r w:rsidRPr="00B013ED">
        <w:t xml:space="preserve">Root Fractures </w:t>
      </w:r>
      <w:r>
        <w:t>F</w:t>
      </w:r>
      <w:r w:rsidRPr="00B013ED">
        <w:t>ollowing Apexification</w:t>
      </w:r>
      <w:bookmarkEnd w:id="171"/>
    </w:p>
    <w:p w:rsidR="00065FAA" w:rsidRPr="00B013ED" w:rsidRDefault="00065FAA" w:rsidP="00065FAA">
      <w:pPr>
        <w:spacing w:line="480" w:lineRule="auto"/>
        <w:jc w:val="both"/>
        <w:rPr>
          <w:rFonts w:cstheme="minorBidi"/>
        </w:rPr>
      </w:pPr>
      <w:r w:rsidRPr="00B013ED">
        <w:rPr>
          <w:rFonts w:cstheme="minorBidi"/>
        </w:rPr>
        <w:t xml:space="preserve">One of the long-term failures that have been reported in the literature </w:t>
      </w:r>
      <w:r>
        <w:rPr>
          <w:rFonts w:cstheme="minorBidi"/>
        </w:rPr>
        <w:t>are</w:t>
      </w:r>
      <w:r w:rsidRPr="00B013ED">
        <w:rPr>
          <w:rFonts w:cstheme="minorBidi"/>
        </w:rPr>
        <w:t xml:space="preserve"> root fractures of teeth after apical barrier formation and obturation. This has been attributed to the prolonged use of calcium hydroxide as an apexification agent (Cvek, 1992; Andreasen </w:t>
      </w:r>
      <w:r w:rsidRPr="00B013ED">
        <w:rPr>
          <w:rFonts w:cstheme="minorBidi"/>
          <w:i/>
        </w:rPr>
        <w:t>et al.,</w:t>
      </w:r>
      <w:r w:rsidRPr="00B013ED">
        <w:rPr>
          <w:rFonts w:cstheme="minorBidi"/>
        </w:rPr>
        <w:t xml:space="preserve"> 2002; Al-Jundi, 2004; Andreasen </w:t>
      </w:r>
      <w:r w:rsidRPr="00B013ED">
        <w:rPr>
          <w:rFonts w:cstheme="minorBidi"/>
          <w:i/>
        </w:rPr>
        <w:t>et al.,</w:t>
      </w:r>
      <w:r w:rsidRPr="00B013ED">
        <w:rPr>
          <w:rFonts w:cstheme="minorBidi"/>
        </w:rPr>
        <w:t xml:space="preserve"> 2006). The hypothesis was that long-term exposure to calcium hydroxide may weaken the dentine, thus making the roots more susceptible to fracture.</w:t>
      </w:r>
    </w:p>
    <w:p w:rsidR="00065FAA" w:rsidRPr="00B013ED" w:rsidRDefault="00065FAA" w:rsidP="00065FAA">
      <w:pPr>
        <w:spacing w:line="480" w:lineRule="auto"/>
        <w:jc w:val="both"/>
        <w:rPr>
          <w:rFonts w:cstheme="minorBidi"/>
        </w:rPr>
      </w:pPr>
      <w:r w:rsidRPr="00B013ED">
        <w:rPr>
          <w:rFonts w:cstheme="minorBidi"/>
        </w:rPr>
        <w:t>In a retrospective study of 885 luxated non-vital immature incisor teeth, treated with calcium hydroxide and follow</w:t>
      </w:r>
      <w:r>
        <w:rPr>
          <w:rFonts w:cstheme="minorBidi"/>
        </w:rPr>
        <w:t>ed</w:t>
      </w:r>
      <w:r w:rsidRPr="00B013ED">
        <w:rPr>
          <w:rFonts w:cstheme="minorBidi"/>
        </w:rPr>
        <w:t xml:space="preserve">-up for four years (Cvek, 1992) it was </w:t>
      </w:r>
      <w:r>
        <w:rPr>
          <w:rFonts w:cstheme="minorBidi"/>
        </w:rPr>
        <w:t>observed</w:t>
      </w:r>
      <w:r w:rsidRPr="00B013ED">
        <w:rPr>
          <w:rFonts w:cstheme="minorBidi"/>
        </w:rPr>
        <w:t xml:space="preserve"> that the main root fractures were at the cervical region in 77% of immature teeth compared to 2% in mature teeth. These results indicated that the thin dentine walls in immature incisors could be one of the reasons. This view was supported by finding a significant relationship between fracture and defects after inflammatory resorption of the root had arrested.</w:t>
      </w:r>
    </w:p>
    <w:p w:rsidR="00065FAA" w:rsidRPr="00B013ED" w:rsidRDefault="00065FAA" w:rsidP="00065FAA">
      <w:pPr>
        <w:spacing w:line="480" w:lineRule="auto"/>
        <w:jc w:val="both"/>
        <w:rPr>
          <w:rFonts w:cstheme="minorBidi"/>
        </w:rPr>
      </w:pPr>
      <w:r w:rsidRPr="00B013ED">
        <w:rPr>
          <w:rFonts w:cstheme="minorBidi"/>
        </w:rPr>
        <w:t xml:space="preserve">Al-Jundi, (2004) performed an analysis of the outcomes of their previously reported retrospective study (Al-Jundi, 2002) regarding complications due to the late presentation of dental trauma. Examination of dental records and radiographs of 195 children with 287 teeth aged from 15 months to 14 years old were performed then a clinical and radiographic follow-up was scheduled at 3, 6, </w:t>
      </w:r>
      <w:r w:rsidRPr="00B013ED">
        <w:rPr>
          <w:rFonts w:cstheme="minorBidi"/>
        </w:rPr>
        <w:lastRenderedPageBreak/>
        <w:t>12, 24 and 36 months.  Among the outcomes assessed in this study were root fractures as a long-term complication following apexification.  It was reported in 83 patients who had apexification treatment, 32% had root fractures, 85% of these which had occurred spontaneously. The technique of apexification and type of restorations provided were among some key information that was not reported in the study.</w:t>
      </w:r>
    </w:p>
    <w:p w:rsidR="00065FAA" w:rsidRPr="00B013ED" w:rsidRDefault="00065FAA" w:rsidP="00065FAA">
      <w:pPr>
        <w:spacing w:line="480" w:lineRule="auto"/>
        <w:jc w:val="both"/>
        <w:rPr>
          <w:rFonts w:cstheme="minorBidi"/>
        </w:rPr>
      </w:pPr>
      <w:r w:rsidRPr="00B013ED">
        <w:rPr>
          <w:rFonts w:cstheme="minorBidi"/>
        </w:rPr>
        <w:t xml:space="preserve">Andreasen </w:t>
      </w:r>
      <w:r w:rsidRPr="00B013ED">
        <w:rPr>
          <w:rFonts w:cstheme="minorBidi"/>
          <w:i/>
          <w:iCs/>
          <w:lang w:val="en-US"/>
        </w:rPr>
        <w:t>et al.,</w:t>
      </w:r>
      <w:r w:rsidRPr="00B013ED">
        <w:rPr>
          <w:rFonts w:cstheme="minorBidi"/>
          <w:lang w:val="en-US"/>
        </w:rPr>
        <w:t xml:space="preserve"> </w:t>
      </w:r>
      <w:r w:rsidRPr="00B013ED">
        <w:rPr>
          <w:rFonts w:cstheme="minorBidi"/>
        </w:rPr>
        <w:t>(2002) in an in</w:t>
      </w:r>
      <w:r>
        <w:rPr>
          <w:rFonts w:cstheme="minorBidi"/>
        </w:rPr>
        <w:t xml:space="preserve"> </w:t>
      </w:r>
      <w:r w:rsidRPr="00B013ED">
        <w:rPr>
          <w:rFonts w:cstheme="minorBidi"/>
        </w:rPr>
        <w:t>vitro study on sheep’s immature teeth concluded that a marked decrease in fracture strength occu</w:t>
      </w:r>
      <w:r>
        <w:rPr>
          <w:rFonts w:cstheme="minorBidi"/>
        </w:rPr>
        <w:t>r</w:t>
      </w:r>
      <w:r w:rsidRPr="00B013ED">
        <w:rPr>
          <w:rFonts w:cstheme="minorBidi"/>
        </w:rPr>
        <w:t xml:space="preserve">red with increasing storage time (in saline) for teeth treated with calcium hydroxide dressing.  It was also concluded that the fracture strength of calcium hydroxide-filled immature teeth was halved in about a year due to the root filling and this might explain the frequently reported fractures observed with long term use of calcium hydroxide or mineral trioxide aggregate. </w:t>
      </w:r>
    </w:p>
    <w:p w:rsidR="00065FAA" w:rsidRPr="00B013ED" w:rsidRDefault="00065FAA" w:rsidP="00065FAA">
      <w:pPr>
        <w:spacing w:line="480" w:lineRule="auto"/>
        <w:jc w:val="both"/>
        <w:rPr>
          <w:rFonts w:cstheme="minorBidi"/>
          <w:lang w:val="en-US"/>
        </w:rPr>
      </w:pPr>
      <w:r w:rsidRPr="00B013ED">
        <w:rPr>
          <w:rFonts w:cstheme="minorBidi"/>
          <w:lang w:val="en-US"/>
        </w:rPr>
        <w:t xml:space="preserve">Rosenberg </w:t>
      </w:r>
      <w:r w:rsidRPr="00B013ED">
        <w:rPr>
          <w:rFonts w:cstheme="minorBidi"/>
          <w:i/>
          <w:lang w:val="en-US"/>
        </w:rPr>
        <w:t>et al</w:t>
      </w:r>
      <w:r w:rsidRPr="00B013ED">
        <w:rPr>
          <w:rFonts w:cstheme="minorBidi"/>
          <w:lang w:val="en-US"/>
        </w:rPr>
        <w:t>., (2007) in an in</w:t>
      </w:r>
      <w:r>
        <w:rPr>
          <w:rFonts w:cstheme="minorBidi"/>
          <w:lang w:val="en-US"/>
        </w:rPr>
        <w:t xml:space="preserve"> </w:t>
      </w:r>
      <w:r w:rsidRPr="00B013ED">
        <w:rPr>
          <w:rFonts w:cstheme="minorBidi"/>
          <w:lang w:val="en-US"/>
        </w:rPr>
        <w:t xml:space="preserve">vitro study on human teeth concluded that the intra-canal calcium hydroxide weakened the dentine strength by 43.9% after 84 days of application.  In this study all teeth were embedded in plaster blocks that were carved to end at the cervical margins of teeth and tested for fracture strength using a testing machine.  One of the problems in interpretation of the results </w:t>
      </w:r>
      <w:r>
        <w:rPr>
          <w:rFonts w:cstheme="minorBidi"/>
          <w:lang w:val="en-US"/>
        </w:rPr>
        <w:t>wa</w:t>
      </w:r>
      <w:r w:rsidRPr="00B013ED">
        <w:rPr>
          <w:rFonts w:cstheme="minorBidi"/>
          <w:lang w:val="en-US"/>
        </w:rPr>
        <w:t>s related to a real-life situation, i.e. human teeth are functioning in the oral environment and lying within a unique system of highly speciali</w:t>
      </w:r>
      <w:r>
        <w:rPr>
          <w:rFonts w:cstheme="minorBidi"/>
          <w:lang w:val="en-US"/>
        </w:rPr>
        <w:t>s</w:t>
      </w:r>
      <w:r w:rsidRPr="00B013ED">
        <w:rPr>
          <w:rFonts w:cstheme="minorBidi"/>
          <w:lang w:val="en-US"/>
        </w:rPr>
        <w:t>ed periodontium. The behavio</w:t>
      </w:r>
      <w:r>
        <w:rPr>
          <w:rFonts w:cstheme="minorBidi"/>
          <w:lang w:val="en-US"/>
        </w:rPr>
        <w:t>u</w:t>
      </w:r>
      <w:r w:rsidRPr="00B013ED">
        <w:rPr>
          <w:rFonts w:cstheme="minorBidi"/>
          <w:lang w:val="en-US"/>
        </w:rPr>
        <w:t xml:space="preserve">r of these teeth under the experimental conditions when stored in saline for prolonged periods of time and then subjected to mechanical forces while embedded in plaster may be totally different from teeth </w:t>
      </w:r>
      <w:r w:rsidRPr="00B013ED">
        <w:rPr>
          <w:rFonts w:cstheme="minorBidi"/>
          <w:lang w:val="en-US"/>
        </w:rPr>
        <w:lastRenderedPageBreak/>
        <w:t>that are subjected to physiological forces, and surrounded by the periodontium. Other forces may play a more important role in the increased fracture susceptibility (if present) in these teeth e.g. thin week dentine walls of immature teeth.</w:t>
      </w:r>
    </w:p>
    <w:p w:rsidR="00065FAA" w:rsidRPr="00B013ED" w:rsidRDefault="00065FAA" w:rsidP="00EA253C">
      <w:pPr>
        <w:spacing w:line="480" w:lineRule="auto"/>
        <w:jc w:val="both"/>
        <w:rPr>
          <w:rFonts w:cstheme="minorBidi"/>
          <w:lang w:val="en-US"/>
        </w:rPr>
      </w:pPr>
      <w:r w:rsidRPr="00CE31BD">
        <w:rPr>
          <w:rFonts w:cstheme="minorBidi"/>
          <w:lang w:val="en-US"/>
        </w:rPr>
        <w:t xml:space="preserve">Kawamoto </w:t>
      </w:r>
      <w:r w:rsidRPr="00CE31BD">
        <w:rPr>
          <w:rFonts w:cstheme="minorBidi"/>
          <w:i/>
          <w:lang w:val="en-US"/>
        </w:rPr>
        <w:t>et al.,</w:t>
      </w:r>
      <w:r w:rsidRPr="00CE31BD">
        <w:rPr>
          <w:rFonts w:cstheme="minorBidi"/>
          <w:lang w:val="en-US"/>
        </w:rPr>
        <w:t xml:space="preserve"> (2008</w:t>
      </w:r>
      <w:r w:rsidRPr="00B013ED">
        <w:rPr>
          <w:rFonts w:cstheme="minorBidi"/>
          <w:lang w:val="en-US"/>
        </w:rPr>
        <w:t>) concluded in a</w:t>
      </w:r>
      <w:r>
        <w:rPr>
          <w:rFonts w:cstheme="minorBidi"/>
          <w:lang w:val="en-US"/>
        </w:rPr>
        <w:t>n in</w:t>
      </w:r>
      <w:r w:rsidRPr="00B013ED">
        <w:rPr>
          <w:rFonts w:cstheme="minorBidi"/>
          <w:lang w:val="en-US"/>
        </w:rPr>
        <w:t xml:space="preserve"> vitro study that exposure to calcium hydroxide over 90 days increase</w:t>
      </w:r>
      <w:r>
        <w:rPr>
          <w:rFonts w:cstheme="minorBidi"/>
          <w:lang w:val="en-US"/>
        </w:rPr>
        <w:t>d</w:t>
      </w:r>
      <w:r w:rsidRPr="00B013ED">
        <w:rPr>
          <w:rFonts w:cstheme="minorBidi"/>
          <w:lang w:val="en-US"/>
        </w:rPr>
        <w:t xml:space="preserve"> the elastic modulus of dentine,  making the effected tooth more prone to fracture. The same finding was found in Twati </w:t>
      </w:r>
      <w:r w:rsidRPr="00B013ED">
        <w:rPr>
          <w:rFonts w:cstheme="minorBidi"/>
          <w:i/>
          <w:iCs/>
          <w:lang w:val="en-US"/>
        </w:rPr>
        <w:t>et al.,</w:t>
      </w:r>
      <w:r w:rsidRPr="00B013ED">
        <w:rPr>
          <w:rFonts w:cstheme="minorBidi"/>
          <w:lang w:val="en-US"/>
        </w:rPr>
        <w:t xml:space="preserve"> 2009 that the dentine was weakening by 50% after eight months of calcium hydride application.  </w:t>
      </w:r>
      <w:r>
        <w:rPr>
          <w:rFonts w:cstheme="minorBidi"/>
          <w:lang w:val="en-US"/>
        </w:rPr>
        <w:t>A</w:t>
      </w:r>
      <w:r w:rsidRPr="00B013ED">
        <w:rPr>
          <w:rFonts w:cstheme="minorBidi"/>
          <w:lang w:val="en-US"/>
        </w:rPr>
        <w:t xml:space="preserve"> more recent study stated </w:t>
      </w:r>
      <w:r>
        <w:rPr>
          <w:rFonts w:cstheme="minorBidi"/>
          <w:lang w:val="en-US"/>
        </w:rPr>
        <w:t xml:space="preserve">that </w:t>
      </w:r>
      <w:r w:rsidRPr="00B013ED">
        <w:rPr>
          <w:rFonts w:cstheme="minorBidi"/>
          <w:lang w:val="en-US"/>
        </w:rPr>
        <w:t xml:space="preserve">the prolonged contact of calcium silicate–based </w:t>
      </w:r>
      <w:r>
        <w:rPr>
          <w:rFonts w:cstheme="minorBidi"/>
          <w:lang w:val="en-US"/>
        </w:rPr>
        <w:t>mineral</w:t>
      </w:r>
      <w:r w:rsidRPr="00B013ED">
        <w:rPr>
          <w:rFonts w:cstheme="minorBidi"/>
          <w:lang w:val="en-US"/>
        </w:rPr>
        <w:t xml:space="preserve"> had an adverse effect on the integrity of dentin</w:t>
      </w:r>
      <w:r>
        <w:rPr>
          <w:rFonts w:cstheme="minorBidi"/>
          <w:lang w:val="en-US"/>
        </w:rPr>
        <w:t>e</w:t>
      </w:r>
      <w:r w:rsidRPr="00B013ED">
        <w:rPr>
          <w:rFonts w:cstheme="minorBidi"/>
          <w:lang w:val="en-US"/>
        </w:rPr>
        <w:t xml:space="preserve"> collagen matrix </w:t>
      </w:r>
      <w:r>
        <w:rPr>
          <w:rFonts w:cstheme="minorBidi"/>
          <w:lang w:val="en-US"/>
        </w:rPr>
        <w:t xml:space="preserve">that </w:t>
      </w:r>
      <w:r w:rsidRPr="00B013ED">
        <w:rPr>
          <w:rFonts w:cstheme="minorBidi"/>
          <w:lang w:val="en-US"/>
        </w:rPr>
        <w:t>led to root fracture (</w:t>
      </w:r>
      <w:r w:rsidR="00EA253C" w:rsidRPr="00EA253C">
        <w:rPr>
          <w:rFonts w:ascii="Arial" w:hAnsi="Arial" w:cs="Arial"/>
          <w:szCs w:val="24"/>
        </w:rPr>
        <w:t>Leiendecker,</w:t>
      </w:r>
      <w:r w:rsidRPr="00EA253C">
        <w:rPr>
          <w:rFonts w:cstheme="minorBidi"/>
          <w:lang w:val="en-US"/>
        </w:rPr>
        <w:t xml:space="preserve"> </w:t>
      </w:r>
      <w:r w:rsidRPr="00B013ED">
        <w:rPr>
          <w:rFonts w:cstheme="minorBidi"/>
          <w:i/>
          <w:iCs/>
          <w:lang w:val="en-US"/>
        </w:rPr>
        <w:t>et al.,</w:t>
      </w:r>
      <w:r w:rsidRPr="00B013ED">
        <w:rPr>
          <w:rFonts w:cstheme="minorBidi"/>
          <w:lang w:val="en-US"/>
        </w:rPr>
        <w:t xml:space="preserve"> 2012)</w:t>
      </w:r>
      <w:r>
        <w:rPr>
          <w:rFonts w:cstheme="minorBidi"/>
          <w:lang w:val="en-US"/>
        </w:rPr>
        <w:t>.</w:t>
      </w:r>
      <w:r w:rsidRPr="00B013ED">
        <w:rPr>
          <w:rFonts w:cstheme="minorBidi"/>
          <w:lang w:val="en-US"/>
        </w:rPr>
        <w:t xml:space="preserve"> </w:t>
      </w:r>
    </w:p>
    <w:p w:rsidR="00065FAA" w:rsidRPr="00B013ED" w:rsidRDefault="00065FAA" w:rsidP="00065FAA">
      <w:pPr>
        <w:spacing w:line="480" w:lineRule="auto"/>
        <w:jc w:val="both"/>
        <w:rPr>
          <w:rFonts w:cstheme="minorBidi"/>
          <w:lang w:val="en-US"/>
        </w:rPr>
      </w:pPr>
      <w:r w:rsidRPr="00B013ED">
        <w:rPr>
          <w:rFonts w:cstheme="minorBidi"/>
          <w:lang w:val="en-US"/>
        </w:rPr>
        <w:t>A causal relation between the prolonged uses of calcium hydroxide in immature teeth and the observed root fracture following completed apexification and root canal obturation cannot be established based on the available reports in the literature.</w:t>
      </w:r>
    </w:p>
    <w:p w:rsidR="00EC4B20" w:rsidRPr="0023008A" w:rsidRDefault="00065FAA" w:rsidP="0023008A">
      <w:pPr>
        <w:spacing w:line="480" w:lineRule="auto"/>
        <w:jc w:val="both"/>
        <w:rPr>
          <w:rFonts w:cstheme="minorBidi"/>
          <w:lang w:val="en-US"/>
        </w:rPr>
      </w:pPr>
      <w:r w:rsidRPr="00B013ED">
        <w:rPr>
          <w:rFonts w:cstheme="minorBidi"/>
          <w:lang w:val="en-US"/>
        </w:rPr>
        <w:t>A decision regarding the effect of any medicament placed into the root canal should take into account all the possible known confounding factors that may affect root fracture of teeth. It is possible to control or adjust for confounders that are known and measured such as type of final restoration, root reinforcement attempts, further tooth weakening by preparation for post-retained restorations, root size of coronal access cavity and the amount of remaining coronal tooth structure etc. On the other hand, it is not possible to adjust for those factors that are not known to be confounders or that cannot be measured.</w:t>
      </w:r>
      <w:bookmarkStart w:id="172" w:name="_Toc359995797"/>
      <w:r w:rsidR="00EC4B20">
        <w:br w:type="page"/>
      </w:r>
    </w:p>
    <w:p w:rsidR="00065FAA" w:rsidRPr="00B013ED" w:rsidRDefault="00620F69" w:rsidP="00065FAA">
      <w:pPr>
        <w:pStyle w:val="Heading4"/>
        <w:spacing w:line="480" w:lineRule="auto"/>
      </w:pPr>
      <w:r>
        <w:lastRenderedPageBreak/>
        <w:t>S</w:t>
      </w:r>
      <w:r w:rsidR="00065FAA" w:rsidRPr="00B013ED">
        <w:t>hortcomings o</w:t>
      </w:r>
      <w:r>
        <w:t>f</w:t>
      </w:r>
      <w:r w:rsidR="00065FAA" w:rsidRPr="00B013ED">
        <w:t xml:space="preserve"> calcium hydroxide apexification:</w:t>
      </w:r>
      <w:bookmarkEnd w:id="172"/>
    </w:p>
    <w:p w:rsidR="00065FAA" w:rsidRPr="00B013ED" w:rsidRDefault="00065FAA" w:rsidP="00065FAA">
      <w:pPr>
        <w:pStyle w:val="ListParagraph"/>
        <w:numPr>
          <w:ilvl w:val="0"/>
          <w:numId w:val="62"/>
        </w:numPr>
        <w:spacing w:line="480" w:lineRule="auto"/>
        <w:jc w:val="both"/>
        <w:rPr>
          <w:rFonts w:cstheme="minorBidi"/>
        </w:rPr>
      </w:pPr>
      <w:r w:rsidRPr="00B013ED">
        <w:rPr>
          <w:rFonts w:cstheme="minorBidi"/>
        </w:rPr>
        <w:t xml:space="preserve">Long time-span of the entire treatment. </w:t>
      </w:r>
    </w:p>
    <w:p w:rsidR="00065FAA" w:rsidRPr="00B013ED" w:rsidRDefault="00065FAA" w:rsidP="003F3CBD">
      <w:pPr>
        <w:pStyle w:val="ListParagraph"/>
        <w:numPr>
          <w:ilvl w:val="0"/>
          <w:numId w:val="62"/>
        </w:numPr>
        <w:spacing w:line="480" w:lineRule="auto"/>
        <w:jc w:val="both"/>
        <w:rPr>
          <w:rFonts w:cstheme="minorBidi"/>
        </w:rPr>
      </w:pPr>
      <w:r w:rsidRPr="00B013ED">
        <w:rPr>
          <w:rFonts w:cstheme="minorBidi"/>
        </w:rPr>
        <w:t>Multiple visits with heavy demands on patients and carers and inevitable clinical costs</w:t>
      </w:r>
      <w:r w:rsidR="00620F69">
        <w:rPr>
          <w:rFonts w:cstheme="minorBidi"/>
        </w:rPr>
        <w:t xml:space="preserve"> </w:t>
      </w:r>
      <w:r w:rsidRPr="003F3CBD">
        <w:rPr>
          <w:rFonts w:cstheme="minorBidi"/>
        </w:rPr>
        <w:t>(</w:t>
      </w:r>
      <w:r w:rsidR="003F3CBD" w:rsidRPr="003F3CBD">
        <w:rPr>
          <w:rFonts w:cstheme="minorBidi"/>
        </w:rPr>
        <w:t>Rafter, 2005)</w:t>
      </w:r>
    </w:p>
    <w:p w:rsidR="00065FAA" w:rsidRPr="00B013ED" w:rsidRDefault="00065FAA" w:rsidP="00065FAA">
      <w:pPr>
        <w:pStyle w:val="ListParagraph"/>
        <w:numPr>
          <w:ilvl w:val="0"/>
          <w:numId w:val="62"/>
        </w:numPr>
        <w:spacing w:line="480" w:lineRule="auto"/>
        <w:jc w:val="both"/>
        <w:rPr>
          <w:rFonts w:cstheme="minorBidi"/>
        </w:rPr>
      </w:pPr>
      <w:r w:rsidRPr="00B013ED">
        <w:rPr>
          <w:rFonts w:cstheme="minorBidi"/>
        </w:rPr>
        <w:t xml:space="preserve">Increased risk of tooth fracture using calcium hydroxide as a long-term root canal dressing (Andreasen </w:t>
      </w:r>
      <w:r w:rsidRPr="00B013ED">
        <w:rPr>
          <w:rFonts w:cstheme="minorBidi"/>
          <w:i/>
        </w:rPr>
        <w:t>et al.,</w:t>
      </w:r>
      <w:r w:rsidRPr="00B013ED">
        <w:rPr>
          <w:rFonts w:cstheme="minorBidi"/>
        </w:rPr>
        <w:t xml:space="preserve"> 2002, Twati </w:t>
      </w:r>
      <w:r w:rsidRPr="00B013ED">
        <w:rPr>
          <w:rFonts w:cstheme="minorBidi"/>
          <w:i/>
        </w:rPr>
        <w:t>et al</w:t>
      </w:r>
      <w:r w:rsidRPr="00B013ED">
        <w:rPr>
          <w:rFonts w:cstheme="minorBidi"/>
        </w:rPr>
        <w:t xml:space="preserve">., 2009). </w:t>
      </w:r>
    </w:p>
    <w:p w:rsidR="00065FAA" w:rsidRPr="00B013ED" w:rsidRDefault="00065FAA" w:rsidP="00065FAA">
      <w:pPr>
        <w:spacing w:line="480" w:lineRule="auto"/>
        <w:jc w:val="both"/>
        <w:rPr>
          <w:rFonts w:cstheme="minorBidi"/>
        </w:rPr>
      </w:pPr>
      <w:r w:rsidRPr="00B013ED">
        <w:rPr>
          <w:rFonts w:cstheme="minorBidi"/>
        </w:rPr>
        <w:t xml:space="preserve">These downsides led to the use of mineral trioxide aggregate (MTA) to fill the apical end without the need for calcific barrier formation. </w:t>
      </w:r>
    </w:p>
    <w:p w:rsidR="00065FAA" w:rsidRPr="00B013ED" w:rsidRDefault="00065FAA" w:rsidP="00065FAA">
      <w:pPr>
        <w:spacing w:line="480" w:lineRule="auto"/>
        <w:jc w:val="both"/>
        <w:rPr>
          <w:rFonts w:cstheme="minorBidi"/>
        </w:rPr>
      </w:pPr>
      <w:r w:rsidRPr="00B013ED">
        <w:rPr>
          <w:rFonts w:cstheme="minorBidi"/>
        </w:rPr>
        <w:t>In comparison to calcium hydroxide, us</w:t>
      </w:r>
      <w:r>
        <w:rPr>
          <w:rFonts w:cstheme="minorBidi"/>
        </w:rPr>
        <w:t>e</w:t>
      </w:r>
      <w:r w:rsidRPr="00B013ED">
        <w:rPr>
          <w:rFonts w:cstheme="minorBidi"/>
        </w:rPr>
        <w:t xml:space="preserve"> of MTA for apexification may shorten the treatment period with Apexification (Banchs and Trope, 2004</w:t>
      </w:r>
      <w:r>
        <w:rPr>
          <w:rFonts w:cstheme="minorBidi"/>
        </w:rPr>
        <w:t>;</w:t>
      </w:r>
      <w:r w:rsidRPr="00B013ED">
        <w:rPr>
          <w:rFonts w:cstheme="minorBidi"/>
        </w:rPr>
        <w:t xml:space="preserve"> Jung </w:t>
      </w:r>
      <w:r w:rsidRPr="00B013ED">
        <w:rPr>
          <w:rFonts w:cstheme="minorBidi"/>
          <w:i/>
        </w:rPr>
        <w:t>et al</w:t>
      </w:r>
      <w:r w:rsidRPr="00B013ED">
        <w:rPr>
          <w:rFonts w:cstheme="minorBidi"/>
        </w:rPr>
        <w:t xml:space="preserve">., 2008). </w:t>
      </w:r>
    </w:p>
    <w:p w:rsidR="00065FAA" w:rsidRPr="00B013ED" w:rsidRDefault="00065FAA" w:rsidP="00065FAA">
      <w:pPr>
        <w:spacing w:line="480" w:lineRule="auto"/>
        <w:jc w:val="both"/>
        <w:rPr>
          <w:rFonts w:cstheme="minorBidi"/>
        </w:rPr>
      </w:pPr>
      <w:r w:rsidRPr="00B013ED">
        <w:rPr>
          <w:rFonts w:cstheme="minorBidi"/>
        </w:rPr>
        <w:t>MTA offer</w:t>
      </w:r>
      <w:r>
        <w:rPr>
          <w:rFonts w:cstheme="minorBidi"/>
        </w:rPr>
        <w:t>s</w:t>
      </w:r>
      <w:r w:rsidRPr="00B013ED">
        <w:rPr>
          <w:rFonts w:cstheme="minorBidi"/>
        </w:rPr>
        <w:t xml:space="preserve"> a very good sealing ability (Al-Khatani </w:t>
      </w:r>
      <w:r w:rsidRPr="00B013ED">
        <w:rPr>
          <w:rFonts w:cstheme="minorBidi"/>
          <w:i/>
        </w:rPr>
        <w:t>et al.,</w:t>
      </w:r>
      <w:r w:rsidRPr="00B013ED">
        <w:rPr>
          <w:rFonts w:cstheme="minorBidi"/>
        </w:rPr>
        <w:t xml:space="preserve"> 2005), high </w:t>
      </w:r>
      <w:r>
        <w:rPr>
          <w:rFonts w:cstheme="minorBidi"/>
        </w:rPr>
        <w:t>pH</w:t>
      </w:r>
      <w:r w:rsidRPr="00B013ED">
        <w:rPr>
          <w:rFonts w:cstheme="minorBidi"/>
        </w:rPr>
        <w:t xml:space="preserve">, antimicrobial properties (Torabinejad </w:t>
      </w:r>
      <w:r w:rsidRPr="00B013ED">
        <w:rPr>
          <w:rFonts w:cstheme="minorBidi"/>
          <w:i/>
        </w:rPr>
        <w:t>et al.,</w:t>
      </w:r>
      <w:r w:rsidRPr="00B013ED">
        <w:rPr>
          <w:rFonts w:cstheme="minorBidi"/>
        </w:rPr>
        <w:t xml:space="preserve"> 1995</w:t>
      </w:r>
      <w:r>
        <w:rPr>
          <w:rFonts w:cstheme="minorBidi"/>
        </w:rPr>
        <w:t>;</w:t>
      </w:r>
      <w:r w:rsidRPr="00B013ED">
        <w:rPr>
          <w:rFonts w:cstheme="minorBidi"/>
        </w:rPr>
        <w:t xml:space="preserve"> Estrela </w:t>
      </w:r>
      <w:r w:rsidRPr="00B013ED">
        <w:rPr>
          <w:rFonts w:cstheme="minorBidi"/>
          <w:i/>
        </w:rPr>
        <w:t>et al.,</w:t>
      </w:r>
      <w:r w:rsidRPr="00B013ED">
        <w:rPr>
          <w:rFonts w:cstheme="minorBidi"/>
        </w:rPr>
        <w:t xml:space="preserve"> 2000), excellent setting ability uninhibited by blood or water (Torabinejad </w:t>
      </w:r>
      <w:r w:rsidRPr="00B013ED">
        <w:rPr>
          <w:rFonts w:cstheme="minorBidi"/>
          <w:i/>
        </w:rPr>
        <w:t>et al.,</w:t>
      </w:r>
      <w:r w:rsidRPr="00B013ED">
        <w:rPr>
          <w:rFonts w:cstheme="minorBidi"/>
        </w:rPr>
        <w:t xml:space="preserve"> 1995), low cytotoxicity, biocompatibility (Saidon </w:t>
      </w:r>
      <w:r w:rsidRPr="00B013ED">
        <w:rPr>
          <w:rFonts w:cstheme="minorBidi"/>
          <w:i/>
        </w:rPr>
        <w:t>et al.,</w:t>
      </w:r>
      <w:r w:rsidRPr="00B013ED">
        <w:rPr>
          <w:rFonts w:cstheme="minorBidi"/>
        </w:rPr>
        <w:t xml:space="preserve"> 2003) and also an effect on the induction of odontoblasts and of a hard barrier (Apaydin </w:t>
      </w:r>
      <w:r w:rsidRPr="00B013ED">
        <w:rPr>
          <w:rFonts w:cstheme="minorBidi"/>
          <w:i/>
        </w:rPr>
        <w:t>et al.,</w:t>
      </w:r>
      <w:r w:rsidRPr="00B013ED">
        <w:rPr>
          <w:rFonts w:cstheme="minorBidi"/>
        </w:rPr>
        <w:t xml:space="preserve"> 2004).</w:t>
      </w:r>
    </w:p>
    <w:p w:rsidR="00065FAA" w:rsidRPr="00B013ED" w:rsidRDefault="00065FAA" w:rsidP="00065FAA">
      <w:pPr>
        <w:jc w:val="both"/>
        <w:rPr>
          <w:rFonts w:eastAsiaTheme="majorEastAsia"/>
          <w:b/>
          <w:bCs/>
          <w:szCs w:val="26"/>
        </w:rPr>
      </w:pPr>
      <w:bookmarkStart w:id="173" w:name="_Toc359995798"/>
      <w:r w:rsidRPr="00B013ED">
        <w:br w:type="page"/>
      </w:r>
    </w:p>
    <w:p w:rsidR="00065FAA" w:rsidRPr="00B013ED" w:rsidRDefault="00065FAA" w:rsidP="00065FAA">
      <w:pPr>
        <w:pStyle w:val="Heading3"/>
        <w:spacing w:line="480" w:lineRule="auto"/>
        <w:rPr>
          <w:rFonts w:cstheme="minorBidi"/>
        </w:rPr>
      </w:pPr>
      <w:bookmarkStart w:id="174" w:name="_Toc370819219"/>
      <w:r w:rsidRPr="00B013ED">
        <w:lastRenderedPageBreak/>
        <w:t>Mineral Trioxide Aggregate (MTA)</w:t>
      </w:r>
      <w:bookmarkEnd w:id="173"/>
      <w:bookmarkEnd w:id="174"/>
    </w:p>
    <w:p w:rsidR="00065FAA" w:rsidRPr="00B013ED" w:rsidRDefault="00065FAA" w:rsidP="00065FAA">
      <w:pPr>
        <w:spacing w:line="480" w:lineRule="auto"/>
        <w:jc w:val="both"/>
        <w:rPr>
          <w:rFonts w:cstheme="minorBidi"/>
          <w:color w:val="000000"/>
          <w:lang w:val="en-US"/>
        </w:rPr>
      </w:pPr>
      <w:r w:rsidRPr="00B013ED">
        <w:rPr>
          <w:rFonts w:cstheme="minorBidi"/>
          <w:color w:val="000000"/>
          <w:lang w:val="en-US"/>
        </w:rPr>
        <w:t xml:space="preserve">MTA was first described in the dental literature for repair of lateral root perforations (Lee </w:t>
      </w:r>
      <w:r w:rsidRPr="00B013ED">
        <w:rPr>
          <w:rFonts w:cstheme="minorBidi"/>
          <w:i/>
          <w:iCs/>
          <w:color w:val="000000"/>
          <w:lang w:val="en-US"/>
        </w:rPr>
        <w:t>et al</w:t>
      </w:r>
      <w:r w:rsidRPr="00B013ED">
        <w:rPr>
          <w:rFonts w:cstheme="minorBidi"/>
          <w:color w:val="000000"/>
          <w:lang w:val="en-US"/>
        </w:rPr>
        <w:t xml:space="preserve">., 1993) </w:t>
      </w:r>
      <w:r>
        <w:rPr>
          <w:rFonts w:cstheme="minorBidi"/>
          <w:color w:val="000000"/>
          <w:lang w:val="en-US"/>
        </w:rPr>
        <w:t xml:space="preserve">and </w:t>
      </w:r>
      <w:r w:rsidRPr="00B013ED">
        <w:rPr>
          <w:rFonts w:cstheme="minorBidi"/>
          <w:color w:val="000000"/>
          <w:lang w:val="en-US"/>
        </w:rPr>
        <w:t xml:space="preserve">numerous studies have been published regarding various aspects </w:t>
      </w:r>
      <w:r>
        <w:rPr>
          <w:rFonts w:cstheme="minorBidi"/>
          <w:color w:val="000000"/>
          <w:lang w:val="en-US"/>
        </w:rPr>
        <w:t xml:space="preserve">of the </w:t>
      </w:r>
      <w:r w:rsidRPr="00B013ED">
        <w:rPr>
          <w:rFonts w:cstheme="minorBidi"/>
          <w:color w:val="000000"/>
          <w:lang w:val="en-US"/>
        </w:rPr>
        <w:t>uses of this material. MTA is a powder that consists of fine hydrophilic particles which set in the presence of moisture. Hydration of the powder results in a colloidal gel with a pH of 12.5 that solidifies to a hard structure (Duarte, 2003</w:t>
      </w:r>
      <w:r>
        <w:rPr>
          <w:rFonts w:cstheme="minorBidi"/>
          <w:color w:val="000000"/>
          <w:lang w:val="en-US"/>
        </w:rPr>
        <w:t xml:space="preserve">; </w:t>
      </w:r>
      <w:r w:rsidRPr="00B013ED">
        <w:rPr>
          <w:rFonts w:cstheme="minorBidi"/>
          <w:color w:val="000000"/>
          <w:lang w:val="en-US"/>
        </w:rPr>
        <w:t xml:space="preserve">Lee </w:t>
      </w:r>
      <w:r w:rsidRPr="00B013ED">
        <w:rPr>
          <w:rFonts w:cstheme="minorBidi"/>
          <w:i/>
          <w:iCs/>
          <w:color w:val="000000"/>
          <w:lang w:val="en-US"/>
        </w:rPr>
        <w:t>et al</w:t>
      </w:r>
      <w:r w:rsidRPr="00B013ED">
        <w:rPr>
          <w:rFonts w:cstheme="minorBidi"/>
          <w:color w:val="000000"/>
          <w:lang w:val="en-US"/>
        </w:rPr>
        <w:t xml:space="preserve">., 2003).  </w:t>
      </w:r>
    </w:p>
    <w:p w:rsidR="00065FAA" w:rsidRPr="00B013ED" w:rsidRDefault="00065FAA" w:rsidP="00065FAA">
      <w:pPr>
        <w:spacing w:line="480" w:lineRule="auto"/>
        <w:jc w:val="both"/>
        <w:rPr>
          <w:rFonts w:cstheme="minorBidi"/>
          <w:color w:val="000000"/>
          <w:lang w:val="en-US"/>
        </w:rPr>
      </w:pPr>
      <w:r w:rsidRPr="00B013ED">
        <w:rPr>
          <w:rFonts w:cstheme="minorBidi"/>
          <w:color w:val="000000"/>
          <w:lang w:val="en-US"/>
        </w:rPr>
        <w:t>MTA is prepared by mixing three parts powder with one part aqueous solution or according to the manufacture</w:t>
      </w:r>
      <w:r>
        <w:rPr>
          <w:rFonts w:cstheme="minorBidi"/>
          <w:color w:val="000000"/>
          <w:lang w:val="en-US"/>
        </w:rPr>
        <w:t>r’</w:t>
      </w:r>
      <w:r w:rsidRPr="00B013ED">
        <w:rPr>
          <w:rFonts w:cstheme="minorBidi"/>
          <w:color w:val="000000"/>
          <w:lang w:val="en-US"/>
        </w:rPr>
        <w:t xml:space="preserve">s recommendations. The characteristics of the aggregate depend on the size of the particles, powder to water ratio, temperature, presence of water and entrapped air (Torabinejad </w:t>
      </w:r>
      <w:r w:rsidRPr="00B013ED">
        <w:rPr>
          <w:rFonts w:cstheme="minorBidi"/>
          <w:i/>
          <w:iCs/>
          <w:color w:val="000000"/>
          <w:lang w:val="en-US"/>
        </w:rPr>
        <w:t>et al</w:t>
      </w:r>
      <w:r w:rsidRPr="00B013ED">
        <w:rPr>
          <w:rFonts w:cstheme="minorBidi"/>
          <w:color w:val="000000"/>
          <w:lang w:val="en-US"/>
        </w:rPr>
        <w:t>., 1995). The setting time for the cement is about four hours.</w:t>
      </w:r>
    </w:p>
    <w:p w:rsidR="00065FAA" w:rsidRPr="00B013ED" w:rsidRDefault="00065FAA" w:rsidP="00065FAA">
      <w:pPr>
        <w:pStyle w:val="Heading4"/>
        <w:spacing w:line="480" w:lineRule="auto"/>
      </w:pPr>
      <w:bookmarkStart w:id="175" w:name="_Toc359995799"/>
      <w:r w:rsidRPr="00B013ED">
        <w:t>Physical and chemical properties of MTA</w:t>
      </w:r>
      <w:bookmarkEnd w:id="175"/>
      <w:r w:rsidRPr="00B013ED">
        <w:t xml:space="preserve">  </w:t>
      </w:r>
    </w:p>
    <w:p w:rsidR="00065FAA" w:rsidRPr="00B013ED" w:rsidRDefault="00065FAA" w:rsidP="00065FAA">
      <w:pPr>
        <w:spacing w:line="480" w:lineRule="auto"/>
        <w:jc w:val="both"/>
        <w:rPr>
          <w:rFonts w:cstheme="minorBidi"/>
          <w:color w:val="000000"/>
          <w:lang w:val="en-US"/>
        </w:rPr>
      </w:pPr>
      <w:r w:rsidRPr="00B013ED">
        <w:rPr>
          <w:rFonts w:cstheme="minorBidi"/>
          <w:color w:val="000000"/>
          <w:lang w:val="en-US"/>
        </w:rPr>
        <w:t xml:space="preserve">MTA is a powder that consists of fine hydrophilic particles that sets in the presence of moisture. Hydration of the powder results in a colloidal gel that solidifies to a hard structure in less than </w:t>
      </w:r>
      <w:r>
        <w:rPr>
          <w:rFonts w:cstheme="minorBidi"/>
          <w:color w:val="000000"/>
          <w:lang w:val="en-US"/>
        </w:rPr>
        <w:t>four</w:t>
      </w:r>
      <w:r w:rsidRPr="00B013ED">
        <w:rPr>
          <w:rFonts w:cstheme="minorBidi"/>
          <w:color w:val="000000"/>
          <w:lang w:val="en-US"/>
        </w:rPr>
        <w:t xml:space="preserve"> hours (</w:t>
      </w:r>
      <w:r>
        <w:rPr>
          <w:rFonts w:cstheme="minorBidi"/>
          <w:color w:val="000000"/>
          <w:lang w:val="en-US"/>
        </w:rPr>
        <w:t>L</w:t>
      </w:r>
      <w:r w:rsidRPr="00B013ED">
        <w:rPr>
          <w:rFonts w:cstheme="minorBidi"/>
          <w:color w:val="000000"/>
          <w:lang w:val="en-US"/>
        </w:rPr>
        <w:t xml:space="preserve">ee </w:t>
      </w:r>
      <w:r w:rsidRPr="00B013ED">
        <w:rPr>
          <w:rFonts w:cstheme="minorBidi"/>
          <w:i/>
          <w:iCs/>
          <w:color w:val="000000"/>
          <w:lang w:val="en-US"/>
        </w:rPr>
        <w:t>et al</w:t>
      </w:r>
      <w:r w:rsidRPr="00B013ED">
        <w:rPr>
          <w:rFonts w:cstheme="minorBidi"/>
          <w:color w:val="000000"/>
          <w:lang w:val="en-US"/>
        </w:rPr>
        <w:t>., 1993). The characteristics of the aggregate depend on the size of the particles, powder</w:t>
      </w:r>
      <w:r>
        <w:rPr>
          <w:rFonts w:cstheme="minorBidi"/>
          <w:color w:val="000000"/>
          <w:lang w:val="en-US"/>
        </w:rPr>
        <w:t xml:space="preserve"> </w:t>
      </w:r>
      <w:r w:rsidRPr="00B013ED">
        <w:rPr>
          <w:rFonts w:cstheme="minorBidi"/>
          <w:color w:val="000000"/>
          <w:lang w:val="en-US"/>
        </w:rPr>
        <w:t xml:space="preserve">to water ratio, temperature, presence of water and entrapped air (Torabinejad </w:t>
      </w:r>
      <w:r w:rsidRPr="00B013ED">
        <w:rPr>
          <w:rFonts w:cstheme="minorBidi"/>
          <w:i/>
          <w:iCs/>
          <w:color w:val="000000"/>
          <w:lang w:val="en-US"/>
        </w:rPr>
        <w:t>et al</w:t>
      </w:r>
      <w:r w:rsidRPr="00B013ED">
        <w:rPr>
          <w:rFonts w:cstheme="minorBidi"/>
          <w:color w:val="000000"/>
          <w:lang w:val="en-US"/>
        </w:rPr>
        <w:t>., 1993)</w:t>
      </w:r>
      <w:r>
        <w:rPr>
          <w:rFonts w:cstheme="minorBidi"/>
          <w:color w:val="000000"/>
          <w:lang w:val="en-US"/>
        </w:rPr>
        <w:t>.</w:t>
      </w:r>
      <w:r w:rsidRPr="00B013ED">
        <w:rPr>
          <w:rFonts w:cstheme="minorBidi"/>
          <w:color w:val="000000"/>
          <w:lang w:val="en-US"/>
        </w:rPr>
        <w:t xml:space="preserve"> Since MTA was first introduced as a root-end filling material, most of the studies </w:t>
      </w:r>
      <w:r>
        <w:rPr>
          <w:rFonts w:cstheme="minorBidi"/>
          <w:color w:val="000000"/>
          <w:lang w:val="en-US"/>
        </w:rPr>
        <w:t>have</w:t>
      </w:r>
      <w:r w:rsidRPr="00B013ED">
        <w:rPr>
          <w:rFonts w:cstheme="minorBidi"/>
          <w:color w:val="000000"/>
          <w:lang w:val="en-US"/>
        </w:rPr>
        <w:t xml:space="preserve"> compar</w:t>
      </w:r>
      <w:r>
        <w:rPr>
          <w:rFonts w:cstheme="minorBidi"/>
          <w:color w:val="000000"/>
          <w:lang w:val="en-US"/>
        </w:rPr>
        <w:t>ed</w:t>
      </w:r>
      <w:r w:rsidRPr="00B013ED">
        <w:rPr>
          <w:rFonts w:cstheme="minorBidi"/>
          <w:color w:val="000000"/>
          <w:lang w:val="en-US"/>
        </w:rPr>
        <w:t xml:space="preserve"> its physical and chemical properties with other commonly used materials for root-end surgical procedures. Torabinejad and co-workers (1995a) conducted a study in which they determined the chemical composition of MTA, the pH of the setting cement and the radio</w:t>
      </w:r>
      <w:r>
        <w:rPr>
          <w:rFonts w:cstheme="minorBidi"/>
          <w:color w:val="000000"/>
          <w:lang w:val="en-US"/>
        </w:rPr>
        <w:t>-o</w:t>
      </w:r>
      <w:r w:rsidRPr="00B013ED">
        <w:rPr>
          <w:rFonts w:cstheme="minorBidi"/>
          <w:color w:val="000000"/>
          <w:lang w:val="en-US"/>
        </w:rPr>
        <w:t xml:space="preserve">pacity of the material. </w:t>
      </w:r>
      <w:r>
        <w:rPr>
          <w:rFonts w:cstheme="minorBidi"/>
          <w:color w:val="000000"/>
          <w:lang w:val="en-US"/>
        </w:rPr>
        <w:lastRenderedPageBreak/>
        <w:t>E</w:t>
      </w:r>
      <w:r w:rsidRPr="00B013ED">
        <w:rPr>
          <w:rFonts w:cstheme="minorBidi"/>
          <w:color w:val="000000"/>
          <w:lang w:val="en-US"/>
        </w:rPr>
        <w:t xml:space="preserve">xamination of the MTA showed specific phases throughout the material that were divided into calcium oxide which appeared as  discrete crystals and calcium phosphate which presented as an amorphous structure with no apparent crystal growth but a granular appearance. The pH changes with time from pH 10.2 at </w:t>
      </w:r>
      <w:r>
        <w:rPr>
          <w:rFonts w:cstheme="minorBidi"/>
          <w:color w:val="000000"/>
          <w:lang w:val="en-US"/>
        </w:rPr>
        <w:t xml:space="preserve">the </w:t>
      </w:r>
      <w:r w:rsidRPr="00B013ED">
        <w:rPr>
          <w:rFonts w:cstheme="minorBidi"/>
          <w:color w:val="000000"/>
          <w:lang w:val="en-US"/>
        </w:rPr>
        <w:t xml:space="preserve">start then rose to 12.5 after </w:t>
      </w:r>
      <w:r>
        <w:rPr>
          <w:rFonts w:cstheme="minorBidi"/>
          <w:color w:val="000000"/>
          <w:lang w:val="en-US"/>
        </w:rPr>
        <w:t>three</w:t>
      </w:r>
      <w:r w:rsidRPr="00B013ED">
        <w:rPr>
          <w:rFonts w:cstheme="minorBidi"/>
          <w:color w:val="000000"/>
          <w:lang w:val="en-US"/>
        </w:rPr>
        <w:t xml:space="preserve"> hours.</w:t>
      </w:r>
    </w:p>
    <w:p w:rsidR="00065FAA" w:rsidRPr="00B013ED" w:rsidRDefault="00065FAA" w:rsidP="00065FAA">
      <w:pPr>
        <w:spacing w:line="480" w:lineRule="auto"/>
        <w:jc w:val="both"/>
        <w:rPr>
          <w:rFonts w:cstheme="minorBidi"/>
          <w:color w:val="000000"/>
          <w:lang w:val="en-US"/>
        </w:rPr>
      </w:pPr>
      <w:r w:rsidRPr="00B013ED">
        <w:rPr>
          <w:rFonts w:cstheme="minorBidi"/>
          <w:color w:val="000000"/>
          <w:lang w:val="en-US"/>
        </w:rPr>
        <w:t xml:space="preserve">MTA </w:t>
      </w:r>
      <w:r>
        <w:rPr>
          <w:rFonts w:cstheme="minorBidi"/>
          <w:color w:val="000000"/>
          <w:lang w:val="en-US"/>
        </w:rPr>
        <w:t xml:space="preserve">is </w:t>
      </w:r>
      <w:r w:rsidRPr="00B013ED">
        <w:rPr>
          <w:rFonts w:cstheme="minorBidi"/>
          <w:color w:val="000000"/>
          <w:lang w:val="en-US"/>
        </w:rPr>
        <w:t>currently available as two forms gr</w:t>
      </w:r>
      <w:r>
        <w:rPr>
          <w:rFonts w:cstheme="minorBidi"/>
          <w:color w:val="000000"/>
          <w:lang w:val="en-US"/>
        </w:rPr>
        <w:t>e</w:t>
      </w:r>
      <w:r w:rsidRPr="00B013ED">
        <w:rPr>
          <w:rFonts w:cstheme="minorBidi"/>
          <w:color w:val="000000"/>
          <w:lang w:val="en-US"/>
        </w:rPr>
        <w:t xml:space="preserve">y (GMTA) and white (WMTA). </w:t>
      </w:r>
      <w:proofErr w:type="gramStart"/>
      <w:r w:rsidRPr="00B013ED">
        <w:rPr>
          <w:rFonts w:cstheme="minorBidi"/>
          <w:color w:val="000000"/>
          <w:lang w:val="en-US"/>
        </w:rPr>
        <w:t>(Kratchman, 2004).</w:t>
      </w:r>
      <w:proofErr w:type="gramEnd"/>
      <w:r w:rsidRPr="00B013ED">
        <w:rPr>
          <w:rFonts w:cstheme="minorBidi"/>
          <w:color w:val="000000"/>
          <w:lang w:val="en-US"/>
        </w:rPr>
        <w:t xml:space="preserve"> The WMTA has been introduced as an aesthetic improvement of the original material for placement in anterior teeth.  The chemical composition of grey and white MTA have shown that both materials are similar to Portland cement, but with bismuth oxide. Portland cement itself is a mixture of dicalcium silicate, tricalcium silicate, tricalcium aluminate, gypsum, and tetracalcium aluminoferrite (Dammaschke </w:t>
      </w:r>
      <w:r w:rsidRPr="00B013ED">
        <w:rPr>
          <w:rFonts w:cstheme="minorBidi"/>
          <w:i/>
          <w:iCs/>
          <w:color w:val="000000"/>
          <w:lang w:val="en-US"/>
        </w:rPr>
        <w:t>et al</w:t>
      </w:r>
      <w:r w:rsidRPr="00B013ED">
        <w:rPr>
          <w:rFonts w:cstheme="minorBidi"/>
          <w:color w:val="000000"/>
          <w:lang w:val="en-US"/>
        </w:rPr>
        <w:t>., 2005</w:t>
      </w:r>
      <w:r>
        <w:rPr>
          <w:rFonts w:cstheme="minorBidi"/>
          <w:color w:val="000000"/>
          <w:lang w:val="en-US"/>
        </w:rPr>
        <w:t xml:space="preserve">; </w:t>
      </w:r>
      <w:r w:rsidRPr="00B013ED">
        <w:rPr>
          <w:rFonts w:cstheme="minorBidi"/>
          <w:color w:val="000000"/>
          <w:lang w:val="en-US"/>
        </w:rPr>
        <w:t xml:space="preserve">Sarkar </w:t>
      </w:r>
      <w:r w:rsidRPr="00B013ED">
        <w:rPr>
          <w:rFonts w:cstheme="minorBidi"/>
          <w:i/>
          <w:iCs/>
          <w:color w:val="000000"/>
          <w:lang w:val="en-US"/>
        </w:rPr>
        <w:t>et al</w:t>
      </w:r>
      <w:r w:rsidRPr="00B013ED">
        <w:rPr>
          <w:rFonts w:cstheme="minorBidi"/>
          <w:color w:val="000000"/>
          <w:lang w:val="en-US"/>
        </w:rPr>
        <w:t>., 2005). The amount of gypsum in MTA is approximately half the amount in Portland cements. The importan</w:t>
      </w:r>
      <w:r>
        <w:rPr>
          <w:rFonts w:cstheme="minorBidi"/>
          <w:color w:val="000000"/>
          <w:lang w:val="en-US"/>
        </w:rPr>
        <w:t>ce</w:t>
      </w:r>
      <w:r w:rsidRPr="00B013ED">
        <w:rPr>
          <w:rFonts w:cstheme="minorBidi"/>
          <w:color w:val="000000"/>
          <w:lang w:val="en-US"/>
        </w:rPr>
        <w:t xml:space="preserve"> of gypsum was to determin</w:t>
      </w:r>
      <w:r>
        <w:rPr>
          <w:rFonts w:cstheme="minorBidi"/>
          <w:color w:val="000000"/>
          <w:lang w:val="en-US"/>
        </w:rPr>
        <w:t>e</w:t>
      </w:r>
      <w:r w:rsidRPr="00B013ED">
        <w:rPr>
          <w:rFonts w:cstheme="minorBidi"/>
          <w:color w:val="000000"/>
          <w:lang w:val="en-US"/>
        </w:rPr>
        <w:t xml:space="preserve"> the setting time. Modifying the gypsum content in the MTA mix can result in </w:t>
      </w:r>
      <w:r>
        <w:rPr>
          <w:rFonts w:cstheme="minorBidi"/>
          <w:color w:val="000000"/>
          <w:lang w:val="en-US"/>
        </w:rPr>
        <w:t xml:space="preserve">a </w:t>
      </w:r>
      <w:r w:rsidRPr="00B013ED">
        <w:rPr>
          <w:rFonts w:cstheme="minorBidi"/>
          <w:color w:val="000000"/>
          <w:lang w:val="en-US"/>
        </w:rPr>
        <w:t xml:space="preserve">significant reduction of setting time (Camilleri </w:t>
      </w:r>
      <w:r w:rsidRPr="00B013ED">
        <w:rPr>
          <w:rFonts w:cstheme="minorBidi"/>
          <w:i/>
          <w:iCs/>
          <w:color w:val="000000"/>
          <w:lang w:val="en-US"/>
        </w:rPr>
        <w:t>et al</w:t>
      </w:r>
      <w:r w:rsidRPr="00B013ED">
        <w:rPr>
          <w:rFonts w:cstheme="minorBidi"/>
          <w:color w:val="000000"/>
          <w:lang w:val="en-US"/>
        </w:rPr>
        <w:t>., 2005)</w:t>
      </w:r>
      <w:r>
        <w:rPr>
          <w:rFonts w:cstheme="minorBidi"/>
          <w:color w:val="000000"/>
          <w:lang w:val="en-US"/>
        </w:rPr>
        <w:t>.</w:t>
      </w:r>
    </w:p>
    <w:p w:rsidR="00065FAA" w:rsidRPr="00B013ED" w:rsidRDefault="00065FAA" w:rsidP="00065FAA">
      <w:pPr>
        <w:spacing w:line="480" w:lineRule="auto"/>
        <w:jc w:val="both"/>
        <w:rPr>
          <w:rFonts w:cstheme="minorBidi"/>
          <w:color w:val="000000"/>
          <w:lang w:val="en-US"/>
        </w:rPr>
      </w:pPr>
      <w:r>
        <w:rPr>
          <w:rFonts w:cstheme="minorBidi"/>
          <w:color w:val="000000"/>
          <w:lang w:val="en-US"/>
        </w:rPr>
        <w:t>W</w:t>
      </w:r>
      <w:r w:rsidRPr="00B013ED">
        <w:rPr>
          <w:rFonts w:cstheme="minorBidi"/>
          <w:color w:val="000000"/>
          <w:lang w:val="en-US"/>
        </w:rPr>
        <w:t xml:space="preserve">hite MTA is widely used in dentistry </w:t>
      </w:r>
      <w:r>
        <w:rPr>
          <w:rFonts w:cstheme="minorBidi"/>
          <w:color w:val="000000"/>
          <w:lang w:val="en-US"/>
        </w:rPr>
        <w:t xml:space="preserve">rather </w:t>
      </w:r>
      <w:r w:rsidRPr="00B013ED">
        <w:rPr>
          <w:rFonts w:cstheme="minorBidi"/>
          <w:color w:val="000000"/>
          <w:lang w:val="en-US"/>
        </w:rPr>
        <w:t xml:space="preserve">than grey MTA because studies </w:t>
      </w:r>
      <w:r>
        <w:rPr>
          <w:rFonts w:cstheme="minorBidi"/>
          <w:color w:val="000000"/>
          <w:lang w:val="en-US"/>
        </w:rPr>
        <w:t xml:space="preserve">have </w:t>
      </w:r>
      <w:r w:rsidRPr="00B013ED">
        <w:rPr>
          <w:rFonts w:cstheme="minorBidi"/>
          <w:color w:val="000000"/>
          <w:lang w:val="en-US"/>
        </w:rPr>
        <w:t>show</w:t>
      </w:r>
      <w:r>
        <w:rPr>
          <w:rFonts w:cstheme="minorBidi"/>
          <w:color w:val="000000"/>
          <w:lang w:val="en-US"/>
        </w:rPr>
        <w:t>n</w:t>
      </w:r>
      <w:r w:rsidRPr="00B013ED">
        <w:rPr>
          <w:rFonts w:cstheme="minorBidi"/>
          <w:color w:val="000000"/>
          <w:lang w:val="en-US"/>
        </w:rPr>
        <w:t xml:space="preserve"> that grey MTA might cause tooth </w:t>
      </w:r>
      <w:r>
        <w:rPr>
          <w:rFonts w:cstheme="minorBidi"/>
          <w:color w:val="000000"/>
          <w:lang w:val="en-US"/>
        </w:rPr>
        <w:t>discolouration</w:t>
      </w:r>
      <w:r w:rsidRPr="00B013ED">
        <w:rPr>
          <w:rFonts w:cstheme="minorBidi"/>
          <w:color w:val="000000"/>
          <w:lang w:val="en-US"/>
        </w:rPr>
        <w:t xml:space="preserve">. The main difference between white and grey MTA in chemical composition were absence of iron in white MTA (Asgary </w:t>
      </w:r>
      <w:r w:rsidRPr="00B013ED">
        <w:rPr>
          <w:rFonts w:cstheme="minorBidi"/>
          <w:i/>
          <w:iCs/>
          <w:color w:val="000000"/>
          <w:lang w:val="en-US"/>
        </w:rPr>
        <w:t>et al</w:t>
      </w:r>
      <w:r w:rsidRPr="00B013ED">
        <w:rPr>
          <w:rFonts w:cstheme="minorBidi"/>
          <w:color w:val="000000"/>
          <w:lang w:val="en-US"/>
        </w:rPr>
        <w:t>., 2006)</w:t>
      </w:r>
      <w:r>
        <w:rPr>
          <w:rFonts w:cstheme="minorBidi"/>
          <w:color w:val="000000"/>
          <w:lang w:val="en-US"/>
        </w:rPr>
        <w:t xml:space="preserve">. </w:t>
      </w:r>
      <w:r w:rsidRPr="00B013ED">
        <w:rPr>
          <w:rFonts w:cstheme="minorBidi"/>
          <w:color w:val="000000"/>
          <w:lang w:val="en-US"/>
        </w:rPr>
        <w:t xml:space="preserve"> </w:t>
      </w:r>
      <w:r>
        <w:rPr>
          <w:rFonts w:cstheme="minorBidi"/>
          <w:color w:val="000000"/>
          <w:lang w:val="en-US"/>
        </w:rPr>
        <w:t>O</w:t>
      </w:r>
      <w:r w:rsidRPr="00B013ED">
        <w:rPr>
          <w:rFonts w:cstheme="minorBidi"/>
          <w:color w:val="000000"/>
          <w:lang w:val="en-US"/>
        </w:rPr>
        <w:t>ther stated difference</w:t>
      </w:r>
      <w:r>
        <w:rPr>
          <w:rFonts w:cstheme="minorBidi"/>
          <w:color w:val="000000"/>
          <w:lang w:val="en-US"/>
        </w:rPr>
        <w:t>s</w:t>
      </w:r>
      <w:r w:rsidRPr="00B013ED">
        <w:rPr>
          <w:rFonts w:cstheme="minorBidi"/>
          <w:color w:val="000000"/>
          <w:lang w:val="en-US"/>
        </w:rPr>
        <w:t xml:space="preserve"> in</w:t>
      </w:r>
      <w:r>
        <w:rPr>
          <w:rFonts w:cstheme="minorBidi"/>
          <w:color w:val="000000"/>
          <w:lang w:val="en-US"/>
        </w:rPr>
        <w:t>clude</w:t>
      </w:r>
      <w:r w:rsidRPr="00B013ED">
        <w:rPr>
          <w:rFonts w:cstheme="minorBidi"/>
          <w:color w:val="000000"/>
          <w:lang w:val="en-US"/>
        </w:rPr>
        <w:t xml:space="preserve"> alumino</w:t>
      </w:r>
      <w:r>
        <w:rPr>
          <w:rFonts w:cstheme="minorBidi"/>
          <w:color w:val="000000"/>
          <w:lang w:val="en-US"/>
        </w:rPr>
        <w:t>-</w:t>
      </w:r>
      <w:r w:rsidRPr="00B013ED">
        <w:rPr>
          <w:rFonts w:cstheme="minorBidi"/>
          <w:color w:val="000000"/>
          <w:lang w:val="en-US"/>
        </w:rPr>
        <w:t xml:space="preserve">ferrite content which imparts </w:t>
      </w:r>
      <w:r>
        <w:rPr>
          <w:rFonts w:cstheme="minorBidi"/>
          <w:color w:val="000000"/>
          <w:lang w:val="en-US"/>
        </w:rPr>
        <w:t>the</w:t>
      </w:r>
      <w:r w:rsidRPr="00B013ED">
        <w:rPr>
          <w:rFonts w:cstheme="minorBidi"/>
          <w:color w:val="000000"/>
          <w:lang w:val="en-US"/>
        </w:rPr>
        <w:t xml:space="preserve"> grey colo</w:t>
      </w:r>
      <w:r>
        <w:rPr>
          <w:rFonts w:cstheme="minorBidi"/>
          <w:color w:val="000000"/>
          <w:lang w:val="en-US"/>
        </w:rPr>
        <w:t>u</w:t>
      </w:r>
      <w:r w:rsidRPr="00B013ED">
        <w:rPr>
          <w:rFonts w:cstheme="minorBidi"/>
          <w:color w:val="000000"/>
          <w:lang w:val="en-US"/>
        </w:rPr>
        <w:t xml:space="preserve">ration (Camilleri </w:t>
      </w:r>
      <w:r w:rsidRPr="00B013ED">
        <w:rPr>
          <w:rFonts w:cstheme="minorBidi"/>
          <w:i/>
          <w:iCs/>
          <w:color w:val="000000"/>
          <w:lang w:val="en-US"/>
        </w:rPr>
        <w:t>et al</w:t>
      </w:r>
      <w:r w:rsidRPr="00B013ED">
        <w:rPr>
          <w:rFonts w:cstheme="minorBidi"/>
          <w:color w:val="000000"/>
          <w:lang w:val="en-US"/>
        </w:rPr>
        <w:t>., 2005)</w:t>
      </w:r>
      <w:r>
        <w:rPr>
          <w:rFonts w:cstheme="minorBidi"/>
          <w:color w:val="000000"/>
          <w:lang w:val="en-US"/>
        </w:rPr>
        <w:t>.</w:t>
      </w:r>
      <w:r w:rsidRPr="00B013ED">
        <w:rPr>
          <w:rFonts w:cstheme="minorBidi"/>
          <w:color w:val="000000"/>
          <w:lang w:val="en-US"/>
        </w:rPr>
        <w:t xml:space="preserve"> Asgary </w:t>
      </w:r>
      <w:r w:rsidRPr="00B013ED">
        <w:rPr>
          <w:rFonts w:cstheme="minorBidi"/>
          <w:i/>
          <w:iCs/>
          <w:color w:val="000000"/>
          <w:lang w:val="en-US"/>
        </w:rPr>
        <w:t>et al</w:t>
      </w:r>
      <w:r w:rsidRPr="00B013ED">
        <w:rPr>
          <w:rFonts w:cstheme="minorBidi"/>
          <w:color w:val="000000"/>
          <w:lang w:val="en-US"/>
        </w:rPr>
        <w:t>., (2005)</w:t>
      </w:r>
      <w:r>
        <w:rPr>
          <w:rFonts w:cstheme="minorBidi"/>
          <w:color w:val="000000"/>
          <w:lang w:val="en-US"/>
        </w:rPr>
        <w:t xml:space="preserve"> r</w:t>
      </w:r>
      <w:r w:rsidRPr="00B013ED">
        <w:rPr>
          <w:rFonts w:cstheme="minorBidi"/>
          <w:color w:val="000000"/>
          <w:lang w:val="en-US"/>
        </w:rPr>
        <w:t xml:space="preserve">eported that white MTA contained significantly less amounts of oxides of iron, aluminium, and magnesium than grey MTA. </w:t>
      </w:r>
    </w:p>
    <w:p w:rsidR="00065FAA" w:rsidRPr="00B013ED" w:rsidRDefault="00065FAA" w:rsidP="00065FAA">
      <w:pPr>
        <w:spacing w:line="480" w:lineRule="auto"/>
        <w:jc w:val="both"/>
        <w:rPr>
          <w:rFonts w:cstheme="minorBidi"/>
          <w:color w:val="000000"/>
          <w:lang w:val="en-US"/>
        </w:rPr>
      </w:pPr>
      <w:r w:rsidRPr="00B013ED">
        <w:rPr>
          <w:rFonts w:cstheme="minorBidi"/>
          <w:color w:val="000000"/>
          <w:lang w:val="en-US"/>
        </w:rPr>
        <w:lastRenderedPageBreak/>
        <w:t xml:space="preserve">The major components </w:t>
      </w:r>
      <w:r>
        <w:rPr>
          <w:rFonts w:cstheme="minorBidi"/>
          <w:color w:val="000000"/>
          <w:lang w:val="en-US"/>
        </w:rPr>
        <w:t>of</w:t>
      </w:r>
      <w:r w:rsidRPr="00B013ED">
        <w:rPr>
          <w:rFonts w:cstheme="minorBidi"/>
          <w:color w:val="000000"/>
          <w:lang w:val="en-US"/>
        </w:rPr>
        <w:t xml:space="preserve"> white MTA are tricalcium silicate, tricalcium aluminum, calcium phosphate and bismuth oxide added to make the material radio</w:t>
      </w:r>
      <w:r>
        <w:rPr>
          <w:rFonts w:cstheme="minorBidi"/>
          <w:color w:val="000000"/>
          <w:lang w:val="en-US"/>
        </w:rPr>
        <w:t>-o</w:t>
      </w:r>
      <w:r w:rsidRPr="00B013ED">
        <w:rPr>
          <w:rFonts w:cstheme="minorBidi"/>
          <w:color w:val="000000"/>
          <w:lang w:val="en-US"/>
        </w:rPr>
        <w:t>p</w:t>
      </w:r>
      <w:r>
        <w:rPr>
          <w:rFonts w:cstheme="minorBidi"/>
          <w:color w:val="000000"/>
          <w:lang w:val="en-US"/>
        </w:rPr>
        <w:t>a</w:t>
      </w:r>
      <w:r w:rsidRPr="00B013ED">
        <w:rPr>
          <w:rFonts w:cstheme="minorBidi"/>
          <w:color w:val="000000"/>
          <w:lang w:val="en-US"/>
        </w:rPr>
        <w:t xml:space="preserve">que for dental use (Roberts </w:t>
      </w:r>
      <w:r w:rsidRPr="00B013ED">
        <w:rPr>
          <w:rFonts w:cstheme="minorBidi"/>
          <w:i/>
          <w:iCs/>
          <w:color w:val="000000"/>
          <w:lang w:val="en-US"/>
        </w:rPr>
        <w:t>et al.,</w:t>
      </w:r>
      <w:r w:rsidRPr="00B013ED">
        <w:rPr>
          <w:rFonts w:cstheme="minorBidi"/>
          <w:color w:val="000000"/>
          <w:lang w:val="en-US"/>
        </w:rPr>
        <w:t xml:space="preserve"> 2008).</w:t>
      </w:r>
    </w:p>
    <w:p w:rsidR="00065FAA" w:rsidRPr="00B013ED" w:rsidRDefault="00065FAA" w:rsidP="00065FAA">
      <w:pPr>
        <w:spacing w:line="480" w:lineRule="auto"/>
        <w:jc w:val="both"/>
        <w:rPr>
          <w:rFonts w:cstheme="minorBidi"/>
          <w:color w:val="000000"/>
          <w:lang w:val="en-US"/>
        </w:rPr>
      </w:pPr>
      <w:r w:rsidRPr="00B013ED">
        <w:rPr>
          <w:rFonts w:cstheme="minorBidi"/>
          <w:color w:val="000000"/>
          <w:lang w:val="en-US"/>
        </w:rPr>
        <w:t xml:space="preserve">White MTA is primarily composed of tricalcium silicate and bismuth oxide (Camilleri </w:t>
      </w:r>
      <w:r w:rsidRPr="00B013ED">
        <w:rPr>
          <w:rFonts w:cstheme="minorBidi"/>
          <w:i/>
          <w:iCs/>
          <w:color w:val="000000"/>
          <w:lang w:val="en-US"/>
        </w:rPr>
        <w:t>et al.,</w:t>
      </w:r>
      <w:r w:rsidRPr="00B013ED">
        <w:rPr>
          <w:rFonts w:cstheme="minorBidi"/>
          <w:color w:val="000000"/>
          <w:lang w:val="en-US"/>
        </w:rPr>
        <w:t xml:space="preserve"> 2005). </w:t>
      </w:r>
      <w:r>
        <w:rPr>
          <w:rFonts w:cstheme="minorBidi"/>
          <w:color w:val="000000"/>
          <w:lang w:val="en-US"/>
        </w:rPr>
        <w:t>As</w:t>
      </w:r>
      <w:r w:rsidRPr="00B013ED">
        <w:rPr>
          <w:rFonts w:cstheme="minorBidi"/>
          <w:color w:val="000000"/>
          <w:lang w:val="en-US"/>
        </w:rPr>
        <w:t xml:space="preserve"> bismuth oxide dissolves in an acidic environment, it has been suggested that placing MTA in an acidic environment such as inflammatory tissues might result in the release of bismuth oxide (Camilleri, 2007). This might decrease MTA’s biocompatibility because bismuth oxide does not encourage cell proliferation in cell culture (Camilleri </w:t>
      </w:r>
      <w:r w:rsidRPr="00B013ED">
        <w:rPr>
          <w:rFonts w:cstheme="minorBidi"/>
          <w:i/>
          <w:iCs/>
          <w:color w:val="000000"/>
          <w:lang w:val="en-US"/>
        </w:rPr>
        <w:t>et al.,</w:t>
      </w:r>
      <w:r w:rsidRPr="00B013ED">
        <w:rPr>
          <w:rFonts w:cstheme="minorBidi"/>
          <w:color w:val="000000"/>
          <w:lang w:val="en-US"/>
        </w:rPr>
        <w:t xml:space="preserve"> 2004).</w:t>
      </w:r>
    </w:p>
    <w:p w:rsidR="00065FAA" w:rsidRPr="00B013ED" w:rsidRDefault="00065FAA" w:rsidP="00065FAA">
      <w:pPr>
        <w:pStyle w:val="Heading4"/>
        <w:spacing w:line="480" w:lineRule="auto"/>
      </w:pPr>
      <w:bookmarkStart w:id="176" w:name="_Toc359995800"/>
      <w:r w:rsidRPr="00B013ED">
        <w:t>Setting and hardening:</w:t>
      </w:r>
      <w:bookmarkEnd w:id="176"/>
      <w:r w:rsidRPr="00B013ED">
        <w:t xml:space="preserve"> </w:t>
      </w:r>
    </w:p>
    <w:p w:rsidR="00065FAA" w:rsidRPr="00D52319" w:rsidRDefault="00065FAA" w:rsidP="00D52319">
      <w:pPr>
        <w:spacing w:line="480" w:lineRule="auto"/>
        <w:jc w:val="both"/>
        <w:rPr>
          <w:rFonts w:cstheme="minorBidi"/>
          <w:color w:val="000000"/>
          <w:szCs w:val="24"/>
          <w:lang w:val="en-US"/>
        </w:rPr>
      </w:pPr>
      <w:r w:rsidRPr="00D52319">
        <w:rPr>
          <w:rFonts w:cstheme="minorBidi"/>
          <w:color w:val="000000"/>
          <w:szCs w:val="24"/>
          <w:lang w:val="en-US"/>
        </w:rPr>
        <w:t xml:space="preserve">MTA is prepared by mixing its powder with sterile water in a 3:1 powder-to-liquid ratio (Torabinejad </w:t>
      </w:r>
      <w:r w:rsidRPr="00D52319">
        <w:rPr>
          <w:rFonts w:cstheme="minorBidi"/>
          <w:i/>
          <w:iCs/>
          <w:color w:val="000000"/>
          <w:szCs w:val="24"/>
          <w:lang w:val="en-US"/>
        </w:rPr>
        <w:t>et al.,</w:t>
      </w:r>
      <w:r w:rsidRPr="00D52319">
        <w:rPr>
          <w:rFonts w:cstheme="minorBidi"/>
          <w:color w:val="000000"/>
          <w:szCs w:val="24"/>
          <w:lang w:val="en-US"/>
        </w:rPr>
        <w:t xml:space="preserve"> 1993). Reynaud </w:t>
      </w:r>
      <w:r w:rsidRPr="00D52319">
        <w:rPr>
          <w:rFonts w:cstheme="minorBidi"/>
          <w:i/>
          <w:iCs/>
          <w:color w:val="000000"/>
          <w:szCs w:val="24"/>
          <w:lang w:val="en-US"/>
        </w:rPr>
        <w:t>et al</w:t>
      </w:r>
      <w:r w:rsidRPr="00D52319">
        <w:rPr>
          <w:rFonts w:cstheme="minorBidi"/>
          <w:color w:val="000000"/>
          <w:szCs w:val="24"/>
          <w:lang w:val="en-US"/>
        </w:rPr>
        <w:t xml:space="preserve">., (2007) stated that the mean setting time of MTA was two hours and forty-five minutes, which is longer than amalgam, Super EBA, and intermediate restorative material (IRM) (Torabinejad </w:t>
      </w:r>
      <w:r w:rsidRPr="00D52319">
        <w:rPr>
          <w:rFonts w:cstheme="minorBidi"/>
          <w:i/>
          <w:iCs/>
          <w:color w:val="000000"/>
          <w:szCs w:val="24"/>
          <w:lang w:val="en-US"/>
        </w:rPr>
        <w:t>et al.,</w:t>
      </w:r>
      <w:r w:rsidRPr="00D52319">
        <w:rPr>
          <w:rFonts w:cstheme="minorBidi"/>
          <w:color w:val="000000"/>
          <w:szCs w:val="24"/>
          <w:lang w:val="en-US"/>
        </w:rPr>
        <w:t xml:space="preserve"> 1995). GMTA exhibits significantly higher initial and final setting times than WMTA (Islam </w:t>
      </w:r>
      <w:r w:rsidRPr="00D52319">
        <w:rPr>
          <w:rFonts w:cstheme="minorBidi"/>
          <w:i/>
          <w:iCs/>
          <w:color w:val="000000"/>
          <w:szCs w:val="24"/>
          <w:lang w:val="en-US"/>
        </w:rPr>
        <w:t>et al.,</w:t>
      </w:r>
      <w:r w:rsidRPr="00D52319">
        <w:rPr>
          <w:rFonts w:cstheme="minorBidi"/>
          <w:color w:val="000000"/>
          <w:szCs w:val="24"/>
          <w:lang w:val="en-US"/>
        </w:rPr>
        <w:t xml:space="preserve"> 2006). The longer setting time of WMTA in comparison with </w:t>
      </w:r>
      <w:proofErr w:type="gramStart"/>
      <w:r w:rsidR="00D52319">
        <w:rPr>
          <w:rFonts w:cstheme="minorBidi"/>
          <w:szCs w:val="24"/>
        </w:rPr>
        <w:t>portland</w:t>
      </w:r>
      <w:proofErr w:type="gramEnd"/>
      <w:r w:rsidR="00D52319" w:rsidRPr="00D52319">
        <w:rPr>
          <w:rFonts w:cstheme="minorBidi"/>
          <w:szCs w:val="24"/>
        </w:rPr>
        <w:t xml:space="preserve"> cement </w:t>
      </w:r>
      <w:r w:rsidR="00D52319">
        <w:rPr>
          <w:rFonts w:cstheme="minorBidi"/>
          <w:szCs w:val="24"/>
        </w:rPr>
        <w:t>(</w:t>
      </w:r>
      <w:r w:rsidR="00D52319" w:rsidRPr="00D52319">
        <w:rPr>
          <w:rFonts w:cstheme="minorBidi"/>
          <w:szCs w:val="24"/>
          <w:lang w:val="en-US"/>
        </w:rPr>
        <w:t>PC</w:t>
      </w:r>
      <w:r w:rsidR="00D52319">
        <w:rPr>
          <w:rFonts w:cstheme="minorBidi"/>
          <w:szCs w:val="24"/>
        </w:rPr>
        <w:t xml:space="preserve">) </w:t>
      </w:r>
      <w:r w:rsidR="00D52319" w:rsidRPr="00D52319">
        <w:rPr>
          <w:rFonts w:cstheme="minorBidi"/>
          <w:szCs w:val="24"/>
        </w:rPr>
        <w:t>and</w:t>
      </w:r>
      <w:r w:rsidRPr="00D52319">
        <w:rPr>
          <w:rFonts w:cstheme="minorBidi"/>
          <w:color w:val="000000"/>
          <w:szCs w:val="24"/>
          <w:lang w:val="en-US"/>
        </w:rPr>
        <w:t xml:space="preserve"> is attributed to the lower levels of sulphur and tricalcium aluminate in WMTA (Dammaschke </w:t>
      </w:r>
      <w:r w:rsidRPr="00D52319">
        <w:rPr>
          <w:rFonts w:cstheme="minorBidi"/>
          <w:i/>
          <w:iCs/>
          <w:color w:val="000000"/>
          <w:szCs w:val="24"/>
          <w:lang w:val="en-US"/>
        </w:rPr>
        <w:t>et al</w:t>
      </w:r>
      <w:r w:rsidRPr="00D52319">
        <w:rPr>
          <w:rFonts w:cstheme="minorBidi"/>
          <w:color w:val="000000"/>
          <w:szCs w:val="24"/>
          <w:lang w:val="en-US"/>
        </w:rPr>
        <w:t>., 2005).</w:t>
      </w:r>
    </w:p>
    <w:p w:rsidR="00065FAA" w:rsidRPr="00B013ED" w:rsidRDefault="00065FAA" w:rsidP="00065FAA">
      <w:pPr>
        <w:spacing w:line="480" w:lineRule="auto"/>
        <w:jc w:val="both"/>
        <w:rPr>
          <w:rFonts w:cstheme="minorBidi"/>
          <w:color w:val="000000"/>
          <w:lang w:val="en-US"/>
        </w:rPr>
      </w:pPr>
      <w:r w:rsidRPr="00B013ED">
        <w:rPr>
          <w:rFonts w:cstheme="minorBidi"/>
          <w:color w:val="000000"/>
          <w:lang w:val="en-US"/>
        </w:rPr>
        <w:t xml:space="preserve">MTA is prepared by mixing three parts powder with one part aqueous solution, by weight, to obtain a putty consistency. Because of its hydrophilic nature, </w:t>
      </w:r>
      <w:r>
        <w:rPr>
          <w:rFonts w:cstheme="minorBidi"/>
          <w:color w:val="000000"/>
          <w:lang w:val="en-US"/>
        </w:rPr>
        <w:t xml:space="preserve">the </w:t>
      </w:r>
      <w:r w:rsidRPr="00B013ED">
        <w:rPr>
          <w:rFonts w:cstheme="minorBidi"/>
          <w:color w:val="000000"/>
          <w:lang w:val="en-US"/>
        </w:rPr>
        <w:t xml:space="preserve">presence of moisture in the surrounding tissue acts as an activator of a chemical reaction in this material. This is considered to be a major advantage of MTA and does not pose a problem with its use in moist environments (Lee </w:t>
      </w:r>
      <w:r w:rsidRPr="00B013ED">
        <w:rPr>
          <w:rFonts w:cstheme="minorBidi"/>
          <w:i/>
          <w:iCs/>
          <w:color w:val="000000"/>
          <w:lang w:val="en-US"/>
        </w:rPr>
        <w:t>et al.,</w:t>
      </w:r>
      <w:r w:rsidRPr="00B013ED">
        <w:rPr>
          <w:rFonts w:cstheme="minorBidi"/>
          <w:color w:val="000000"/>
          <w:lang w:val="en-US"/>
        </w:rPr>
        <w:t xml:space="preserve"> 1993; </w:t>
      </w:r>
      <w:r w:rsidRPr="00B013ED">
        <w:rPr>
          <w:rFonts w:cstheme="minorBidi"/>
          <w:color w:val="000000"/>
          <w:lang w:val="en-US"/>
        </w:rPr>
        <w:lastRenderedPageBreak/>
        <w:t xml:space="preserve">Sluyk </w:t>
      </w:r>
      <w:r w:rsidRPr="00B013ED">
        <w:rPr>
          <w:rFonts w:cstheme="minorBidi"/>
          <w:i/>
          <w:iCs/>
          <w:color w:val="000000"/>
          <w:lang w:val="en-US"/>
        </w:rPr>
        <w:t>et al.,</w:t>
      </w:r>
      <w:r w:rsidRPr="00B013ED">
        <w:rPr>
          <w:rFonts w:cstheme="minorBidi"/>
          <w:color w:val="000000"/>
          <w:lang w:val="en-US"/>
        </w:rPr>
        <w:t xml:space="preserve"> 1998). An in vitro study of the setting properties  of MTA showed that although the material originally sets in less than 3 hours (Torabinejad </w:t>
      </w:r>
      <w:r w:rsidRPr="00B013ED">
        <w:rPr>
          <w:rFonts w:cstheme="minorBidi"/>
          <w:i/>
          <w:iCs/>
          <w:color w:val="000000"/>
          <w:lang w:val="en-US"/>
        </w:rPr>
        <w:t>et al.,</w:t>
      </w:r>
      <w:r w:rsidRPr="00B013ED">
        <w:rPr>
          <w:rFonts w:cstheme="minorBidi"/>
          <w:color w:val="000000"/>
          <w:lang w:val="en-US"/>
        </w:rPr>
        <w:t>1995a), the chemical reaction continued beyond the initial 24 hour setting period. This fact was considered to be the reason for the increased resistance in displacement from the dentinal walls with time. The same authors recommend</w:t>
      </w:r>
      <w:r>
        <w:rPr>
          <w:rFonts w:cstheme="minorBidi"/>
          <w:color w:val="000000"/>
          <w:lang w:val="en-US"/>
        </w:rPr>
        <w:t>ed</w:t>
      </w:r>
      <w:r w:rsidRPr="00B013ED">
        <w:rPr>
          <w:rFonts w:cstheme="minorBidi"/>
          <w:color w:val="000000"/>
          <w:lang w:val="en-US"/>
        </w:rPr>
        <w:t xml:space="preserve"> the placement of a moist cotton pellet over the MTA for 72 hours to encourage setting (Sluyk </w:t>
      </w:r>
      <w:r w:rsidRPr="00B013ED">
        <w:rPr>
          <w:rFonts w:cstheme="minorBidi"/>
          <w:i/>
          <w:iCs/>
          <w:color w:val="000000"/>
          <w:lang w:val="en-US"/>
        </w:rPr>
        <w:t>et al</w:t>
      </w:r>
      <w:r w:rsidRPr="00B013ED">
        <w:rPr>
          <w:rFonts w:cstheme="minorBidi"/>
          <w:color w:val="000000"/>
          <w:lang w:val="en-US"/>
        </w:rPr>
        <w:t xml:space="preserve">., 1998). </w:t>
      </w:r>
    </w:p>
    <w:p w:rsidR="00065FAA" w:rsidRPr="00B013ED" w:rsidRDefault="00065FAA" w:rsidP="00065FAA">
      <w:pPr>
        <w:spacing w:line="480" w:lineRule="auto"/>
        <w:jc w:val="both"/>
        <w:rPr>
          <w:rFonts w:cstheme="minorBidi"/>
          <w:color w:val="000000"/>
          <w:lang w:val="en-US"/>
        </w:rPr>
      </w:pPr>
      <w:r w:rsidRPr="00B013ED">
        <w:rPr>
          <w:rFonts w:cstheme="minorBidi"/>
          <w:color w:val="000000"/>
          <w:lang w:val="en-US"/>
        </w:rPr>
        <w:t xml:space="preserve">Although the increased setting time of MTA in comparison with other restorative materials can delay </w:t>
      </w:r>
      <w:r w:rsidR="001F0A2D">
        <w:rPr>
          <w:rFonts w:cstheme="minorBidi"/>
          <w:color w:val="000000"/>
          <w:lang w:val="en-US"/>
        </w:rPr>
        <w:t>p</w:t>
      </w:r>
      <w:r w:rsidR="001F0A2D" w:rsidRPr="00B013ED">
        <w:rPr>
          <w:rFonts w:cstheme="minorBidi"/>
          <w:color w:val="000000"/>
          <w:lang w:val="en-US"/>
        </w:rPr>
        <w:t>ermanent treatment</w:t>
      </w:r>
      <w:r w:rsidRPr="00B013ED">
        <w:rPr>
          <w:rFonts w:cstheme="minorBidi"/>
          <w:color w:val="000000"/>
          <w:lang w:val="en-US"/>
        </w:rPr>
        <w:t xml:space="preserve">, it is generally acknowledged that the quicker a material sets the more it shrinks (Torabinejad </w:t>
      </w:r>
      <w:r w:rsidRPr="00B013ED">
        <w:rPr>
          <w:rFonts w:cstheme="minorBidi"/>
          <w:i/>
          <w:iCs/>
          <w:color w:val="000000"/>
          <w:lang w:val="en-US"/>
        </w:rPr>
        <w:t>et al.</w:t>
      </w:r>
      <w:r w:rsidR="001F0A2D" w:rsidRPr="00B013ED">
        <w:rPr>
          <w:rFonts w:cstheme="minorBidi"/>
          <w:i/>
          <w:iCs/>
          <w:color w:val="000000"/>
          <w:lang w:val="en-US"/>
        </w:rPr>
        <w:t>,</w:t>
      </w:r>
      <w:r w:rsidR="001F0A2D" w:rsidRPr="00B013ED">
        <w:rPr>
          <w:rFonts w:cstheme="minorBidi"/>
          <w:color w:val="000000"/>
          <w:lang w:val="en-US"/>
        </w:rPr>
        <w:t xml:space="preserve"> 1995a</w:t>
      </w:r>
      <w:r w:rsidRPr="00B013ED">
        <w:rPr>
          <w:rFonts w:cstheme="minorBidi"/>
          <w:color w:val="000000"/>
          <w:lang w:val="en-US"/>
        </w:rPr>
        <w:t>)</w:t>
      </w:r>
      <w:r>
        <w:rPr>
          <w:rFonts w:cstheme="minorBidi"/>
          <w:color w:val="000000"/>
          <w:lang w:val="en-US"/>
        </w:rPr>
        <w:t xml:space="preserve">. </w:t>
      </w:r>
      <w:r w:rsidRPr="00B013ED">
        <w:rPr>
          <w:rFonts w:cstheme="minorBidi"/>
          <w:color w:val="000000"/>
          <w:lang w:val="en-US"/>
        </w:rPr>
        <w:t xml:space="preserve">Therefore, it is considered that increased setting time of MTA plays a role in dimensional stability of the material, which can be seen in studies demonstrating significantly less dye and bacterial leakage than other materials tested for root-end filling (Torabinejad </w:t>
      </w:r>
      <w:r w:rsidRPr="00B013ED">
        <w:rPr>
          <w:rFonts w:cstheme="minorBidi"/>
          <w:i/>
          <w:iCs/>
          <w:color w:val="000000"/>
          <w:lang w:val="en-US"/>
        </w:rPr>
        <w:t>et al.</w:t>
      </w:r>
      <w:r w:rsidR="00494433" w:rsidRPr="00B013ED">
        <w:rPr>
          <w:rFonts w:cstheme="minorBidi"/>
          <w:i/>
          <w:iCs/>
          <w:color w:val="000000"/>
          <w:lang w:val="en-US"/>
        </w:rPr>
        <w:t>,</w:t>
      </w:r>
      <w:r w:rsidR="00494433">
        <w:rPr>
          <w:rFonts w:cstheme="minorBidi"/>
          <w:color w:val="000000"/>
          <w:lang w:val="en-US"/>
        </w:rPr>
        <w:t xml:space="preserve"> 1993; </w:t>
      </w:r>
      <w:r w:rsidRPr="00B013ED">
        <w:rPr>
          <w:rFonts w:cstheme="minorBidi"/>
          <w:color w:val="000000"/>
          <w:lang w:val="en-US"/>
        </w:rPr>
        <w:t xml:space="preserve">Torabinejad </w:t>
      </w:r>
      <w:r w:rsidRPr="00B013ED">
        <w:rPr>
          <w:rFonts w:cstheme="minorBidi"/>
          <w:i/>
          <w:iCs/>
          <w:color w:val="000000"/>
          <w:lang w:val="en-US"/>
        </w:rPr>
        <w:t>et al.</w:t>
      </w:r>
      <w:r w:rsidR="00494433" w:rsidRPr="00B013ED">
        <w:rPr>
          <w:rFonts w:cstheme="minorBidi"/>
          <w:i/>
          <w:iCs/>
          <w:color w:val="000000"/>
          <w:lang w:val="en-US"/>
        </w:rPr>
        <w:t>,</w:t>
      </w:r>
      <w:r w:rsidR="00494433">
        <w:rPr>
          <w:rFonts w:cstheme="minorBidi"/>
          <w:color w:val="000000"/>
          <w:lang w:val="en-US"/>
        </w:rPr>
        <w:t xml:space="preserve"> 1994; </w:t>
      </w:r>
      <w:r w:rsidRPr="00B013ED">
        <w:rPr>
          <w:rFonts w:cstheme="minorBidi"/>
          <w:color w:val="000000"/>
          <w:lang w:val="en-US"/>
        </w:rPr>
        <w:t xml:space="preserve">Torabinejad </w:t>
      </w:r>
      <w:r w:rsidRPr="00B013ED">
        <w:rPr>
          <w:rFonts w:cstheme="minorBidi"/>
          <w:i/>
          <w:iCs/>
          <w:color w:val="000000"/>
          <w:lang w:val="en-US"/>
        </w:rPr>
        <w:t>et al</w:t>
      </w:r>
      <w:r w:rsidRPr="00B013ED">
        <w:rPr>
          <w:rFonts w:cstheme="minorBidi"/>
          <w:color w:val="000000"/>
          <w:lang w:val="en-US"/>
        </w:rPr>
        <w:t>.</w:t>
      </w:r>
      <w:r w:rsidR="00494433" w:rsidRPr="00B013ED">
        <w:rPr>
          <w:rFonts w:cstheme="minorBidi"/>
          <w:color w:val="000000"/>
          <w:lang w:val="en-US"/>
        </w:rPr>
        <w:t>, 1995a</w:t>
      </w:r>
      <w:r w:rsidRPr="00B013ED">
        <w:rPr>
          <w:rFonts w:cstheme="minorBidi"/>
          <w:color w:val="000000"/>
          <w:lang w:val="en-US"/>
        </w:rPr>
        <w:t>).</w:t>
      </w:r>
    </w:p>
    <w:p w:rsidR="00065FAA" w:rsidRPr="00B013ED" w:rsidRDefault="00065FAA" w:rsidP="00065FAA">
      <w:pPr>
        <w:spacing w:line="480" w:lineRule="auto"/>
        <w:jc w:val="both"/>
        <w:rPr>
          <w:rFonts w:cstheme="minorBidi"/>
          <w:color w:val="000000"/>
          <w:lang w:val="en-US"/>
        </w:rPr>
      </w:pPr>
      <w:r w:rsidRPr="00B013ED">
        <w:rPr>
          <w:rFonts w:cstheme="minorBidi"/>
          <w:color w:val="000000"/>
          <w:lang w:val="en-US"/>
        </w:rPr>
        <w:t xml:space="preserve">We understand that the reason for the extended setting time of MTA is presence of gypsum (Camilleri </w:t>
      </w:r>
      <w:r w:rsidRPr="00B013ED">
        <w:rPr>
          <w:rFonts w:cstheme="minorBidi"/>
          <w:i/>
          <w:iCs/>
          <w:color w:val="000000"/>
          <w:lang w:val="en-US"/>
        </w:rPr>
        <w:t>et al.,</w:t>
      </w:r>
      <w:r w:rsidRPr="00B013ED">
        <w:rPr>
          <w:rFonts w:cstheme="minorBidi"/>
          <w:color w:val="000000"/>
          <w:lang w:val="en-US"/>
        </w:rPr>
        <w:t xml:space="preserve"> 2005). Torabinejad </w:t>
      </w:r>
      <w:r w:rsidRPr="00B013ED">
        <w:rPr>
          <w:rFonts w:cstheme="minorBidi"/>
          <w:i/>
          <w:iCs/>
          <w:color w:val="000000"/>
          <w:lang w:val="en-US"/>
        </w:rPr>
        <w:t>et al</w:t>
      </w:r>
      <w:r w:rsidRPr="00B013ED">
        <w:rPr>
          <w:rFonts w:cstheme="minorBidi"/>
          <w:color w:val="000000"/>
          <w:lang w:val="en-US"/>
        </w:rPr>
        <w:t xml:space="preserve">., (1995a) compared three commonly used root-ends filling materials to MTA. </w:t>
      </w:r>
      <w:r>
        <w:rPr>
          <w:rFonts w:cstheme="minorBidi"/>
          <w:color w:val="000000"/>
          <w:lang w:val="en-US"/>
        </w:rPr>
        <w:t>A</w:t>
      </w:r>
      <w:r w:rsidRPr="00B013ED">
        <w:rPr>
          <w:rFonts w:cstheme="minorBidi"/>
          <w:color w:val="000000"/>
          <w:lang w:val="en-US"/>
        </w:rPr>
        <w:t xml:space="preserve">malgam, Super-EBA and IRM were examined </w:t>
      </w:r>
      <w:r>
        <w:rPr>
          <w:rFonts w:cstheme="minorBidi"/>
          <w:color w:val="000000"/>
          <w:lang w:val="en-US"/>
        </w:rPr>
        <w:t>for</w:t>
      </w:r>
      <w:r w:rsidRPr="00B013ED">
        <w:rPr>
          <w:rFonts w:cstheme="minorBidi"/>
          <w:color w:val="000000"/>
          <w:lang w:val="en-US"/>
        </w:rPr>
        <w:t xml:space="preserve">setting time, compressive strength and solubility compare to MTA. This study showed that the main molecules present in MTA were calcium and phosphorous ions. Amalgam had the shortest setting time (4 min) and MTA the longest (2 h 45 min). </w:t>
      </w:r>
      <w:r>
        <w:rPr>
          <w:rFonts w:cstheme="minorBidi"/>
          <w:color w:val="000000"/>
          <w:lang w:val="en-US"/>
        </w:rPr>
        <w:t xml:space="preserve">It has also been stated </w:t>
      </w:r>
      <w:r w:rsidRPr="00B013ED">
        <w:rPr>
          <w:rFonts w:cstheme="minorBidi"/>
          <w:color w:val="000000"/>
          <w:lang w:val="en-US"/>
        </w:rPr>
        <w:t xml:space="preserve">that the setting times </w:t>
      </w:r>
      <w:r>
        <w:rPr>
          <w:rFonts w:cstheme="minorBidi"/>
          <w:color w:val="000000"/>
          <w:lang w:val="en-US"/>
        </w:rPr>
        <w:t>are</w:t>
      </w:r>
      <w:r w:rsidR="00494433">
        <w:rPr>
          <w:rFonts w:cstheme="minorBidi"/>
          <w:color w:val="000000"/>
          <w:lang w:val="en-US"/>
        </w:rPr>
        <w:t xml:space="preserve"> </w:t>
      </w:r>
      <w:r w:rsidRPr="00B013ED">
        <w:rPr>
          <w:rFonts w:cstheme="minorBidi"/>
          <w:color w:val="000000"/>
          <w:lang w:val="en-US"/>
        </w:rPr>
        <w:t xml:space="preserve">2 h and 55 min for grey MTA and 2 h and 20 min for white MTA (Islam </w:t>
      </w:r>
      <w:r w:rsidRPr="00B013ED">
        <w:rPr>
          <w:rFonts w:cstheme="minorBidi"/>
          <w:i/>
          <w:iCs/>
          <w:color w:val="000000"/>
          <w:lang w:val="en-US"/>
        </w:rPr>
        <w:t>et al.,</w:t>
      </w:r>
      <w:r w:rsidRPr="00B013ED">
        <w:rPr>
          <w:rFonts w:cstheme="minorBidi"/>
          <w:color w:val="000000"/>
          <w:lang w:val="en-US"/>
        </w:rPr>
        <w:t xml:space="preserve"> 2006).</w:t>
      </w:r>
    </w:p>
    <w:p w:rsidR="00065FAA" w:rsidRPr="00B013ED" w:rsidRDefault="00065FAA" w:rsidP="00065FAA">
      <w:pPr>
        <w:pStyle w:val="Heading4"/>
        <w:spacing w:line="480" w:lineRule="auto"/>
      </w:pPr>
      <w:bookmarkStart w:id="177" w:name="_Toc359995801"/>
      <w:r w:rsidRPr="00B013ED">
        <w:lastRenderedPageBreak/>
        <w:t>Compressive strength</w:t>
      </w:r>
      <w:bookmarkEnd w:id="177"/>
    </w:p>
    <w:p w:rsidR="00065FAA" w:rsidRPr="00B013ED" w:rsidRDefault="00065FAA" w:rsidP="00065FAA">
      <w:pPr>
        <w:spacing w:line="480" w:lineRule="auto"/>
        <w:jc w:val="both"/>
        <w:rPr>
          <w:rFonts w:cstheme="minorBidi"/>
          <w:color w:val="000000"/>
          <w:lang w:val="en-US"/>
        </w:rPr>
      </w:pPr>
      <w:r w:rsidRPr="00B013ED">
        <w:rPr>
          <w:rFonts w:cstheme="minorBidi"/>
          <w:color w:val="000000"/>
          <w:lang w:val="en-US"/>
        </w:rPr>
        <w:t xml:space="preserve">When considering the creation of an apical barrier against which a root filling will be condensed a significant amount of pressure is applied during the condensation of the root filling material. In the same above mentioned study by Torabinejad </w:t>
      </w:r>
      <w:r w:rsidRPr="00B013ED">
        <w:rPr>
          <w:rFonts w:cstheme="minorBidi"/>
          <w:i/>
          <w:iCs/>
          <w:color w:val="000000"/>
          <w:lang w:val="en-US"/>
        </w:rPr>
        <w:t>et al.,</w:t>
      </w:r>
      <w:r w:rsidRPr="00B013ED">
        <w:rPr>
          <w:rFonts w:cstheme="minorBidi"/>
          <w:color w:val="000000"/>
          <w:lang w:val="en-US"/>
        </w:rPr>
        <w:t xml:space="preserve"> (1995a) the compressive strength of amalgam was the highest among</w:t>
      </w:r>
      <w:r>
        <w:rPr>
          <w:rFonts w:cstheme="minorBidi"/>
          <w:color w:val="000000"/>
          <w:lang w:val="en-US"/>
        </w:rPr>
        <w:t>st the</w:t>
      </w:r>
      <w:r w:rsidRPr="00B013ED">
        <w:rPr>
          <w:rFonts w:cstheme="minorBidi"/>
          <w:color w:val="000000"/>
          <w:lang w:val="en-US"/>
        </w:rPr>
        <w:t xml:space="preserve"> three materials used after 21 days and MTA was lowest after 24 h. MTA show</w:t>
      </w:r>
      <w:r>
        <w:rPr>
          <w:rFonts w:cstheme="minorBidi"/>
          <w:color w:val="000000"/>
          <w:lang w:val="en-US"/>
        </w:rPr>
        <w:t>ed</w:t>
      </w:r>
      <w:r w:rsidRPr="00B013ED">
        <w:rPr>
          <w:rFonts w:cstheme="minorBidi"/>
          <w:color w:val="000000"/>
          <w:lang w:val="en-US"/>
        </w:rPr>
        <w:t xml:space="preserve"> an increase in compressive strength over the period of time. </w:t>
      </w:r>
    </w:p>
    <w:p w:rsidR="00065FAA" w:rsidRPr="00B013ED" w:rsidRDefault="00065FAA" w:rsidP="00F82256">
      <w:pPr>
        <w:spacing w:line="480" w:lineRule="auto"/>
        <w:jc w:val="both"/>
        <w:rPr>
          <w:rFonts w:cstheme="minorBidi"/>
          <w:color w:val="000000"/>
          <w:lang w:val="en-US"/>
        </w:rPr>
      </w:pPr>
      <w:r w:rsidRPr="00B013ED">
        <w:rPr>
          <w:rFonts w:cstheme="minorBidi"/>
          <w:color w:val="000000"/>
          <w:lang w:val="en-US"/>
        </w:rPr>
        <w:t>MTA is composed of tricalcium and dicalcium silicate with bismuth oxide. The compressive strength and push-out strength of MTA reach</w:t>
      </w:r>
      <w:r>
        <w:rPr>
          <w:rFonts w:cstheme="minorBidi"/>
          <w:color w:val="000000"/>
          <w:lang w:val="en-US"/>
        </w:rPr>
        <w:t>ed its</w:t>
      </w:r>
      <w:r w:rsidRPr="00B013ED">
        <w:rPr>
          <w:rFonts w:cstheme="minorBidi"/>
          <w:color w:val="000000"/>
          <w:lang w:val="en-US"/>
        </w:rPr>
        <w:t xml:space="preserve"> peak several days after mixing</w:t>
      </w:r>
      <w:r>
        <w:rPr>
          <w:rFonts w:cstheme="minorBidi"/>
          <w:color w:val="000000"/>
          <w:lang w:val="en-US"/>
        </w:rPr>
        <w:t>as the</w:t>
      </w:r>
      <w:r w:rsidRPr="00B013ED">
        <w:rPr>
          <w:rFonts w:cstheme="minorBidi"/>
          <w:color w:val="000000"/>
          <w:lang w:val="en-US"/>
        </w:rPr>
        <w:t xml:space="preserve"> dicalcium silicate hydration rate is slower than that of tricalcium silicate (Dammaschke </w:t>
      </w:r>
      <w:r w:rsidRPr="00B013ED">
        <w:rPr>
          <w:rFonts w:cstheme="minorBidi"/>
          <w:i/>
          <w:iCs/>
          <w:color w:val="000000"/>
          <w:lang w:val="en-US"/>
        </w:rPr>
        <w:t>et al.,</w:t>
      </w:r>
      <w:r w:rsidRPr="00B013ED">
        <w:rPr>
          <w:rFonts w:cstheme="minorBidi"/>
          <w:color w:val="000000"/>
          <w:lang w:val="en-US"/>
        </w:rPr>
        <w:t xml:space="preserve"> 200</w:t>
      </w:r>
      <w:r w:rsidR="00F82256">
        <w:rPr>
          <w:rFonts w:cstheme="minorBidi"/>
          <w:color w:val="000000"/>
          <w:lang w:val="en-US"/>
        </w:rPr>
        <w:t>5</w:t>
      </w:r>
      <w:r w:rsidRPr="00B013ED">
        <w:rPr>
          <w:rFonts w:cstheme="minorBidi"/>
          <w:color w:val="000000"/>
          <w:lang w:val="en-US"/>
        </w:rPr>
        <w:t>).</w:t>
      </w:r>
    </w:p>
    <w:p w:rsidR="00065FAA" w:rsidRPr="00B013ED" w:rsidRDefault="00065FAA" w:rsidP="00065FAA">
      <w:pPr>
        <w:spacing w:line="480" w:lineRule="auto"/>
        <w:jc w:val="both"/>
        <w:rPr>
          <w:rFonts w:cstheme="minorBidi"/>
          <w:color w:val="000000"/>
          <w:lang w:val="en-US"/>
        </w:rPr>
      </w:pPr>
      <w:r w:rsidRPr="00B013ED">
        <w:rPr>
          <w:rFonts w:cstheme="minorBidi"/>
          <w:color w:val="000000"/>
          <w:lang w:val="en-US"/>
        </w:rPr>
        <w:t xml:space="preserve">Islam </w:t>
      </w:r>
      <w:r w:rsidRPr="00B013ED">
        <w:rPr>
          <w:rFonts w:cstheme="minorBidi"/>
          <w:i/>
          <w:iCs/>
          <w:color w:val="000000"/>
          <w:lang w:val="en-US"/>
        </w:rPr>
        <w:t>et al.</w:t>
      </w:r>
      <w:proofErr w:type="gramStart"/>
      <w:r w:rsidRPr="00B013ED">
        <w:rPr>
          <w:rFonts w:cstheme="minorBidi"/>
          <w:i/>
          <w:iCs/>
          <w:color w:val="000000"/>
          <w:lang w:val="en-US"/>
        </w:rPr>
        <w:t>,</w:t>
      </w:r>
      <w:r w:rsidRPr="00B013ED">
        <w:rPr>
          <w:rFonts w:cstheme="minorBidi"/>
          <w:color w:val="000000"/>
          <w:lang w:val="en-US"/>
        </w:rPr>
        <w:t>(</w:t>
      </w:r>
      <w:proofErr w:type="gramEnd"/>
      <w:r w:rsidRPr="00B013ED">
        <w:rPr>
          <w:rFonts w:cstheme="minorBidi"/>
          <w:color w:val="000000"/>
          <w:lang w:val="en-US"/>
        </w:rPr>
        <w:t xml:space="preserve">2006) reported greater compressive strength for the grey form of ProRoot MTA in comparison to the white form at 3 days and 28 days in a similar in vitro study. Solubility is another factor in assessing the suitability of potential substances to be used as restorative materials in dentistry. If a material is to be used in direct contact with the periapical tissues where moisture may be present, lack of solubility is considered an ideal characteristic.  In the same study of Torabinejad </w:t>
      </w:r>
      <w:r w:rsidRPr="00B013ED">
        <w:rPr>
          <w:rFonts w:cstheme="minorBidi"/>
          <w:i/>
          <w:iCs/>
          <w:color w:val="000000"/>
          <w:lang w:val="en-US"/>
        </w:rPr>
        <w:t>et al.,</w:t>
      </w:r>
      <w:r w:rsidRPr="00B013ED">
        <w:rPr>
          <w:rFonts w:cstheme="minorBidi"/>
          <w:color w:val="000000"/>
          <w:lang w:val="en-US"/>
        </w:rPr>
        <w:t xml:space="preserve"> (1995a) MTA showed no signs of solubility in water as did amalgam and super-EBA.</w:t>
      </w:r>
    </w:p>
    <w:p w:rsidR="00065FAA" w:rsidRPr="00B013ED" w:rsidRDefault="00065FAA" w:rsidP="00065FAA">
      <w:pPr>
        <w:spacing w:line="480" w:lineRule="auto"/>
        <w:jc w:val="both"/>
        <w:rPr>
          <w:rFonts w:cstheme="minorBidi"/>
          <w:color w:val="000000"/>
          <w:lang w:val="en-US"/>
        </w:rPr>
      </w:pPr>
      <w:r w:rsidRPr="00B013ED">
        <w:rPr>
          <w:rFonts w:cstheme="minorBidi"/>
          <w:color w:val="000000"/>
          <w:lang w:val="en-US"/>
        </w:rPr>
        <w:t xml:space="preserve">Santos </w:t>
      </w:r>
      <w:r w:rsidRPr="00B013ED">
        <w:rPr>
          <w:rFonts w:cstheme="minorBidi"/>
          <w:i/>
          <w:iCs/>
          <w:color w:val="000000"/>
          <w:lang w:val="en-US"/>
        </w:rPr>
        <w:t>et al.</w:t>
      </w:r>
      <w:r w:rsidRPr="00B013ED">
        <w:rPr>
          <w:rFonts w:cstheme="minorBidi"/>
          <w:color w:val="000000"/>
          <w:lang w:val="en-US"/>
        </w:rPr>
        <w:t xml:space="preserve"> </w:t>
      </w:r>
      <w:r>
        <w:rPr>
          <w:rFonts w:cstheme="minorBidi"/>
          <w:color w:val="000000"/>
          <w:lang w:val="en-US"/>
        </w:rPr>
        <w:t>(</w:t>
      </w:r>
      <w:r w:rsidRPr="00B013ED">
        <w:rPr>
          <w:rFonts w:cstheme="minorBidi"/>
          <w:color w:val="000000"/>
          <w:lang w:val="en-US"/>
        </w:rPr>
        <w:t>2005) reported that calcium and hydroxyl ions may be released from MTA Angelus during storage in moist conditions for periods up to 360 h.</w:t>
      </w:r>
    </w:p>
    <w:p w:rsidR="00065FAA" w:rsidRPr="00B013ED" w:rsidRDefault="00065FAA" w:rsidP="00065FAA">
      <w:pPr>
        <w:pStyle w:val="Heading4"/>
        <w:spacing w:line="480" w:lineRule="auto"/>
      </w:pPr>
      <w:bookmarkStart w:id="178" w:name="_Toc359995802"/>
      <w:r w:rsidRPr="00B013ED">
        <w:lastRenderedPageBreak/>
        <w:t>Mineral trioxide aggregate (MTA) pH</w:t>
      </w:r>
      <w:bookmarkEnd w:id="178"/>
    </w:p>
    <w:p w:rsidR="00065FAA" w:rsidRPr="00B013ED" w:rsidRDefault="00065FAA" w:rsidP="00065FAA">
      <w:pPr>
        <w:spacing w:line="480" w:lineRule="auto"/>
        <w:jc w:val="both"/>
        <w:rPr>
          <w:rFonts w:cstheme="minorBidi"/>
          <w:b/>
          <w:bCs/>
        </w:rPr>
      </w:pPr>
      <w:r w:rsidRPr="00B013ED">
        <w:rPr>
          <w:rFonts w:cstheme="minorBidi"/>
          <w:color w:val="000000"/>
          <w:lang w:val="en-US"/>
        </w:rPr>
        <w:t xml:space="preserve">Torabinejad </w:t>
      </w:r>
      <w:r w:rsidRPr="00B013ED">
        <w:rPr>
          <w:rFonts w:cstheme="minorBidi"/>
          <w:i/>
          <w:iCs/>
          <w:color w:val="000000"/>
          <w:lang w:val="en-US"/>
        </w:rPr>
        <w:t>et al.</w:t>
      </w:r>
      <w:r w:rsidRPr="00B013ED">
        <w:rPr>
          <w:rFonts w:cstheme="minorBidi"/>
          <w:color w:val="000000"/>
          <w:lang w:val="en-US"/>
        </w:rPr>
        <w:t xml:space="preserve"> (1995) </w:t>
      </w:r>
      <w:r>
        <w:rPr>
          <w:rFonts w:cstheme="minorBidi"/>
          <w:color w:val="000000"/>
          <w:lang w:val="en-US"/>
        </w:rPr>
        <w:t>s</w:t>
      </w:r>
      <w:r w:rsidRPr="00B013ED">
        <w:rPr>
          <w:rFonts w:cstheme="minorBidi"/>
          <w:color w:val="000000"/>
          <w:lang w:val="en-US"/>
        </w:rPr>
        <w:t xml:space="preserve">tated that the pH value of mixing MTA is 10.2. This value rises to 12.5 at three hours. Other studies reported a significantly higher pH value 60 minutes after mixing (Chng </w:t>
      </w:r>
      <w:r w:rsidRPr="00B013ED">
        <w:rPr>
          <w:rFonts w:cstheme="minorBidi"/>
          <w:i/>
          <w:iCs/>
          <w:color w:val="000000"/>
          <w:lang w:val="en-US"/>
        </w:rPr>
        <w:t>et al.,</w:t>
      </w:r>
      <w:r w:rsidRPr="00B013ED">
        <w:rPr>
          <w:rFonts w:cstheme="minorBidi"/>
          <w:color w:val="000000"/>
          <w:lang w:val="en-US"/>
        </w:rPr>
        <w:t xml:space="preserve"> 2005</w:t>
      </w:r>
      <w:r>
        <w:rPr>
          <w:rFonts w:cstheme="minorBidi"/>
          <w:color w:val="000000"/>
          <w:lang w:val="en-US"/>
        </w:rPr>
        <w:t>;</w:t>
      </w:r>
      <w:r w:rsidRPr="00B013ED">
        <w:rPr>
          <w:rFonts w:cstheme="minorBidi"/>
          <w:color w:val="000000"/>
          <w:lang w:val="en-US"/>
        </w:rPr>
        <w:t xml:space="preserve"> Islam </w:t>
      </w:r>
      <w:r w:rsidRPr="00B013ED">
        <w:rPr>
          <w:rFonts w:cstheme="minorBidi"/>
          <w:i/>
          <w:iCs/>
          <w:color w:val="000000"/>
          <w:lang w:val="en-US"/>
        </w:rPr>
        <w:t>et al</w:t>
      </w:r>
      <w:r w:rsidRPr="00B013ED">
        <w:rPr>
          <w:rFonts w:cstheme="minorBidi"/>
          <w:color w:val="000000"/>
          <w:lang w:val="en-US"/>
        </w:rPr>
        <w:t>., 2006). MTA kept its high pH value throughout the course of a long-term study, due to constant release of calcium from MTA and the formation of calcium hydroxide (Fridland and Rosado, 2005). Comparing pH values at different periods of time, both White MTA and GMTA</w:t>
      </w:r>
      <w:r w:rsidR="00494433">
        <w:rPr>
          <w:rFonts w:cstheme="minorBidi"/>
          <w:color w:val="000000"/>
          <w:lang w:val="en-US"/>
        </w:rPr>
        <w:t xml:space="preserve"> </w:t>
      </w:r>
      <w:r>
        <w:rPr>
          <w:rFonts w:cstheme="minorBidi"/>
          <w:color w:val="000000"/>
          <w:lang w:val="en-US"/>
        </w:rPr>
        <w:t>t</w:t>
      </w:r>
      <w:r w:rsidRPr="00B013ED">
        <w:rPr>
          <w:rFonts w:cstheme="minorBidi"/>
          <w:color w:val="000000"/>
          <w:lang w:val="en-US"/>
        </w:rPr>
        <w:t>here were no statistical differences between the two materials 30 minutes following mixing</w:t>
      </w:r>
      <w:r>
        <w:rPr>
          <w:rFonts w:cstheme="minorBidi"/>
          <w:color w:val="000000"/>
          <w:lang w:val="en-US"/>
        </w:rPr>
        <w:t>.</w:t>
      </w:r>
      <w:r w:rsidRPr="00B013ED">
        <w:rPr>
          <w:rFonts w:cstheme="minorBidi"/>
          <w:color w:val="000000"/>
          <w:lang w:val="en-US"/>
        </w:rPr>
        <w:t xml:space="preserve"> </w:t>
      </w:r>
      <w:r>
        <w:rPr>
          <w:rFonts w:cstheme="minorBidi"/>
          <w:color w:val="000000"/>
          <w:lang w:val="en-US"/>
        </w:rPr>
        <w:t>H</w:t>
      </w:r>
      <w:r w:rsidRPr="00B013ED">
        <w:rPr>
          <w:rFonts w:cstheme="minorBidi"/>
          <w:color w:val="000000"/>
          <w:lang w:val="en-US"/>
        </w:rPr>
        <w:t>owever 60 minutes, after mixing GMTA ha</w:t>
      </w:r>
      <w:r>
        <w:rPr>
          <w:rFonts w:cstheme="minorBidi"/>
          <w:color w:val="000000"/>
          <w:lang w:val="en-US"/>
        </w:rPr>
        <w:t>d</w:t>
      </w:r>
      <w:r w:rsidRPr="00B013ED">
        <w:rPr>
          <w:rFonts w:cstheme="minorBidi"/>
          <w:color w:val="000000"/>
          <w:lang w:val="en-US"/>
        </w:rPr>
        <w:t xml:space="preserve"> a significantly lower pH value than WMTA (Islam </w:t>
      </w:r>
      <w:r w:rsidRPr="00B013ED">
        <w:rPr>
          <w:rFonts w:cstheme="minorBidi"/>
          <w:i/>
          <w:iCs/>
          <w:color w:val="000000"/>
          <w:lang w:val="en-US"/>
        </w:rPr>
        <w:t>et al.,</w:t>
      </w:r>
      <w:r w:rsidRPr="00B013ED">
        <w:rPr>
          <w:rFonts w:cstheme="minorBidi"/>
          <w:color w:val="000000"/>
          <w:lang w:val="en-US"/>
        </w:rPr>
        <w:t xml:space="preserve"> 2006). Available data show that mixing MTA with water results in the formation of CH and a high pH environment.</w:t>
      </w:r>
    </w:p>
    <w:p w:rsidR="00065FAA" w:rsidRPr="00B013ED" w:rsidRDefault="00065FAA" w:rsidP="00065FAA">
      <w:pPr>
        <w:pStyle w:val="Heading4"/>
        <w:spacing w:line="480" w:lineRule="auto"/>
      </w:pPr>
      <w:bookmarkStart w:id="179" w:name="_Toc359995803"/>
      <w:r w:rsidRPr="00B013ED">
        <w:t>Retention characteristics and marginal adapt</w:t>
      </w:r>
      <w:r>
        <w:t>at</w:t>
      </w:r>
      <w:r w:rsidRPr="00B013ED">
        <w:t>ion of MTA</w:t>
      </w:r>
      <w:bookmarkEnd w:id="179"/>
      <w:r w:rsidRPr="00B013ED">
        <w:t xml:space="preserve"> </w:t>
      </w:r>
    </w:p>
    <w:p w:rsidR="00065FAA" w:rsidRPr="00B013ED" w:rsidRDefault="00065FAA" w:rsidP="00065FAA">
      <w:pPr>
        <w:spacing w:line="480" w:lineRule="auto"/>
        <w:jc w:val="both"/>
        <w:rPr>
          <w:rFonts w:cstheme="minorBidi"/>
        </w:rPr>
      </w:pPr>
      <w:r w:rsidRPr="00B013ED">
        <w:rPr>
          <w:rFonts w:cstheme="minorBidi"/>
        </w:rPr>
        <w:t xml:space="preserve">When a restorative material is placed in contact with dental tissue it is usually in an attempt to replace lost or poorly developed structure of the tooth or to seal a cavity. The type of contact this material forms with the dental tissue is important, as this will affect its sealing ability and retention characteristics. There are a few in vitro studies evaluating marginal adaptation and retention characteristics of MTA when used </w:t>
      </w:r>
      <w:r>
        <w:rPr>
          <w:rFonts w:cstheme="minorBidi"/>
        </w:rPr>
        <w:t xml:space="preserve">for </w:t>
      </w:r>
      <w:r w:rsidRPr="00B013ED">
        <w:rPr>
          <w:rFonts w:cstheme="minorBidi"/>
        </w:rPr>
        <w:t>different applications.</w:t>
      </w:r>
    </w:p>
    <w:p w:rsidR="00065FAA" w:rsidRPr="00B013ED" w:rsidRDefault="00065FAA" w:rsidP="00065FAA">
      <w:pPr>
        <w:spacing w:line="480" w:lineRule="auto"/>
        <w:jc w:val="both"/>
        <w:rPr>
          <w:rFonts w:cstheme="minorBidi"/>
        </w:rPr>
      </w:pPr>
      <w:r w:rsidRPr="00B013ED">
        <w:rPr>
          <w:rFonts w:cstheme="minorBidi"/>
        </w:rPr>
        <w:t xml:space="preserve">Torabinejad </w:t>
      </w:r>
      <w:r w:rsidRPr="00B013ED">
        <w:rPr>
          <w:rFonts w:cstheme="minorBidi"/>
          <w:i/>
          <w:iCs/>
        </w:rPr>
        <w:t>et al</w:t>
      </w:r>
      <w:proofErr w:type="gramStart"/>
      <w:r w:rsidRPr="00B013ED">
        <w:rPr>
          <w:rFonts w:cstheme="minorBidi"/>
        </w:rPr>
        <w:t>.(</w:t>
      </w:r>
      <w:proofErr w:type="gramEnd"/>
      <w:r w:rsidRPr="00B013ED">
        <w:rPr>
          <w:rFonts w:cstheme="minorBidi"/>
        </w:rPr>
        <w:t>1995g) investigated and compared the marginal adaptation of MTA and three other commonly used root-end filling materials (amalgam, super-EAB</w:t>
      </w:r>
      <w:r>
        <w:rPr>
          <w:rFonts w:cstheme="minorBidi"/>
        </w:rPr>
        <w:t xml:space="preserve"> and </w:t>
      </w:r>
      <w:r w:rsidRPr="00B013ED">
        <w:rPr>
          <w:rFonts w:cstheme="minorBidi"/>
        </w:rPr>
        <w:t>IRM)</w:t>
      </w:r>
      <w:r>
        <w:rPr>
          <w:rFonts w:cstheme="minorBidi"/>
        </w:rPr>
        <w:t xml:space="preserve"> </w:t>
      </w:r>
      <w:r w:rsidRPr="00B013ED">
        <w:rPr>
          <w:rFonts w:cstheme="minorBidi"/>
        </w:rPr>
        <w:t xml:space="preserve">in </w:t>
      </w:r>
      <w:r>
        <w:rPr>
          <w:rFonts w:cstheme="minorBidi"/>
        </w:rPr>
        <w:t>88</w:t>
      </w:r>
      <w:r w:rsidRPr="00B013ED">
        <w:rPr>
          <w:rFonts w:cstheme="minorBidi"/>
        </w:rPr>
        <w:t xml:space="preserve"> extracted human teeth</w:t>
      </w:r>
      <w:r>
        <w:rPr>
          <w:rFonts w:cstheme="minorBidi"/>
        </w:rPr>
        <w:t xml:space="preserve">. </w:t>
      </w:r>
      <w:r w:rsidRPr="00B013ED">
        <w:rPr>
          <w:rFonts w:cstheme="minorBidi"/>
        </w:rPr>
        <w:t xml:space="preserve">The distance between the test materials and surrounding dentine was measured at better adaptation to the other </w:t>
      </w:r>
      <w:r w:rsidRPr="00B013ED">
        <w:rPr>
          <w:rFonts w:cstheme="minorBidi"/>
        </w:rPr>
        <w:lastRenderedPageBreak/>
        <w:t>test materials, presenting only a few small gaps in longitudinal sections. An in vitro study however cannot reproduce clinical conditions, where the placement of the materials and therefore marginal adaptation would be expected to be as shown in this study.</w:t>
      </w:r>
    </w:p>
    <w:p w:rsidR="00065FAA" w:rsidRPr="00B013ED" w:rsidRDefault="00065FAA" w:rsidP="00065FAA">
      <w:pPr>
        <w:spacing w:line="480" w:lineRule="auto"/>
        <w:jc w:val="both"/>
        <w:rPr>
          <w:rFonts w:cstheme="minorBidi"/>
        </w:rPr>
      </w:pPr>
      <w:r w:rsidRPr="00B013ED">
        <w:rPr>
          <w:rFonts w:cstheme="minorBidi"/>
        </w:rPr>
        <w:t>In another report by Sluyk and co-work</w:t>
      </w:r>
      <w:r>
        <w:rPr>
          <w:rFonts w:cstheme="minorBidi"/>
        </w:rPr>
        <w:t>er</w:t>
      </w:r>
      <w:r w:rsidRPr="00B013ED">
        <w:rPr>
          <w:rFonts w:cstheme="minorBidi"/>
        </w:rPr>
        <w:t xml:space="preserve">s (1998) they evaluated the effect of time and moisture on retention and re-adaptation characteristics of MTA when it was used for the repair of furcation perforations. MTA was placed in perforation sites produced on 32 extracted human molars after the creation of </w:t>
      </w:r>
      <w:r>
        <w:rPr>
          <w:rFonts w:cstheme="minorBidi"/>
        </w:rPr>
        <w:t xml:space="preserve">a </w:t>
      </w:r>
      <w:r w:rsidRPr="00B013ED">
        <w:rPr>
          <w:rFonts w:cstheme="minorBidi"/>
        </w:rPr>
        <w:t xml:space="preserve">model to simulate clinical conditions. An </w:t>
      </w:r>
      <w:r>
        <w:rPr>
          <w:rFonts w:cstheme="minorBidi"/>
        </w:rPr>
        <w:t>I</w:t>
      </w:r>
      <w:r w:rsidRPr="00B013ED">
        <w:rPr>
          <w:rFonts w:cstheme="minorBidi"/>
        </w:rPr>
        <w:t xml:space="preserve">nstron force probe was used to apply force on the set material after 24 and 72 hours. MTA displayed significantly more resistance to displacement at 72 hours than 24 hours. When displacement did occur at 24 hours, the material demonstrated the ability to re-establish resistance to dislodgment from the dentinal walls, although not to the original level. This </w:t>
      </w:r>
      <w:r>
        <w:rPr>
          <w:rFonts w:cstheme="minorBidi"/>
        </w:rPr>
        <w:t>wa</w:t>
      </w:r>
      <w:r w:rsidRPr="00B013ED">
        <w:rPr>
          <w:rFonts w:cstheme="minorBidi"/>
        </w:rPr>
        <w:t>s according to the authors possibly a result of a continued chemical reaction within the material, while the presence of moisture during application appeared to be advantageous in aiding adaptation of MTA to the walls of the perforation. Again, clinical conditions may have had a different effect in the retention of the material, since when used for perforation repair, it is usually placed against bone, and therefore resistance to dislodgment would be expected to be different.</w:t>
      </w:r>
    </w:p>
    <w:p w:rsidR="00065FAA" w:rsidRPr="00B013ED" w:rsidRDefault="00065FAA" w:rsidP="00AF4BF4">
      <w:pPr>
        <w:spacing w:line="480" w:lineRule="auto"/>
        <w:jc w:val="both"/>
        <w:rPr>
          <w:rFonts w:cstheme="minorBidi"/>
        </w:rPr>
      </w:pPr>
      <w:r w:rsidRPr="00B013ED">
        <w:rPr>
          <w:rFonts w:cstheme="minorBidi"/>
        </w:rPr>
        <w:t xml:space="preserve">In the previous studies marginal adaptation and retention of MTA was used as </w:t>
      </w:r>
      <w:r>
        <w:rPr>
          <w:rFonts w:cstheme="minorBidi"/>
        </w:rPr>
        <w:t xml:space="preserve">a </w:t>
      </w:r>
      <w:r w:rsidRPr="00B013ED">
        <w:rPr>
          <w:rFonts w:cstheme="minorBidi"/>
        </w:rPr>
        <w:t>root-end filling and as a perforation repair material with great success. The clinical situation is slightly different. In this case, MTA is not condensed against a hard tissue or material and direct visuali</w:t>
      </w:r>
      <w:r>
        <w:rPr>
          <w:rFonts w:cstheme="minorBidi"/>
        </w:rPr>
        <w:t>s</w:t>
      </w:r>
      <w:r w:rsidRPr="00B013ED">
        <w:rPr>
          <w:rFonts w:cstheme="minorBidi"/>
        </w:rPr>
        <w:t xml:space="preserve">ation of the site during application of the </w:t>
      </w:r>
      <w:r w:rsidRPr="00B013ED">
        <w:rPr>
          <w:rFonts w:cstheme="minorBidi"/>
        </w:rPr>
        <w:lastRenderedPageBreak/>
        <w:t xml:space="preserve">material is difficult without the use of adjunctive means such as magnification lenses. </w:t>
      </w:r>
      <w:r>
        <w:rPr>
          <w:rFonts w:cstheme="minorBidi"/>
        </w:rPr>
        <w:t>I</w:t>
      </w:r>
      <w:r w:rsidRPr="00B013ED">
        <w:rPr>
          <w:rFonts w:cstheme="minorBidi"/>
        </w:rPr>
        <w:t>n vitro model</w:t>
      </w:r>
      <w:r>
        <w:rPr>
          <w:rFonts w:cstheme="minorBidi"/>
        </w:rPr>
        <w:t>s</w:t>
      </w:r>
      <w:r w:rsidRPr="00B013ED">
        <w:rPr>
          <w:rFonts w:cstheme="minorBidi"/>
        </w:rPr>
        <w:t xml:space="preserve"> to simulate the structure of an immature tooth and the delivery technique </w:t>
      </w:r>
      <w:r>
        <w:rPr>
          <w:rFonts w:cstheme="minorBidi"/>
        </w:rPr>
        <w:t xml:space="preserve">are </w:t>
      </w:r>
      <w:r w:rsidRPr="00B013ED">
        <w:rPr>
          <w:rFonts w:cstheme="minorBidi"/>
        </w:rPr>
        <w:t xml:space="preserve">recommended by the manufacturer and </w:t>
      </w:r>
      <w:r>
        <w:rPr>
          <w:rFonts w:cstheme="minorBidi"/>
        </w:rPr>
        <w:t>several</w:t>
      </w:r>
      <w:r w:rsidRPr="00B013ED">
        <w:rPr>
          <w:rFonts w:cstheme="minorBidi"/>
        </w:rPr>
        <w:t xml:space="preserve"> authors (Torabinejad and chiivian, 1999; Shabahang and Torabinejad, 2000; Schmitt </w:t>
      </w:r>
      <w:r w:rsidRPr="00B013ED">
        <w:rPr>
          <w:rFonts w:cstheme="minorBidi"/>
          <w:i/>
          <w:iCs/>
        </w:rPr>
        <w:t>et al</w:t>
      </w:r>
      <w:r w:rsidRPr="00B013ED">
        <w:rPr>
          <w:rFonts w:cstheme="minorBidi"/>
        </w:rPr>
        <w:t>., 2001;</w:t>
      </w:r>
      <w:r>
        <w:rPr>
          <w:rFonts w:cstheme="minorBidi"/>
        </w:rPr>
        <w:t xml:space="preserve"> </w:t>
      </w:r>
      <w:r w:rsidRPr="00B013ED">
        <w:rPr>
          <w:rFonts w:cstheme="minorBidi"/>
        </w:rPr>
        <w:t xml:space="preserve">Giuliani </w:t>
      </w:r>
      <w:r w:rsidRPr="00B013ED">
        <w:rPr>
          <w:rFonts w:cstheme="minorBidi"/>
          <w:i/>
          <w:iCs/>
        </w:rPr>
        <w:t>et al</w:t>
      </w:r>
      <w:r w:rsidRPr="00B013ED">
        <w:rPr>
          <w:rFonts w:cstheme="minorBidi"/>
        </w:rPr>
        <w:t xml:space="preserve">., 2002). In </w:t>
      </w:r>
      <w:r>
        <w:rPr>
          <w:rFonts w:cstheme="minorBidi"/>
        </w:rPr>
        <w:t xml:space="preserve">a </w:t>
      </w:r>
      <w:r w:rsidRPr="00B013ED">
        <w:rPr>
          <w:rFonts w:cstheme="minorBidi"/>
        </w:rPr>
        <w:t xml:space="preserve">more recent study </w:t>
      </w:r>
      <w:r>
        <w:rPr>
          <w:rFonts w:cstheme="minorBidi"/>
        </w:rPr>
        <w:t>it was observed</w:t>
      </w:r>
      <w:r w:rsidRPr="00B013ED">
        <w:rPr>
          <w:rFonts w:cstheme="minorBidi"/>
        </w:rPr>
        <w:t xml:space="preserve"> that use of calcium hydroxide treatment improve</w:t>
      </w:r>
      <w:r>
        <w:rPr>
          <w:rFonts w:cstheme="minorBidi"/>
        </w:rPr>
        <w:t>d</w:t>
      </w:r>
      <w:r w:rsidRPr="00B013ED">
        <w:rPr>
          <w:rFonts w:cstheme="minorBidi"/>
        </w:rPr>
        <w:t xml:space="preserve"> the marginal adaptation of the MTA apical plug (Bidar </w:t>
      </w:r>
      <w:r w:rsidRPr="00B013ED">
        <w:rPr>
          <w:rFonts w:cstheme="minorBidi"/>
          <w:i/>
          <w:iCs/>
        </w:rPr>
        <w:t>et al</w:t>
      </w:r>
      <w:r w:rsidRPr="00B013ED">
        <w:rPr>
          <w:rFonts w:cstheme="minorBidi"/>
        </w:rPr>
        <w:t xml:space="preserve">., </w:t>
      </w:r>
      <w:r w:rsidR="00CB5306">
        <w:rPr>
          <w:rFonts w:cstheme="minorBidi"/>
        </w:rPr>
        <w:t>2007)</w:t>
      </w:r>
      <w:r>
        <w:rPr>
          <w:rFonts w:cstheme="minorBidi"/>
        </w:rPr>
        <w:t>.</w:t>
      </w:r>
    </w:p>
    <w:p w:rsidR="00065FAA" w:rsidRPr="00B013ED" w:rsidRDefault="00065FAA" w:rsidP="00065FAA">
      <w:pPr>
        <w:spacing w:line="480" w:lineRule="auto"/>
        <w:jc w:val="both"/>
        <w:rPr>
          <w:rFonts w:cstheme="minorBidi"/>
        </w:rPr>
      </w:pPr>
      <w:r>
        <w:rPr>
          <w:rFonts w:cstheme="minorBidi"/>
        </w:rPr>
        <w:t>E</w:t>
      </w:r>
      <w:r w:rsidRPr="00B013ED">
        <w:rPr>
          <w:rFonts w:cstheme="minorBidi"/>
        </w:rPr>
        <w:t xml:space="preserve">xtracted human premolars </w:t>
      </w:r>
      <w:r>
        <w:rPr>
          <w:rFonts w:cstheme="minorBidi"/>
        </w:rPr>
        <w:t>have been used to</w:t>
      </w:r>
      <w:r w:rsidRPr="00B013ED">
        <w:rPr>
          <w:rFonts w:cstheme="minorBidi"/>
        </w:rPr>
        <w:t xml:space="preserve"> produce a model of immature teeth with open apices and divergent apical areas. An apical barrier of MTA was created either 1 mm or 4 mm thick. Resistance to displacement with and without prior application of calcium hydroxide medication was compared.</w:t>
      </w:r>
      <w:r>
        <w:rPr>
          <w:rFonts w:cstheme="minorBidi"/>
        </w:rPr>
        <w:t xml:space="preserve"> </w:t>
      </w:r>
      <w:r w:rsidRPr="00B013ED">
        <w:rPr>
          <w:rFonts w:cstheme="minorBidi"/>
        </w:rPr>
        <w:t xml:space="preserve">The results showed that a 4 mm plug of MTA demonstrated statically significant greater of force regardless of calcium hydroxide use (Hachmeister </w:t>
      </w:r>
      <w:r w:rsidRPr="00B013ED">
        <w:rPr>
          <w:rFonts w:cstheme="minorBidi"/>
          <w:i/>
          <w:iCs/>
        </w:rPr>
        <w:t>et al.</w:t>
      </w:r>
      <w:r w:rsidR="007846DE" w:rsidRPr="00B013ED">
        <w:rPr>
          <w:rFonts w:cstheme="minorBidi"/>
          <w:i/>
          <w:iCs/>
        </w:rPr>
        <w:t>,</w:t>
      </w:r>
      <w:r w:rsidR="007846DE" w:rsidRPr="00B013ED">
        <w:rPr>
          <w:rFonts w:cstheme="minorBidi"/>
        </w:rPr>
        <w:t xml:space="preserve"> 2002</w:t>
      </w:r>
      <w:r w:rsidRPr="00B013ED">
        <w:rPr>
          <w:rFonts w:cstheme="minorBidi"/>
        </w:rPr>
        <w:t>).</w:t>
      </w:r>
    </w:p>
    <w:p w:rsidR="00065FAA" w:rsidRDefault="00065FAA" w:rsidP="00065FAA">
      <w:pPr>
        <w:rPr>
          <w:rFonts w:eastAsiaTheme="majorEastAsia" w:cstheme="majorBidi"/>
          <w:b/>
          <w:bCs/>
          <w:iCs/>
        </w:rPr>
      </w:pPr>
      <w:bookmarkStart w:id="180" w:name="_Toc359995804"/>
      <w:r>
        <w:br w:type="page"/>
      </w:r>
    </w:p>
    <w:p w:rsidR="00065FAA" w:rsidRPr="00B013ED" w:rsidRDefault="00065FAA" w:rsidP="00065FAA">
      <w:pPr>
        <w:pStyle w:val="Heading4"/>
        <w:spacing w:line="480" w:lineRule="auto"/>
      </w:pPr>
      <w:r w:rsidRPr="00B013ED">
        <w:lastRenderedPageBreak/>
        <w:t>Antimicrobial effect of MTA</w:t>
      </w:r>
      <w:bookmarkEnd w:id="180"/>
      <w:r w:rsidRPr="00B013ED">
        <w:t xml:space="preserve"> </w:t>
      </w:r>
    </w:p>
    <w:p w:rsidR="00065FAA" w:rsidRPr="00B013ED" w:rsidRDefault="00065FAA" w:rsidP="00065FAA">
      <w:pPr>
        <w:autoSpaceDE w:val="0"/>
        <w:autoSpaceDN w:val="0"/>
        <w:adjustRightInd w:val="0"/>
        <w:spacing w:line="480" w:lineRule="auto"/>
        <w:jc w:val="both"/>
        <w:rPr>
          <w:rFonts w:cstheme="minorBidi"/>
        </w:rPr>
      </w:pPr>
      <w:r w:rsidRPr="00B013ED">
        <w:rPr>
          <w:rFonts w:cstheme="minorBidi"/>
        </w:rPr>
        <w:t xml:space="preserve">MTA demonstrated antimicrobial activity against </w:t>
      </w:r>
      <w:r w:rsidRPr="00494433">
        <w:rPr>
          <w:rFonts w:cstheme="minorBidi"/>
          <w:i/>
          <w:iCs/>
        </w:rPr>
        <w:t xml:space="preserve">E. faecalis, Micrococcus luteus, Staphylococcus aureus, S. epidermidis, Pseudomonas aeruginosa, and Candida albicans </w:t>
      </w:r>
      <w:r w:rsidRPr="00B013ED">
        <w:rPr>
          <w:rFonts w:cstheme="minorBidi"/>
        </w:rPr>
        <w:t xml:space="preserve">but not against </w:t>
      </w:r>
      <w:r w:rsidRPr="00494433">
        <w:rPr>
          <w:rFonts w:cstheme="minorBidi"/>
          <w:i/>
          <w:iCs/>
        </w:rPr>
        <w:t>Escherichia coli</w:t>
      </w:r>
      <w:r w:rsidRPr="00B013ED">
        <w:rPr>
          <w:rFonts w:cstheme="minorBidi"/>
        </w:rPr>
        <w:t xml:space="preserve"> (</w:t>
      </w:r>
      <w:r w:rsidRPr="00B013ED">
        <w:rPr>
          <w:rFonts w:cstheme="minorBidi"/>
          <w:lang w:val="en-US"/>
        </w:rPr>
        <w:t>Sipert</w:t>
      </w:r>
      <w:r w:rsidRPr="00B013ED">
        <w:rPr>
          <w:rFonts w:cstheme="minorBidi"/>
        </w:rPr>
        <w:t xml:space="preserve"> </w:t>
      </w:r>
      <w:r w:rsidRPr="00B013ED">
        <w:rPr>
          <w:rFonts w:cstheme="minorBidi"/>
          <w:i/>
          <w:iCs/>
        </w:rPr>
        <w:t>et al</w:t>
      </w:r>
      <w:r w:rsidRPr="00B013ED">
        <w:rPr>
          <w:rFonts w:cstheme="minorBidi"/>
        </w:rPr>
        <w:t>., 2005).</w:t>
      </w:r>
    </w:p>
    <w:p w:rsidR="00065FAA" w:rsidRPr="00B013ED" w:rsidRDefault="00065FAA" w:rsidP="00065FAA">
      <w:pPr>
        <w:autoSpaceDE w:val="0"/>
        <w:autoSpaceDN w:val="0"/>
        <w:adjustRightInd w:val="0"/>
        <w:spacing w:line="480" w:lineRule="auto"/>
        <w:jc w:val="both"/>
        <w:rPr>
          <w:rFonts w:cstheme="minorBidi"/>
          <w:color w:val="231F20"/>
        </w:rPr>
      </w:pPr>
      <w:r w:rsidRPr="00B013ED">
        <w:rPr>
          <w:rFonts w:cstheme="minorBidi"/>
        </w:rPr>
        <w:t>High alkalinity tolerance of E. faecalis gives it the ability to survive conventional root canal therapy (</w:t>
      </w:r>
      <w:r w:rsidRPr="00B013ED">
        <w:rPr>
          <w:rFonts w:cstheme="minorBidi"/>
          <w:lang w:val="en-US"/>
        </w:rPr>
        <w:t>Yoshimine</w:t>
      </w:r>
      <w:r w:rsidRPr="00B013ED">
        <w:rPr>
          <w:rFonts w:cstheme="minorBidi"/>
        </w:rPr>
        <w:t xml:space="preserve"> </w:t>
      </w:r>
      <w:r w:rsidRPr="00B013ED">
        <w:rPr>
          <w:rFonts w:cstheme="minorBidi"/>
          <w:i/>
          <w:iCs/>
        </w:rPr>
        <w:t>et al.</w:t>
      </w:r>
      <w:r w:rsidRPr="00B013ED">
        <w:rPr>
          <w:rFonts w:cstheme="minorBidi"/>
        </w:rPr>
        <w:t xml:space="preserve"> 2007). </w:t>
      </w:r>
      <w:r w:rsidRPr="00B013ED">
        <w:rPr>
          <w:rFonts w:cstheme="minorBidi"/>
          <w:color w:val="231F20"/>
        </w:rPr>
        <w:t xml:space="preserve">Fresh and set MTA have powerful elimination of </w:t>
      </w:r>
      <w:r w:rsidRPr="00B013ED">
        <w:rPr>
          <w:rFonts w:cstheme="minorBidi"/>
        </w:rPr>
        <w:t>E. faecalis from root canal</w:t>
      </w:r>
      <w:r>
        <w:rPr>
          <w:rFonts w:cstheme="minorBidi"/>
        </w:rPr>
        <w:t>s</w:t>
      </w:r>
      <w:r w:rsidRPr="00B013ED">
        <w:rPr>
          <w:rFonts w:cstheme="minorBidi"/>
        </w:rPr>
        <w:t xml:space="preserve"> and even more powerful when it </w:t>
      </w:r>
      <w:r>
        <w:rPr>
          <w:rFonts w:cstheme="minorBidi"/>
        </w:rPr>
        <w:t xml:space="preserve">is </w:t>
      </w:r>
      <w:r w:rsidRPr="00B013ED">
        <w:rPr>
          <w:rFonts w:cstheme="minorBidi"/>
        </w:rPr>
        <w:t>mixed with dentine powder (</w:t>
      </w:r>
      <w:r w:rsidRPr="00B013ED">
        <w:rPr>
          <w:rFonts w:cstheme="minorBidi"/>
          <w:color w:val="231F20"/>
        </w:rPr>
        <w:t xml:space="preserve">Zhang </w:t>
      </w:r>
      <w:r w:rsidRPr="00B013ED">
        <w:rPr>
          <w:rFonts w:cstheme="minorBidi"/>
          <w:i/>
          <w:iCs/>
          <w:color w:val="231F20"/>
        </w:rPr>
        <w:t>et al</w:t>
      </w:r>
      <w:r w:rsidRPr="00B013ED">
        <w:rPr>
          <w:rFonts w:cstheme="minorBidi"/>
          <w:color w:val="231F20"/>
        </w:rPr>
        <w:t>., 2009).</w:t>
      </w:r>
    </w:p>
    <w:p w:rsidR="00065FAA" w:rsidRPr="00B013ED" w:rsidRDefault="00065FAA" w:rsidP="00065FAA">
      <w:pPr>
        <w:pStyle w:val="Heading4"/>
        <w:spacing w:line="480" w:lineRule="auto"/>
      </w:pPr>
      <w:bookmarkStart w:id="181" w:name="_Toc359995805"/>
      <w:r w:rsidRPr="00B013ED">
        <w:t>Mineral trioxide aggregate (MTA) as an apexification material</w:t>
      </w:r>
      <w:bookmarkEnd w:id="181"/>
    </w:p>
    <w:p w:rsidR="00065FAA" w:rsidRPr="00B013ED" w:rsidRDefault="00065FAA" w:rsidP="00065FAA">
      <w:pPr>
        <w:spacing w:line="480" w:lineRule="auto"/>
        <w:jc w:val="both"/>
        <w:rPr>
          <w:rFonts w:cstheme="minorBidi"/>
        </w:rPr>
      </w:pPr>
      <w:r w:rsidRPr="00B013ED">
        <w:rPr>
          <w:rFonts w:cstheme="minorBidi"/>
        </w:rPr>
        <w:t>As previously described, one of the most recent development</w:t>
      </w:r>
      <w:r>
        <w:rPr>
          <w:rFonts w:cstheme="minorBidi"/>
        </w:rPr>
        <w:t>s</w:t>
      </w:r>
      <w:r w:rsidRPr="00B013ED">
        <w:rPr>
          <w:rFonts w:cstheme="minorBidi"/>
        </w:rPr>
        <w:t xml:space="preserve"> in endodontic</w:t>
      </w:r>
      <w:r>
        <w:rPr>
          <w:rFonts w:cstheme="minorBidi"/>
        </w:rPr>
        <w:t>s</w:t>
      </w:r>
      <w:r w:rsidRPr="00B013ED">
        <w:rPr>
          <w:rFonts w:cstheme="minorBidi"/>
        </w:rPr>
        <w:t xml:space="preserve"> involving teeth with immature root development is the creation of an artificial barrier which can be achieved when the material of choice is placed in direct contact with the peri</w:t>
      </w:r>
      <w:r>
        <w:rPr>
          <w:rFonts w:cstheme="minorBidi"/>
        </w:rPr>
        <w:t>-</w:t>
      </w:r>
      <w:r w:rsidRPr="00B013ED">
        <w:rPr>
          <w:rFonts w:cstheme="minorBidi"/>
        </w:rPr>
        <w:t>radicular tissue</w:t>
      </w:r>
      <w:r>
        <w:rPr>
          <w:rFonts w:cstheme="minorBidi"/>
        </w:rPr>
        <w:t>s</w:t>
      </w:r>
      <w:r w:rsidRPr="00B013ED">
        <w:rPr>
          <w:rFonts w:cstheme="minorBidi"/>
        </w:rPr>
        <w:t>. Mineral Trioxide Aggregate (MTA) has been proposed by a number of authors for this use as it has been shown to demonstrate impressive properties which make it almost an ideal material for use against bone.</w:t>
      </w:r>
    </w:p>
    <w:p w:rsidR="00065FAA" w:rsidRPr="00B013ED" w:rsidRDefault="00065FAA" w:rsidP="00065FAA">
      <w:pPr>
        <w:spacing w:line="480" w:lineRule="auto"/>
        <w:jc w:val="both"/>
        <w:rPr>
          <w:rFonts w:cstheme="minorBidi"/>
        </w:rPr>
      </w:pPr>
      <w:r w:rsidRPr="00B013ED">
        <w:rPr>
          <w:rFonts w:cstheme="minorBidi"/>
        </w:rPr>
        <w:t xml:space="preserve">Torabinejad </w:t>
      </w:r>
      <w:r>
        <w:rPr>
          <w:rFonts w:cstheme="minorBidi"/>
        </w:rPr>
        <w:t>and co-workers</w:t>
      </w:r>
      <w:r>
        <w:rPr>
          <w:rFonts w:cstheme="minorBidi"/>
          <w:i/>
          <w:iCs/>
        </w:rPr>
        <w:t xml:space="preserve"> (</w:t>
      </w:r>
      <w:r w:rsidRPr="00B013ED">
        <w:rPr>
          <w:rFonts w:cstheme="minorBidi"/>
        </w:rPr>
        <w:t>1995</w:t>
      </w:r>
      <w:r>
        <w:rPr>
          <w:rFonts w:cstheme="minorBidi"/>
        </w:rPr>
        <w:t>)</w:t>
      </w:r>
      <w:r w:rsidRPr="00B013ED">
        <w:rPr>
          <w:rFonts w:cstheme="minorBidi"/>
        </w:rPr>
        <w:t xml:space="preserve"> </w:t>
      </w:r>
      <w:r>
        <w:rPr>
          <w:rFonts w:cstheme="minorBidi"/>
        </w:rPr>
        <w:t>i</w:t>
      </w:r>
      <w:r w:rsidRPr="00B013ED">
        <w:rPr>
          <w:rFonts w:cstheme="minorBidi"/>
        </w:rPr>
        <w:t xml:space="preserve">n an animal study found that after a period </w:t>
      </w:r>
      <w:r>
        <w:rPr>
          <w:rFonts w:cstheme="minorBidi"/>
        </w:rPr>
        <w:t xml:space="preserve">of </w:t>
      </w:r>
      <w:r w:rsidRPr="00B013ED">
        <w:rPr>
          <w:rFonts w:cstheme="minorBidi"/>
        </w:rPr>
        <w:t>2-5 weeks 23% of specimens ha</w:t>
      </w:r>
      <w:r>
        <w:rPr>
          <w:rFonts w:cstheme="minorBidi"/>
        </w:rPr>
        <w:t>d</w:t>
      </w:r>
      <w:r w:rsidRPr="00B013ED">
        <w:rPr>
          <w:rFonts w:cstheme="minorBidi"/>
        </w:rPr>
        <w:t xml:space="preserve"> form</w:t>
      </w:r>
      <w:r>
        <w:rPr>
          <w:rFonts w:cstheme="minorBidi"/>
        </w:rPr>
        <w:t>ed</w:t>
      </w:r>
      <w:r w:rsidRPr="00B013ED">
        <w:rPr>
          <w:rFonts w:cstheme="minorBidi"/>
        </w:rPr>
        <w:t xml:space="preserve"> cementum. However after a 10-18 weeks of MTA application as </w:t>
      </w:r>
      <w:r>
        <w:rPr>
          <w:rFonts w:cstheme="minorBidi"/>
        </w:rPr>
        <w:t xml:space="preserve">a </w:t>
      </w:r>
      <w:r w:rsidRPr="00B013ED">
        <w:rPr>
          <w:rFonts w:cstheme="minorBidi"/>
        </w:rPr>
        <w:t xml:space="preserve">root end material 80% of </w:t>
      </w:r>
      <w:r>
        <w:rPr>
          <w:rFonts w:cstheme="minorBidi"/>
        </w:rPr>
        <w:t xml:space="preserve">the </w:t>
      </w:r>
      <w:r w:rsidRPr="00B013ED">
        <w:rPr>
          <w:rFonts w:cstheme="minorBidi"/>
        </w:rPr>
        <w:t xml:space="preserve">experimental group showed a cementum deposition. On the other hand the root end cavities filled with amalgam showed no cementum deposition. </w:t>
      </w:r>
    </w:p>
    <w:p w:rsidR="00065FAA" w:rsidRPr="00B013ED" w:rsidRDefault="00065FAA" w:rsidP="00065FAA">
      <w:pPr>
        <w:spacing w:line="480" w:lineRule="auto"/>
        <w:jc w:val="both"/>
        <w:rPr>
          <w:rFonts w:cstheme="minorBidi"/>
        </w:rPr>
      </w:pPr>
      <w:r w:rsidRPr="00B013ED">
        <w:rPr>
          <w:rFonts w:cstheme="minorBidi"/>
        </w:rPr>
        <w:t xml:space="preserve">Shabahang </w:t>
      </w:r>
      <w:r w:rsidRPr="00B013ED">
        <w:rPr>
          <w:rFonts w:cstheme="minorBidi"/>
          <w:i/>
          <w:iCs/>
        </w:rPr>
        <w:t>et al.,</w:t>
      </w:r>
      <w:r w:rsidRPr="00B013ED">
        <w:rPr>
          <w:rFonts w:cstheme="minorBidi"/>
        </w:rPr>
        <w:t xml:space="preserve"> (1999) compared the efficacy of osteogenic protein-1 and MTA with that of calcium hydroxide in the formation of hard tissue in immature roots of </w:t>
      </w:r>
      <w:r w:rsidRPr="00B013ED">
        <w:rPr>
          <w:rFonts w:cstheme="minorBidi"/>
        </w:rPr>
        <w:lastRenderedPageBreak/>
        <w:t xml:space="preserve">dogs. They experimentally induced pulp necrosis and periapical pathology in the premolars of </w:t>
      </w:r>
      <w:r>
        <w:rPr>
          <w:rFonts w:cstheme="minorBidi"/>
        </w:rPr>
        <w:t>four</w:t>
      </w:r>
      <w:r w:rsidRPr="00B013ED">
        <w:rPr>
          <w:rFonts w:cstheme="minorBidi"/>
        </w:rPr>
        <w:t xml:space="preserve"> </w:t>
      </w:r>
      <w:proofErr w:type="gramStart"/>
      <w:r w:rsidRPr="00B013ED">
        <w:rPr>
          <w:rFonts w:cstheme="minorBidi"/>
        </w:rPr>
        <w:t>Beagle</w:t>
      </w:r>
      <w:proofErr w:type="gramEnd"/>
      <w:r w:rsidRPr="00B013ED">
        <w:rPr>
          <w:rFonts w:cstheme="minorBidi"/>
        </w:rPr>
        <w:t xml:space="preserve"> does by exposing the root canals to the oral environment. </w:t>
      </w:r>
      <w:r>
        <w:rPr>
          <w:rFonts w:cstheme="minorBidi"/>
        </w:rPr>
        <w:t xml:space="preserve"> T</w:t>
      </w:r>
      <w:r w:rsidRPr="00B013ED">
        <w:rPr>
          <w:rFonts w:cstheme="minorBidi"/>
        </w:rPr>
        <w:t xml:space="preserve">hese teeth were later instrumented and chemically prepared and after their random allocation to three different groups one of the three materials was placed appically.  The access cavity was sealed with MTA in all teeth. After performing a histolgical assessment, it </w:t>
      </w:r>
      <w:r>
        <w:rPr>
          <w:rFonts w:cstheme="minorBidi"/>
        </w:rPr>
        <w:t xml:space="preserve">was </w:t>
      </w:r>
      <w:r w:rsidRPr="00B013ED">
        <w:rPr>
          <w:rFonts w:cstheme="minorBidi"/>
        </w:rPr>
        <w:t xml:space="preserve">shown that after only 12 days, MTA produced </w:t>
      </w:r>
      <w:r>
        <w:rPr>
          <w:rFonts w:cstheme="minorBidi"/>
        </w:rPr>
        <w:t xml:space="preserve">an </w:t>
      </w:r>
      <w:r w:rsidRPr="00B013ED">
        <w:rPr>
          <w:rFonts w:cstheme="minorBidi"/>
        </w:rPr>
        <w:t xml:space="preserve">apical hard tissue formation with significantly greater consistency than calcium hydroxide </w:t>
      </w:r>
      <w:r>
        <w:rPr>
          <w:rFonts w:cstheme="minorBidi"/>
        </w:rPr>
        <w:t>or</w:t>
      </w:r>
      <w:r w:rsidRPr="00B013ED">
        <w:rPr>
          <w:rFonts w:cstheme="minorBidi"/>
        </w:rPr>
        <w:t xml:space="preserve"> osteogenic protein-1.</w:t>
      </w:r>
    </w:p>
    <w:p w:rsidR="00065FAA" w:rsidRPr="00B013ED" w:rsidRDefault="00065FAA" w:rsidP="00065FAA">
      <w:pPr>
        <w:spacing w:line="480" w:lineRule="auto"/>
        <w:jc w:val="both"/>
        <w:rPr>
          <w:rFonts w:cstheme="minorBidi"/>
        </w:rPr>
      </w:pPr>
      <w:r w:rsidRPr="00B013ED">
        <w:rPr>
          <w:rFonts w:cstheme="minorBidi"/>
        </w:rPr>
        <w:t xml:space="preserve">In another report </w:t>
      </w:r>
      <w:r>
        <w:rPr>
          <w:rFonts w:cstheme="minorBidi"/>
        </w:rPr>
        <w:t>(</w:t>
      </w:r>
      <w:r w:rsidRPr="00B013ED">
        <w:rPr>
          <w:rFonts w:cstheme="minorBidi"/>
        </w:rPr>
        <w:t xml:space="preserve">Tittle </w:t>
      </w:r>
      <w:r w:rsidRPr="00B013ED">
        <w:rPr>
          <w:rFonts w:cstheme="minorBidi"/>
          <w:i/>
          <w:iCs/>
        </w:rPr>
        <w:t>et al</w:t>
      </w:r>
      <w:r w:rsidRPr="00B013ED">
        <w:rPr>
          <w:rFonts w:cstheme="minorBidi"/>
        </w:rPr>
        <w:t xml:space="preserve">., 1996) bone growth factors and MTA were compared to calcium hydroxide </w:t>
      </w:r>
      <w:r>
        <w:rPr>
          <w:rFonts w:cstheme="minorBidi"/>
        </w:rPr>
        <w:t>for</w:t>
      </w:r>
      <w:r w:rsidRPr="00B013ED">
        <w:rPr>
          <w:rFonts w:cstheme="minorBidi"/>
        </w:rPr>
        <w:t xml:space="preserve"> their ability to stimulate apical closure or produce an effective apical barrier in dog's immature teeth. They showed that MTA produced the best healing of the per</w:t>
      </w:r>
      <w:r>
        <w:rPr>
          <w:rFonts w:cstheme="minorBidi"/>
        </w:rPr>
        <w:t>i</w:t>
      </w:r>
      <w:r w:rsidRPr="00B013ED">
        <w:rPr>
          <w:rFonts w:cstheme="minorBidi"/>
        </w:rPr>
        <w:t>apical tissue</w:t>
      </w:r>
      <w:r>
        <w:rPr>
          <w:rFonts w:cstheme="minorBidi"/>
        </w:rPr>
        <w:t>s</w:t>
      </w:r>
      <w:r w:rsidRPr="00B013ED">
        <w:rPr>
          <w:rFonts w:cstheme="minorBidi"/>
        </w:rPr>
        <w:t xml:space="preserve"> both histological</w:t>
      </w:r>
      <w:r>
        <w:rPr>
          <w:rFonts w:cstheme="minorBidi"/>
        </w:rPr>
        <w:t>ly</w:t>
      </w:r>
      <w:r w:rsidRPr="00B013ED">
        <w:rPr>
          <w:rFonts w:cstheme="minorBidi"/>
        </w:rPr>
        <w:t xml:space="preserve"> and radiographically. Based on the findings of these investigators and a number of other studies evaluating the various properties of the material,</w:t>
      </w:r>
      <w:r>
        <w:rPr>
          <w:rFonts w:cstheme="minorBidi"/>
        </w:rPr>
        <w:t xml:space="preserve"> </w:t>
      </w:r>
      <w:r w:rsidRPr="00B013ED">
        <w:rPr>
          <w:rFonts w:cstheme="minorBidi"/>
        </w:rPr>
        <w:t>sev</w:t>
      </w:r>
      <w:r>
        <w:rPr>
          <w:rFonts w:cstheme="minorBidi"/>
        </w:rPr>
        <w:t>e</w:t>
      </w:r>
      <w:r w:rsidRPr="00B013ED">
        <w:rPr>
          <w:rFonts w:cstheme="minorBidi"/>
        </w:rPr>
        <w:t>ral auth</w:t>
      </w:r>
      <w:r>
        <w:rPr>
          <w:rFonts w:cstheme="minorBidi"/>
        </w:rPr>
        <w:t>o</w:t>
      </w:r>
      <w:r w:rsidRPr="00B013ED">
        <w:rPr>
          <w:rFonts w:cstheme="minorBidi"/>
        </w:rPr>
        <w:t xml:space="preserve">rs have suggested the </w:t>
      </w:r>
      <w:r>
        <w:rPr>
          <w:rFonts w:cstheme="minorBidi"/>
        </w:rPr>
        <w:t xml:space="preserve">use </w:t>
      </w:r>
      <w:r w:rsidRPr="00B013ED">
        <w:rPr>
          <w:rFonts w:cstheme="minorBidi"/>
        </w:rPr>
        <w:t>of MTA as an ap</w:t>
      </w:r>
      <w:r>
        <w:rPr>
          <w:rFonts w:cstheme="minorBidi"/>
        </w:rPr>
        <w:t>e</w:t>
      </w:r>
      <w:r w:rsidRPr="00B013ED">
        <w:rPr>
          <w:rFonts w:cstheme="minorBidi"/>
        </w:rPr>
        <w:t xml:space="preserve">xification </w:t>
      </w:r>
      <w:r w:rsidR="001727CA" w:rsidRPr="00B013ED">
        <w:rPr>
          <w:rFonts w:cstheme="minorBidi"/>
        </w:rPr>
        <w:t xml:space="preserve">material. </w:t>
      </w:r>
    </w:p>
    <w:p w:rsidR="00065FAA" w:rsidRPr="00B013ED" w:rsidRDefault="00065FAA" w:rsidP="00065FAA">
      <w:pPr>
        <w:spacing w:line="480" w:lineRule="auto"/>
        <w:jc w:val="both"/>
        <w:rPr>
          <w:rFonts w:cstheme="minorBidi"/>
        </w:rPr>
      </w:pPr>
      <w:r w:rsidRPr="00B013ED">
        <w:rPr>
          <w:rFonts w:cstheme="minorBidi"/>
        </w:rPr>
        <w:t xml:space="preserve">Felippe </w:t>
      </w:r>
      <w:r w:rsidRPr="00B013ED">
        <w:rPr>
          <w:rFonts w:cstheme="minorBidi"/>
          <w:i/>
          <w:iCs/>
        </w:rPr>
        <w:t>et al.,</w:t>
      </w:r>
      <w:r w:rsidRPr="00B013ED">
        <w:rPr>
          <w:rFonts w:cstheme="minorBidi"/>
        </w:rPr>
        <w:t xml:space="preserve"> (2006) compared MTA verses CH as </w:t>
      </w:r>
      <w:r>
        <w:rPr>
          <w:rFonts w:cstheme="minorBidi"/>
        </w:rPr>
        <w:t xml:space="preserve">a </w:t>
      </w:r>
      <w:r w:rsidRPr="00B013ED">
        <w:rPr>
          <w:rFonts w:cstheme="minorBidi"/>
        </w:rPr>
        <w:t xml:space="preserve">root end material on dogs. Their results showed no significant differences in the formation of bone or hard tissue barrier. In addition, </w:t>
      </w:r>
      <w:r>
        <w:rPr>
          <w:rFonts w:cstheme="minorBidi"/>
        </w:rPr>
        <w:t>they reported that</w:t>
      </w:r>
      <w:r w:rsidRPr="00B013ED">
        <w:rPr>
          <w:rFonts w:cstheme="minorBidi"/>
        </w:rPr>
        <w:t xml:space="preserve"> MTA application without CH pre-</w:t>
      </w:r>
      <w:r w:rsidR="001727CA" w:rsidRPr="00B013ED">
        <w:rPr>
          <w:rFonts w:cstheme="minorBidi"/>
        </w:rPr>
        <w:t>treatment showed</w:t>
      </w:r>
      <w:r w:rsidRPr="00B013ED">
        <w:rPr>
          <w:rFonts w:cstheme="minorBidi"/>
        </w:rPr>
        <w:t xml:space="preserve"> tissue barrier deposition compared to the other groups which had CH before MTA application. Furthermore, extrusion in MTA groups that </w:t>
      </w:r>
      <w:r>
        <w:rPr>
          <w:rFonts w:cstheme="minorBidi"/>
        </w:rPr>
        <w:t xml:space="preserve">were </w:t>
      </w:r>
      <w:r w:rsidRPr="00B013ED">
        <w:rPr>
          <w:rFonts w:cstheme="minorBidi"/>
        </w:rPr>
        <w:t xml:space="preserve">pre-treated with CH </w:t>
      </w:r>
      <w:r>
        <w:rPr>
          <w:rFonts w:cstheme="minorBidi"/>
        </w:rPr>
        <w:t>was</w:t>
      </w:r>
      <w:r w:rsidRPr="00B013ED">
        <w:rPr>
          <w:rFonts w:cstheme="minorBidi"/>
        </w:rPr>
        <w:t xml:space="preserve"> higher than the other MTA only treated groups. </w:t>
      </w:r>
    </w:p>
    <w:p w:rsidR="00065FAA" w:rsidRPr="00B013ED" w:rsidRDefault="00065FAA" w:rsidP="00065FAA">
      <w:pPr>
        <w:spacing w:line="480" w:lineRule="auto"/>
        <w:jc w:val="both"/>
        <w:rPr>
          <w:rFonts w:cstheme="minorBidi"/>
        </w:rPr>
      </w:pPr>
      <w:r w:rsidRPr="00B013ED">
        <w:rPr>
          <w:rFonts w:cstheme="minorBidi"/>
        </w:rPr>
        <w:lastRenderedPageBreak/>
        <w:t xml:space="preserve">In these studies MTA </w:t>
      </w:r>
      <w:r>
        <w:rPr>
          <w:rFonts w:cstheme="minorBidi"/>
        </w:rPr>
        <w:t>wa</w:t>
      </w:r>
      <w:r w:rsidRPr="00B013ED">
        <w:rPr>
          <w:rFonts w:cstheme="minorBidi"/>
        </w:rPr>
        <w:t>s evaluated mostly as a root-end filling material or for the repair of root perforations using either in vivo animal models or in vitro laboratory conditions.</w:t>
      </w:r>
    </w:p>
    <w:p w:rsidR="00065FAA" w:rsidRPr="00B013ED" w:rsidRDefault="00065FAA" w:rsidP="00065FAA">
      <w:pPr>
        <w:spacing w:after="0" w:line="480" w:lineRule="auto"/>
        <w:jc w:val="both"/>
        <w:rPr>
          <w:rFonts w:cstheme="minorBidi"/>
        </w:rPr>
      </w:pPr>
      <w:r w:rsidRPr="00B013ED">
        <w:rPr>
          <w:rFonts w:cstheme="minorBidi"/>
        </w:rPr>
        <w:t xml:space="preserve">Several studies have confirmed successful clinical outcomes including healing of existing periapical lesions in </w:t>
      </w:r>
      <w:r>
        <w:rPr>
          <w:rFonts w:cstheme="minorBidi"/>
        </w:rPr>
        <w:t xml:space="preserve">the </w:t>
      </w:r>
      <w:r w:rsidRPr="00B013ED">
        <w:rPr>
          <w:rFonts w:cstheme="minorBidi"/>
        </w:rPr>
        <w:t xml:space="preserve">majority of immature teeth that were treated with an MTA apical plug (Holden </w:t>
      </w:r>
      <w:r w:rsidRPr="00B013ED">
        <w:rPr>
          <w:rFonts w:cstheme="minorBidi"/>
          <w:i/>
          <w:iCs/>
        </w:rPr>
        <w:t>et al</w:t>
      </w:r>
      <w:r w:rsidRPr="00B013ED">
        <w:rPr>
          <w:rFonts w:cstheme="minorBidi"/>
        </w:rPr>
        <w:t>., 2008</w:t>
      </w:r>
      <w:r>
        <w:rPr>
          <w:rFonts w:cstheme="minorBidi"/>
        </w:rPr>
        <w:t>;</w:t>
      </w:r>
      <w:r w:rsidRPr="00B013ED">
        <w:rPr>
          <w:rFonts w:cstheme="minorBidi"/>
        </w:rPr>
        <w:t xml:space="preserve"> Moore </w:t>
      </w:r>
      <w:r w:rsidRPr="00B013ED">
        <w:rPr>
          <w:rFonts w:cstheme="minorBidi"/>
          <w:i/>
          <w:iCs/>
        </w:rPr>
        <w:t>et al</w:t>
      </w:r>
      <w:r w:rsidRPr="00B013ED">
        <w:rPr>
          <w:rFonts w:cstheme="minorBidi"/>
        </w:rPr>
        <w:t>., 2011).</w:t>
      </w:r>
    </w:p>
    <w:p w:rsidR="00065FAA" w:rsidRPr="00B013ED" w:rsidRDefault="00CD59B5" w:rsidP="00CD59B5">
      <w:pPr>
        <w:pStyle w:val="Heading4"/>
        <w:spacing w:line="480" w:lineRule="auto"/>
      </w:pPr>
      <w:bookmarkStart w:id="182" w:name="_Toc359995806"/>
      <w:r>
        <w:t>S</w:t>
      </w:r>
      <w:r w:rsidR="00065FAA" w:rsidRPr="00B013ED">
        <w:t xml:space="preserve">hortcomings </w:t>
      </w:r>
      <w:r w:rsidRPr="00B013ED">
        <w:t>o</w:t>
      </w:r>
      <w:r>
        <w:t>f</w:t>
      </w:r>
      <w:r w:rsidR="00065FAA" w:rsidRPr="00B013ED">
        <w:t>MTA apexification:</w:t>
      </w:r>
      <w:bookmarkEnd w:id="182"/>
    </w:p>
    <w:p w:rsidR="00065FAA" w:rsidRPr="00B013ED" w:rsidRDefault="00065FAA" w:rsidP="00065FAA">
      <w:pPr>
        <w:numPr>
          <w:ilvl w:val="0"/>
          <w:numId w:val="63"/>
        </w:numPr>
        <w:spacing w:line="480" w:lineRule="auto"/>
        <w:contextualSpacing/>
        <w:jc w:val="both"/>
        <w:rPr>
          <w:rFonts w:eastAsia="Calibri" w:cstheme="minorBidi"/>
          <w:szCs w:val="22"/>
        </w:rPr>
      </w:pPr>
      <w:r w:rsidRPr="00B013ED">
        <w:rPr>
          <w:rFonts w:eastAsia="Calibri" w:cstheme="minorBidi"/>
          <w:szCs w:val="22"/>
        </w:rPr>
        <w:t xml:space="preserve">A </w:t>
      </w:r>
      <w:r>
        <w:rPr>
          <w:rFonts w:eastAsia="Calibri" w:cstheme="minorBidi"/>
          <w:szCs w:val="22"/>
        </w:rPr>
        <w:t>discolouration</w:t>
      </w:r>
      <w:r w:rsidRPr="00B013ED">
        <w:rPr>
          <w:rFonts w:eastAsia="Calibri" w:cstheme="minorBidi"/>
          <w:szCs w:val="22"/>
        </w:rPr>
        <w:t xml:space="preserve"> potential.</w:t>
      </w:r>
    </w:p>
    <w:p w:rsidR="00065FAA" w:rsidRPr="00B013ED" w:rsidRDefault="00065FAA" w:rsidP="00065FAA">
      <w:pPr>
        <w:numPr>
          <w:ilvl w:val="0"/>
          <w:numId w:val="63"/>
        </w:numPr>
        <w:spacing w:line="480" w:lineRule="auto"/>
        <w:contextualSpacing/>
        <w:jc w:val="both"/>
        <w:rPr>
          <w:rFonts w:eastAsia="Calibri" w:cstheme="minorBidi"/>
          <w:szCs w:val="22"/>
        </w:rPr>
      </w:pPr>
      <w:r w:rsidRPr="00B013ED">
        <w:rPr>
          <w:rFonts w:eastAsia="Calibri" w:cstheme="minorBidi"/>
          <w:szCs w:val="22"/>
        </w:rPr>
        <w:t>Presence of toxic elements in the material composition.</w:t>
      </w:r>
    </w:p>
    <w:p w:rsidR="00065FAA" w:rsidRPr="00B013ED" w:rsidRDefault="00065FAA" w:rsidP="00065FAA">
      <w:pPr>
        <w:numPr>
          <w:ilvl w:val="0"/>
          <w:numId w:val="63"/>
        </w:numPr>
        <w:spacing w:line="480" w:lineRule="auto"/>
        <w:contextualSpacing/>
        <w:jc w:val="both"/>
        <w:rPr>
          <w:rFonts w:eastAsia="Calibri" w:cstheme="minorBidi"/>
          <w:szCs w:val="22"/>
        </w:rPr>
      </w:pPr>
      <w:r w:rsidRPr="00B013ED">
        <w:rPr>
          <w:rFonts w:eastAsia="Calibri" w:cstheme="minorBidi"/>
          <w:szCs w:val="22"/>
        </w:rPr>
        <w:t>Difficult handling characteristics.</w:t>
      </w:r>
    </w:p>
    <w:p w:rsidR="00065FAA" w:rsidRPr="00B013ED" w:rsidRDefault="00065FAA" w:rsidP="00065FAA">
      <w:pPr>
        <w:numPr>
          <w:ilvl w:val="0"/>
          <w:numId w:val="63"/>
        </w:numPr>
        <w:spacing w:line="480" w:lineRule="auto"/>
        <w:contextualSpacing/>
        <w:jc w:val="both"/>
        <w:rPr>
          <w:rFonts w:eastAsia="Calibri" w:cstheme="minorBidi"/>
          <w:szCs w:val="22"/>
        </w:rPr>
      </w:pPr>
      <w:r w:rsidRPr="00B013ED">
        <w:rPr>
          <w:rFonts w:eastAsia="Calibri" w:cstheme="minorBidi"/>
          <w:szCs w:val="22"/>
        </w:rPr>
        <w:t>Long setting time.</w:t>
      </w:r>
    </w:p>
    <w:p w:rsidR="00065FAA" w:rsidRPr="00B013ED" w:rsidRDefault="00065FAA" w:rsidP="00065FAA">
      <w:pPr>
        <w:numPr>
          <w:ilvl w:val="0"/>
          <w:numId w:val="63"/>
        </w:numPr>
        <w:spacing w:line="480" w:lineRule="auto"/>
        <w:contextualSpacing/>
        <w:jc w:val="both"/>
        <w:rPr>
          <w:rFonts w:eastAsia="Calibri" w:cstheme="minorBidi"/>
          <w:szCs w:val="22"/>
        </w:rPr>
      </w:pPr>
      <w:r w:rsidRPr="00B013ED">
        <w:rPr>
          <w:rFonts w:eastAsia="Calibri" w:cstheme="minorBidi"/>
          <w:szCs w:val="22"/>
        </w:rPr>
        <w:t>High material cost.</w:t>
      </w:r>
    </w:p>
    <w:p w:rsidR="00065FAA" w:rsidRPr="00B013ED" w:rsidRDefault="00065FAA" w:rsidP="00065FAA">
      <w:pPr>
        <w:numPr>
          <w:ilvl w:val="0"/>
          <w:numId w:val="63"/>
        </w:numPr>
        <w:spacing w:line="480" w:lineRule="auto"/>
        <w:contextualSpacing/>
        <w:jc w:val="both"/>
        <w:rPr>
          <w:rFonts w:eastAsia="Calibri" w:cstheme="minorBidi"/>
          <w:szCs w:val="22"/>
        </w:rPr>
      </w:pPr>
      <w:r w:rsidRPr="00B013ED">
        <w:rPr>
          <w:rFonts w:eastAsia="Calibri" w:cstheme="minorBidi"/>
          <w:szCs w:val="22"/>
        </w:rPr>
        <w:t>An absence of a known solvent for this material, and the difficulty of its removal after curing.</w:t>
      </w:r>
    </w:p>
    <w:p w:rsidR="00065FAA" w:rsidRPr="00B013ED" w:rsidRDefault="00065FAA" w:rsidP="00065FAA">
      <w:pPr>
        <w:spacing w:after="0" w:line="480" w:lineRule="auto"/>
        <w:jc w:val="both"/>
        <w:rPr>
          <w:rFonts w:cstheme="minorBidi"/>
        </w:rPr>
      </w:pPr>
      <w:r w:rsidRPr="00B013ED">
        <w:rPr>
          <w:rFonts w:cstheme="minorBidi"/>
        </w:rPr>
        <w:br w:type="page"/>
      </w:r>
    </w:p>
    <w:p w:rsidR="00065FAA" w:rsidRPr="00B013ED" w:rsidRDefault="00065FAA" w:rsidP="00065FAA">
      <w:pPr>
        <w:pStyle w:val="Heading3"/>
        <w:spacing w:line="480" w:lineRule="auto"/>
      </w:pPr>
      <w:bookmarkStart w:id="183" w:name="_Toc359995807"/>
      <w:bookmarkStart w:id="184" w:name="_Toc370819220"/>
      <w:r w:rsidRPr="00B013ED">
        <w:lastRenderedPageBreak/>
        <w:t>Dentine</w:t>
      </w:r>
      <w:bookmarkEnd w:id="166"/>
      <w:bookmarkEnd w:id="167"/>
      <w:bookmarkEnd w:id="168"/>
      <w:bookmarkEnd w:id="169"/>
      <w:r w:rsidRPr="00B013ED">
        <w:t xml:space="preserve"> as a tissue</w:t>
      </w:r>
      <w:bookmarkEnd w:id="183"/>
      <w:bookmarkEnd w:id="184"/>
    </w:p>
    <w:p w:rsidR="00065FAA" w:rsidRPr="00B013ED" w:rsidRDefault="00065FAA" w:rsidP="00CD59B5">
      <w:pPr>
        <w:spacing w:line="480" w:lineRule="auto"/>
        <w:jc w:val="both"/>
        <w:rPr>
          <w:rFonts w:cstheme="minorBidi"/>
          <w:color w:val="000000"/>
        </w:rPr>
      </w:pPr>
      <w:r w:rsidRPr="00B013ED">
        <w:rPr>
          <w:rFonts w:cstheme="minorBidi"/>
          <w:color w:val="000000"/>
        </w:rPr>
        <w:t xml:space="preserve">Dentine is an elastic, yellow-white </w:t>
      </w:r>
      <w:r>
        <w:rPr>
          <w:rFonts w:cstheme="minorBidi"/>
          <w:color w:val="000000"/>
        </w:rPr>
        <w:t>mineralised</w:t>
      </w:r>
      <w:r w:rsidRPr="00B013ED">
        <w:rPr>
          <w:rFonts w:cstheme="minorBidi"/>
          <w:color w:val="000000"/>
        </w:rPr>
        <w:t xml:space="preserve"> living connective tissue that forms the bulky hard tissue portion of the tooth, </w:t>
      </w:r>
      <w:r w:rsidR="00CD59B5">
        <w:rPr>
          <w:rFonts w:cstheme="minorBidi"/>
          <w:color w:val="000000"/>
        </w:rPr>
        <w:t>C</w:t>
      </w:r>
      <w:r w:rsidRPr="00B013ED">
        <w:rPr>
          <w:rFonts w:cstheme="minorBidi"/>
          <w:color w:val="000000"/>
        </w:rPr>
        <w:t xml:space="preserve">rown dentine </w:t>
      </w:r>
      <w:r w:rsidR="00CD59B5">
        <w:rPr>
          <w:rFonts w:cstheme="minorBidi"/>
          <w:color w:val="000000"/>
        </w:rPr>
        <w:t>is located</w:t>
      </w:r>
      <w:r w:rsidRPr="00B013ED">
        <w:rPr>
          <w:rFonts w:cstheme="minorBidi"/>
          <w:color w:val="000000"/>
        </w:rPr>
        <w:t xml:space="preserve"> under the enamel tissue which prevents expos</w:t>
      </w:r>
      <w:r w:rsidR="00CD59B5">
        <w:rPr>
          <w:rFonts w:cstheme="minorBidi"/>
          <w:color w:val="000000"/>
        </w:rPr>
        <w:t>ure of</w:t>
      </w:r>
      <w:r w:rsidRPr="00B013ED">
        <w:rPr>
          <w:rFonts w:cstheme="minorBidi"/>
          <w:color w:val="000000"/>
        </w:rPr>
        <w:t xml:space="preserve"> dentine to the oral environment, whereas the root dentine is covered by cementum.</w:t>
      </w:r>
    </w:p>
    <w:p w:rsidR="00065FAA" w:rsidRPr="00B013ED" w:rsidRDefault="00065FAA" w:rsidP="00CD59B5">
      <w:pPr>
        <w:spacing w:line="480" w:lineRule="auto"/>
        <w:jc w:val="both"/>
        <w:rPr>
          <w:rFonts w:cstheme="minorBidi"/>
          <w:color w:val="000000"/>
        </w:rPr>
      </w:pPr>
      <w:r w:rsidRPr="00B013ED">
        <w:rPr>
          <w:rFonts w:cstheme="minorBidi"/>
          <w:color w:val="000000"/>
        </w:rPr>
        <w:t xml:space="preserve">Dentine begins to forms during the bell stage, the outer cells of </w:t>
      </w:r>
      <w:r>
        <w:rPr>
          <w:rFonts w:cstheme="minorBidi"/>
          <w:color w:val="000000"/>
        </w:rPr>
        <w:t xml:space="preserve">the </w:t>
      </w:r>
      <w:r w:rsidRPr="00B013ED">
        <w:rPr>
          <w:rFonts w:cstheme="minorBidi"/>
          <w:color w:val="000000"/>
        </w:rPr>
        <w:t>dental papilla become odontoblasts, and these cells differentiate from mesenchymal cells.  As the odontoblasts elongate and become columnar they will form a matrix of collagen fibres called predentine. The collagen matrix will increase and calcifies to become dentine. The dental papilla at that time becomes dental pulp surrounded by dentine. Dentinogenesis has two phases. First collagen matrix formation followed by deposition of calcium phosphate (</w:t>
      </w:r>
      <w:r w:rsidR="00CD59B5" w:rsidRPr="00B013ED">
        <w:rPr>
          <w:rFonts w:cstheme="minorBidi"/>
          <w:color w:val="000000"/>
        </w:rPr>
        <w:t>hydroxy</w:t>
      </w:r>
      <w:r w:rsidR="00CD59B5">
        <w:rPr>
          <w:rFonts w:cstheme="minorBidi"/>
          <w:color w:val="000000"/>
        </w:rPr>
        <w:t>apatite</w:t>
      </w:r>
      <w:r w:rsidR="00CD59B5" w:rsidRPr="00B013ED">
        <w:rPr>
          <w:rFonts w:cstheme="minorBidi"/>
          <w:color w:val="000000"/>
        </w:rPr>
        <w:t xml:space="preserve"> </w:t>
      </w:r>
      <w:r w:rsidRPr="00B013ED">
        <w:rPr>
          <w:rFonts w:cstheme="minorBidi"/>
          <w:color w:val="000000"/>
        </w:rPr>
        <w:t xml:space="preserve">crystal) in the matrix. </w:t>
      </w:r>
    </w:p>
    <w:p w:rsidR="00CE31BD" w:rsidRDefault="00065FAA" w:rsidP="00065FAA">
      <w:pPr>
        <w:spacing w:line="480" w:lineRule="auto"/>
        <w:jc w:val="both"/>
        <w:rPr>
          <w:rFonts w:cstheme="minorBidi"/>
        </w:rPr>
      </w:pPr>
      <w:r w:rsidRPr="00B013ED">
        <w:rPr>
          <w:rFonts w:cstheme="minorBidi"/>
          <w:color w:val="000000"/>
        </w:rPr>
        <w:t>Dentine structure and molecular chemistry may vary greatly between different species and the basis of dentine formation is different in mature and fully developed human teeth. The formation of dentine is a highly regulated and controlled sequence of events in which several constituents of both cellular and extracellular nature play a role.  A complex compound of type I collagen fibres and a carbonate-rich apatite mineral phase (</w:t>
      </w:r>
      <w:proofErr w:type="gramStart"/>
      <w:r w:rsidRPr="00B013ED">
        <w:rPr>
          <w:rFonts w:cstheme="minorBidi"/>
          <w:color w:val="000000"/>
        </w:rPr>
        <w:t>Ca</w:t>
      </w:r>
      <w:r w:rsidRPr="00B013ED">
        <w:rPr>
          <w:rFonts w:cstheme="minorBidi"/>
          <w:color w:val="000000"/>
          <w:vertAlign w:val="subscript"/>
        </w:rPr>
        <w:t>10</w:t>
      </w:r>
      <w:r w:rsidRPr="00B013ED">
        <w:rPr>
          <w:rFonts w:cstheme="minorBidi"/>
          <w:color w:val="000000"/>
        </w:rPr>
        <w:t>(</w:t>
      </w:r>
      <w:proofErr w:type="gramEnd"/>
      <w:r w:rsidRPr="00B013ED">
        <w:rPr>
          <w:rFonts w:cstheme="minorBidi"/>
          <w:color w:val="000000"/>
        </w:rPr>
        <w:t>PO</w:t>
      </w:r>
      <w:r w:rsidRPr="00B013ED">
        <w:rPr>
          <w:rFonts w:cstheme="minorBidi"/>
          <w:color w:val="000000"/>
          <w:vertAlign w:val="subscript"/>
        </w:rPr>
        <w:t>4</w:t>
      </w:r>
      <w:r w:rsidRPr="00B013ED">
        <w:rPr>
          <w:rFonts w:cstheme="minorBidi"/>
          <w:color w:val="000000"/>
        </w:rPr>
        <w:t>)</w:t>
      </w:r>
      <w:r w:rsidRPr="00B013ED">
        <w:rPr>
          <w:rFonts w:cstheme="minorBidi"/>
          <w:color w:val="000000"/>
          <w:vertAlign w:val="subscript"/>
        </w:rPr>
        <w:t>6</w:t>
      </w:r>
      <w:r w:rsidRPr="00B013ED">
        <w:rPr>
          <w:rFonts w:cstheme="minorBidi"/>
          <w:color w:val="000000"/>
        </w:rPr>
        <w:t>(OH)</w:t>
      </w:r>
      <w:r w:rsidRPr="00B013ED">
        <w:rPr>
          <w:rFonts w:cstheme="minorBidi"/>
          <w:color w:val="000000"/>
          <w:vertAlign w:val="subscript"/>
        </w:rPr>
        <w:t>2</w:t>
      </w:r>
      <w:r w:rsidRPr="00B013ED">
        <w:rPr>
          <w:rFonts w:cstheme="minorBidi"/>
          <w:color w:val="000000"/>
        </w:rPr>
        <w:t xml:space="preserve">) gives a quality of rigidity and strength to the dentine matrix. In addition, inter-tubular dentine determines the elasticity of the </w:t>
      </w:r>
      <w:r w:rsidRPr="00B013ED">
        <w:rPr>
          <w:rFonts w:cstheme="minorBidi"/>
        </w:rPr>
        <w:t xml:space="preserve">dental matrix (Kinney </w:t>
      </w:r>
      <w:r w:rsidRPr="00B013ED">
        <w:rPr>
          <w:rStyle w:val="italic"/>
          <w:rFonts w:cstheme="minorBidi"/>
          <w:i/>
          <w:iCs/>
          <w:spacing w:val="2"/>
        </w:rPr>
        <w:t>et al.,</w:t>
      </w:r>
      <w:r w:rsidRPr="00B013ED">
        <w:rPr>
          <w:rFonts w:cstheme="minorBidi"/>
        </w:rPr>
        <w:t xml:space="preserve"> 1996).</w:t>
      </w:r>
    </w:p>
    <w:p w:rsidR="00065FAA" w:rsidRPr="00B013ED" w:rsidRDefault="00CE31BD" w:rsidP="00FE48D1">
      <w:pPr>
        <w:rPr>
          <w:rFonts w:cstheme="minorBidi"/>
        </w:rPr>
      </w:pPr>
      <w:r>
        <w:rPr>
          <w:rFonts w:cstheme="minorBidi"/>
        </w:rPr>
        <w:br w:type="page"/>
      </w:r>
    </w:p>
    <w:p w:rsidR="00065FAA" w:rsidRPr="00CC6F0F" w:rsidRDefault="00065FAA" w:rsidP="00065FAA">
      <w:pPr>
        <w:pStyle w:val="Heading4"/>
        <w:spacing w:line="480" w:lineRule="auto"/>
      </w:pPr>
      <w:bookmarkStart w:id="185" w:name="_Toc359995808"/>
      <w:r w:rsidRPr="00CC6F0F">
        <w:lastRenderedPageBreak/>
        <w:t>Collagen</w:t>
      </w:r>
      <w:bookmarkEnd w:id="185"/>
    </w:p>
    <w:p w:rsidR="00065FAA" w:rsidRPr="00B013ED" w:rsidRDefault="00065FAA" w:rsidP="00065FAA">
      <w:pPr>
        <w:spacing w:line="480" w:lineRule="auto"/>
        <w:jc w:val="both"/>
      </w:pPr>
      <w:r w:rsidRPr="00CC6F0F">
        <w:t>Collagen type I form</w:t>
      </w:r>
      <w:r>
        <w:t>s</w:t>
      </w:r>
      <w:r w:rsidRPr="00CC6F0F">
        <w:t xml:space="preserve"> about 90% of all collagen presented in dentine structures and the remaining collagen is of type IV, V, and VI. Type I collagen is typically found in connective tissues like cartilage or tendons and provides the primary structure for bone. Collagen molecules are triple helical amino acid chains with a diameter of 1-3 nm and a length of 60-300 nm. In dentin</w:t>
      </w:r>
      <w:r>
        <w:t>e</w:t>
      </w:r>
      <w:r w:rsidRPr="00CC6F0F">
        <w:t xml:space="preserve">, the collagen fibrils typically form into cylinders of 83-100 nm in diameter and 0.3-10 mm in length (Habelitz </w:t>
      </w:r>
      <w:r w:rsidRPr="00CC6F0F">
        <w:rPr>
          <w:i/>
          <w:iCs/>
        </w:rPr>
        <w:t>et al</w:t>
      </w:r>
      <w:r w:rsidRPr="00CC6F0F">
        <w:t xml:space="preserve">., 2002). The length of the collagen fibrils is almost impossible to determine due to their 3-dimensional nature. As a direct result, some studies of fibril length failed to find both ends of the fibril (Birk </w:t>
      </w:r>
      <w:r w:rsidRPr="00CC6F0F">
        <w:rPr>
          <w:i/>
          <w:iCs/>
        </w:rPr>
        <w:t>et al.,</w:t>
      </w:r>
      <w:r w:rsidRPr="00CC6F0F">
        <w:t xml:space="preserve"> 1997)</w:t>
      </w:r>
      <w:r>
        <w:t>.</w:t>
      </w:r>
    </w:p>
    <w:p w:rsidR="00065FAA" w:rsidRPr="00B013ED" w:rsidRDefault="00065FAA" w:rsidP="00065FAA">
      <w:pPr>
        <w:pStyle w:val="Heading4"/>
        <w:spacing w:line="480" w:lineRule="auto"/>
      </w:pPr>
      <w:bookmarkStart w:id="186" w:name="_Toc180862539"/>
      <w:bookmarkStart w:id="187" w:name="_Toc180862608"/>
      <w:bookmarkStart w:id="188" w:name="_Toc182295474"/>
      <w:bookmarkStart w:id="189" w:name="_Toc226789682"/>
      <w:bookmarkStart w:id="190" w:name="_Toc359995809"/>
      <w:r w:rsidRPr="00B013ED">
        <w:t>Dentine hardness</w:t>
      </w:r>
      <w:bookmarkEnd w:id="186"/>
      <w:bookmarkEnd w:id="187"/>
      <w:bookmarkEnd w:id="188"/>
      <w:bookmarkEnd w:id="189"/>
      <w:bookmarkEnd w:id="190"/>
    </w:p>
    <w:p w:rsidR="00065FAA" w:rsidRPr="00B013ED" w:rsidRDefault="00065FAA" w:rsidP="009E0971">
      <w:pPr>
        <w:spacing w:line="480" w:lineRule="auto"/>
        <w:jc w:val="both"/>
        <w:rPr>
          <w:rFonts w:cstheme="minorBidi"/>
        </w:rPr>
      </w:pPr>
      <w:r w:rsidRPr="00B013ED">
        <w:rPr>
          <w:rFonts w:cstheme="minorBidi"/>
        </w:rPr>
        <w:t xml:space="preserve">The hardness value of normal dentine is estimated to be between 40-75 </w:t>
      </w:r>
      <w:r w:rsidR="009E0971" w:rsidRPr="009E0971">
        <w:rPr>
          <w:rFonts w:cstheme="minorBidi"/>
        </w:rPr>
        <w:t>Giga Pascal (</w:t>
      </w:r>
      <w:proofErr w:type="gramStart"/>
      <w:r w:rsidR="009E0971" w:rsidRPr="009E0971">
        <w:rPr>
          <w:rFonts w:cstheme="minorBidi"/>
        </w:rPr>
        <w:t>Gpa</w:t>
      </w:r>
      <w:proofErr w:type="gramEnd"/>
      <w:r w:rsidR="009E0971" w:rsidRPr="009E0971">
        <w:rPr>
          <w:rFonts w:cstheme="minorBidi"/>
        </w:rPr>
        <w:t xml:space="preserve">) is </w:t>
      </w:r>
      <w:r w:rsidRPr="00B013ED">
        <w:rPr>
          <w:rFonts w:cstheme="minorBidi"/>
        </w:rPr>
        <w:t>(Vickers hardness) (Patterson, 1963). This hardness increases from the root canal lumen toward the cemento-dentinal junction, whereas the values in the apical third are lower than in the middle and cervical section of the root (Patterson, 1963).</w:t>
      </w:r>
    </w:p>
    <w:p w:rsidR="006D3E86" w:rsidRDefault="00065FAA" w:rsidP="006D3E86">
      <w:pPr>
        <w:spacing w:line="480" w:lineRule="auto"/>
        <w:jc w:val="both"/>
        <w:rPr>
          <w:rFonts w:cstheme="minorBidi"/>
        </w:rPr>
      </w:pPr>
      <w:r w:rsidRPr="00B013ED">
        <w:rPr>
          <w:rFonts w:cstheme="minorBidi"/>
        </w:rPr>
        <w:t xml:space="preserve">However, the root dentine hardness was almost constant at the entrance of the root canal and was about 88.78 </w:t>
      </w:r>
      <w:proofErr w:type="gramStart"/>
      <w:r w:rsidR="009E0971" w:rsidRPr="009E0971">
        <w:rPr>
          <w:rFonts w:cstheme="minorBidi"/>
        </w:rPr>
        <w:t>Gpa</w:t>
      </w:r>
      <w:proofErr w:type="gramEnd"/>
      <w:r w:rsidR="009E0971" w:rsidRPr="00B013ED">
        <w:rPr>
          <w:rFonts w:cstheme="minorBidi"/>
        </w:rPr>
        <w:t xml:space="preserve"> </w:t>
      </w:r>
      <w:r w:rsidRPr="00B013ED">
        <w:rPr>
          <w:rFonts w:cstheme="minorBidi"/>
        </w:rPr>
        <w:t xml:space="preserve">increasing to about 94.68 </w:t>
      </w:r>
      <w:r w:rsidR="009E0971" w:rsidRPr="009E0971">
        <w:rPr>
          <w:rFonts w:cstheme="minorBidi"/>
        </w:rPr>
        <w:t>Gpa</w:t>
      </w:r>
      <w:r w:rsidR="009E0971" w:rsidRPr="00B013ED">
        <w:rPr>
          <w:rFonts w:cstheme="minorBidi"/>
        </w:rPr>
        <w:t xml:space="preserve"> </w:t>
      </w:r>
      <w:r w:rsidRPr="00B013ED">
        <w:rPr>
          <w:rFonts w:cstheme="minorBidi"/>
        </w:rPr>
        <w:t xml:space="preserve">at the (apex by Vickers hardness). Pashley </w:t>
      </w:r>
      <w:r w:rsidRPr="00B013ED">
        <w:rPr>
          <w:rFonts w:cstheme="minorBidi"/>
          <w:i/>
          <w:iCs/>
        </w:rPr>
        <w:t>et al</w:t>
      </w:r>
      <w:r w:rsidRPr="00B013ED">
        <w:rPr>
          <w:rFonts w:cstheme="minorBidi"/>
        </w:rPr>
        <w:t>., (1985) reported that there was an inverse correlation between dentine microhardness and dentine tubule density.</w:t>
      </w:r>
      <w:bookmarkStart w:id="191" w:name="_Toc359995810"/>
    </w:p>
    <w:p w:rsidR="00065FAA" w:rsidRPr="00B013ED" w:rsidRDefault="00065FAA" w:rsidP="006D3E86">
      <w:pPr>
        <w:spacing w:line="480" w:lineRule="auto"/>
        <w:jc w:val="both"/>
        <w:rPr>
          <w:rFonts w:cstheme="minorBidi"/>
        </w:rPr>
      </w:pPr>
      <w:r w:rsidRPr="00B013ED">
        <w:br w:type="page"/>
      </w:r>
    </w:p>
    <w:p w:rsidR="00065FAA" w:rsidRPr="00B013ED" w:rsidRDefault="00065FAA" w:rsidP="00065FAA">
      <w:pPr>
        <w:pStyle w:val="Heading3"/>
        <w:spacing w:line="480" w:lineRule="auto"/>
      </w:pPr>
      <w:bookmarkStart w:id="192" w:name="_Toc370819221"/>
      <w:r w:rsidRPr="00B013ED">
        <w:lastRenderedPageBreak/>
        <w:t>Nano</w:t>
      </w:r>
      <w:r>
        <w:t>-</w:t>
      </w:r>
      <w:r w:rsidRPr="00B013ED">
        <w:t>indentation</w:t>
      </w:r>
      <w:bookmarkEnd w:id="191"/>
      <w:bookmarkEnd w:id="192"/>
    </w:p>
    <w:p w:rsidR="00065FAA" w:rsidRPr="00B013ED" w:rsidRDefault="00065FAA" w:rsidP="00065FAA">
      <w:pPr>
        <w:pStyle w:val="BodyText2"/>
        <w:spacing w:after="0"/>
        <w:rPr>
          <w:rFonts w:asciiTheme="minorBidi" w:hAnsiTheme="minorBidi" w:cstheme="minorBidi"/>
        </w:rPr>
      </w:pPr>
      <w:r>
        <w:rPr>
          <w:rFonts w:asciiTheme="minorBidi" w:hAnsiTheme="minorBidi" w:cstheme="minorBidi"/>
        </w:rPr>
        <w:t>Nano-indentation</w:t>
      </w:r>
      <w:r w:rsidRPr="00B013ED">
        <w:rPr>
          <w:rFonts w:asciiTheme="minorBidi" w:hAnsiTheme="minorBidi" w:cstheme="minorBidi"/>
        </w:rPr>
        <w:t xml:space="preserve"> has been used widely in dentistry during the last decade, especially for testing the hardness of calcified tissues such as enamel, dentine and cement.  </w:t>
      </w:r>
      <w:r>
        <w:rPr>
          <w:rFonts w:asciiTheme="minorBidi" w:hAnsiTheme="minorBidi" w:cstheme="minorBidi"/>
        </w:rPr>
        <w:t>Nano-indentation</w:t>
      </w:r>
      <w:r w:rsidRPr="00B013ED">
        <w:rPr>
          <w:rFonts w:asciiTheme="minorBidi" w:hAnsiTheme="minorBidi" w:cstheme="minorBidi"/>
        </w:rPr>
        <w:t xml:space="preserve"> can test thin specimens of less than 50 nm in thickness. </w:t>
      </w:r>
      <w:r w:rsidRPr="00B013ED">
        <w:rPr>
          <w:rFonts w:asciiTheme="minorBidi" w:hAnsiTheme="minorBidi" w:cstheme="minorBidi"/>
          <w:lang w:val="en-US"/>
        </w:rPr>
        <w:t>Conventional micro</w:t>
      </w:r>
      <w:r>
        <w:rPr>
          <w:rFonts w:asciiTheme="minorBidi" w:hAnsiTheme="minorBidi" w:cstheme="minorBidi"/>
          <w:lang w:val="en-US"/>
        </w:rPr>
        <w:t>-</w:t>
      </w:r>
      <w:r w:rsidRPr="00B013ED">
        <w:rPr>
          <w:rFonts w:asciiTheme="minorBidi" w:hAnsiTheme="minorBidi" w:cstheme="minorBidi"/>
          <w:lang w:val="en-US"/>
        </w:rPr>
        <w:t xml:space="preserve">indentation systems primarily use Vickers or Knoop indenters. Tests are performed using a specific load, and hardness values are calculated based on the dimension of the imprint generated by an indenter on the contact surface of the specimen as a function of the force applied. The hardness value is presented as a </w:t>
      </w:r>
      <w:r w:rsidRPr="00B013ED">
        <w:rPr>
          <w:rFonts w:asciiTheme="minorBidi" w:hAnsiTheme="minorBidi" w:cstheme="minorBidi"/>
        </w:rPr>
        <w:t xml:space="preserve">Vickers or Knoop hardness number, which is the ratio of the load applied to the </w:t>
      </w:r>
      <w:r w:rsidRPr="00B013ED">
        <w:rPr>
          <w:rFonts w:asciiTheme="minorBidi" w:hAnsiTheme="minorBidi" w:cstheme="minorBidi"/>
          <w:lang w:val="en-US"/>
        </w:rPr>
        <w:t>indenter, P (in kilograms) to the unrecovered projected area, A (in millimeters</w:t>
      </w:r>
      <w:r w:rsidRPr="00B013ED">
        <w:rPr>
          <w:rFonts w:asciiTheme="minorBidi" w:hAnsiTheme="minorBidi" w:cstheme="minorBidi"/>
        </w:rPr>
        <w:t xml:space="preserve"> </w:t>
      </w:r>
      <w:r w:rsidRPr="00B013ED">
        <w:rPr>
          <w:rFonts w:asciiTheme="minorBidi" w:hAnsiTheme="minorBidi" w:cstheme="minorBidi"/>
          <w:lang w:val="en-US"/>
        </w:rPr>
        <w:t xml:space="preserve">squared).  Most current </w:t>
      </w:r>
      <w:r>
        <w:rPr>
          <w:rFonts w:asciiTheme="minorBidi" w:hAnsiTheme="minorBidi" w:cstheme="minorBidi"/>
          <w:lang w:val="en-US"/>
        </w:rPr>
        <w:t>nano-indentation</w:t>
      </w:r>
      <w:r w:rsidRPr="00B013ED">
        <w:rPr>
          <w:rFonts w:asciiTheme="minorBidi" w:hAnsiTheme="minorBidi" w:cstheme="minorBidi"/>
          <w:lang w:val="en-US"/>
        </w:rPr>
        <w:t xml:space="preserve"> instruments function as load and</w:t>
      </w:r>
      <w:r w:rsidRPr="00B013ED">
        <w:rPr>
          <w:rFonts w:asciiTheme="minorBidi" w:hAnsiTheme="minorBidi" w:cstheme="minorBidi"/>
        </w:rPr>
        <w:t xml:space="preserve"> </w:t>
      </w:r>
      <w:r w:rsidRPr="00B013ED">
        <w:rPr>
          <w:rFonts w:asciiTheme="minorBidi" w:hAnsiTheme="minorBidi" w:cstheme="minorBidi"/>
          <w:lang w:val="en-US"/>
        </w:rPr>
        <w:t>displacement sensing systems in which information is derived from the penetration of indenter on loading and also from the elastic recovery of the specimen during unloading.</w:t>
      </w:r>
    </w:p>
    <w:p w:rsidR="00065FAA" w:rsidRPr="00B013ED" w:rsidRDefault="00065FAA" w:rsidP="004B383E">
      <w:pPr>
        <w:autoSpaceDE w:val="0"/>
        <w:autoSpaceDN w:val="0"/>
        <w:adjustRightInd w:val="0"/>
        <w:spacing w:line="480" w:lineRule="auto"/>
        <w:ind w:right="26"/>
        <w:jc w:val="both"/>
        <w:rPr>
          <w:rFonts w:cstheme="minorBidi"/>
          <w:lang w:val="en-US"/>
        </w:rPr>
      </w:pPr>
      <w:r w:rsidRPr="00B013ED">
        <w:rPr>
          <w:rFonts w:cstheme="minorBidi"/>
          <w:lang w:val="en-US"/>
        </w:rPr>
        <w:t xml:space="preserve">Indentation into specimens normally proceeds continuously or in incremental steps with a gradually increasing force load until a preset maximum force is reached, and then it is unloaded in a similar manner or in a multiple load/partial-unload cycle where the indenters progress in several incremental steps and partially unload at each step.  Often, an additional hold period at the maximum load is incorporated to allow for creep relaxation before unloading, enabling a more reliable estimate of the elastic modulus from the unloading slope. Indentations can be performed using a pyramid pointed indenter or a spherical indenter. </w:t>
      </w:r>
      <w:r w:rsidRPr="00B013ED">
        <w:rPr>
          <w:lang w:val="en-US"/>
        </w:rPr>
        <w:t xml:space="preserve">A diamond-pointed tipped indenter with an equilateral triangular base Berkovich indenter is the most common indenter used. The indentation is </w:t>
      </w:r>
      <w:r w:rsidRPr="00B013ED">
        <w:rPr>
          <w:lang w:val="en-US"/>
        </w:rPr>
        <w:lastRenderedPageBreak/>
        <w:t xml:space="preserve">normally carried out in a continuous load/unload cycle. Hardness is determined as a function of penetration depth in the sample.  </w:t>
      </w:r>
    </w:p>
    <w:p w:rsidR="00065FAA" w:rsidRPr="00B013ED" w:rsidRDefault="00065FAA" w:rsidP="00065FAA">
      <w:pPr>
        <w:pStyle w:val="Heading4"/>
        <w:spacing w:line="480" w:lineRule="auto"/>
      </w:pPr>
      <w:bookmarkStart w:id="193" w:name="_Toc359995811"/>
      <w:r w:rsidRPr="00B013ED">
        <w:t xml:space="preserve">Advantages of </w:t>
      </w:r>
      <w:bookmarkEnd w:id="193"/>
      <w:r>
        <w:t>nano-indentation</w:t>
      </w:r>
    </w:p>
    <w:p w:rsidR="00065FAA" w:rsidRPr="00B013ED" w:rsidRDefault="00065FAA" w:rsidP="00065FAA">
      <w:pPr>
        <w:numPr>
          <w:ilvl w:val="0"/>
          <w:numId w:val="60"/>
        </w:numPr>
        <w:tabs>
          <w:tab w:val="clear" w:pos="720"/>
          <w:tab w:val="num" w:pos="540"/>
        </w:tabs>
        <w:spacing w:after="0" w:line="480" w:lineRule="auto"/>
        <w:ind w:left="540"/>
        <w:jc w:val="both"/>
        <w:rPr>
          <w:rFonts w:cstheme="minorBidi"/>
          <w:lang w:val="en-US"/>
        </w:rPr>
      </w:pPr>
      <w:r w:rsidRPr="00B013ED">
        <w:rPr>
          <w:rFonts w:cstheme="minorBidi"/>
          <w:lang w:val="en-US"/>
        </w:rPr>
        <w:t xml:space="preserve">It can test the hardness in thin or thick samples. </w:t>
      </w:r>
    </w:p>
    <w:p w:rsidR="00065FAA" w:rsidRPr="00B013ED" w:rsidRDefault="00065FAA" w:rsidP="00065FAA">
      <w:pPr>
        <w:numPr>
          <w:ilvl w:val="0"/>
          <w:numId w:val="60"/>
        </w:numPr>
        <w:tabs>
          <w:tab w:val="left" w:pos="540"/>
        </w:tabs>
        <w:spacing w:after="0" w:line="480" w:lineRule="auto"/>
        <w:ind w:left="540"/>
        <w:jc w:val="both"/>
        <w:rPr>
          <w:rFonts w:cstheme="minorBidi"/>
          <w:lang w:val="en-US"/>
        </w:rPr>
      </w:pPr>
      <w:r w:rsidRPr="00B013ED">
        <w:rPr>
          <w:rFonts w:cstheme="minorBidi"/>
          <w:lang w:val="en-US"/>
        </w:rPr>
        <w:t xml:space="preserve">Unique pendulum design for superior vibrational stability. </w:t>
      </w:r>
    </w:p>
    <w:p w:rsidR="00065FAA" w:rsidRPr="00B013ED" w:rsidRDefault="00065FAA" w:rsidP="00065FAA">
      <w:pPr>
        <w:numPr>
          <w:ilvl w:val="0"/>
          <w:numId w:val="60"/>
        </w:numPr>
        <w:tabs>
          <w:tab w:val="left" w:pos="540"/>
        </w:tabs>
        <w:spacing w:after="0" w:line="480" w:lineRule="auto"/>
        <w:ind w:left="540"/>
        <w:jc w:val="both"/>
        <w:rPr>
          <w:rFonts w:cstheme="minorBidi"/>
          <w:lang w:val="en-US"/>
        </w:rPr>
      </w:pPr>
      <w:r w:rsidRPr="00B013ED">
        <w:rPr>
          <w:rFonts w:cstheme="minorBidi"/>
          <w:lang w:val="en-US"/>
        </w:rPr>
        <w:t>Precise repositioning technique allows investigation of small particles.</w:t>
      </w:r>
    </w:p>
    <w:p w:rsidR="00065FAA" w:rsidRPr="00B013ED" w:rsidRDefault="00065FAA" w:rsidP="00065FAA">
      <w:pPr>
        <w:numPr>
          <w:ilvl w:val="0"/>
          <w:numId w:val="60"/>
        </w:numPr>
        <w:tabs>
          <w:tab w:val="left" w:pos="540"/>
        </w:tabs>
        <w:spacing w:after="0" w:line="480" w:lineRule="auto"/>
        <w:ind w:left="540"/>
        <w:jc w:val="both"/>
        <w:rPr>
          <w:rFonts w:cstheme="minorBidi"/>
          <w:lang w:val="en-US"/>
        </w:rPr>
      </w:pPr>
      <w:r w:rsidRPr="00B013ED">
        <w:rPr>
          <w:rFonts w:cstheme="minorBidi"/>
          <w:lang w:val="en-US"/>
        </w:rPr>
        <w:t>Simple to use with user-friendly software for rapid training and fully automated data analysis.</w:t>
      </w:r>
    </w:p>
    <w:p w:rsidR="00065FAA" w:rsidRPr="00B013ED" w:rsidRDefault="00065FAA" w:rsidP="00065FAA">
      <w:pPr>
        <w:numPr>
          <w:ilvl w:val="0"/>
          <w:numId w:val="60"/>
        </w:numPr>
        <w:tabs>
          <w:tab w:val="clear" w:pos="720"/>
          <w:tab w:val="num" w:pos="540"/>
        </w:tabs>
        <w:spacing w:after="0" w:line="480" w:lineRule="auto"/>
        <w:ind w:left="540"/>
        <w:jc w:val="both"/>
        <w:rPr>
          <w:rFonts w:cstheme="minorBidi"/>
          <w:lang w:val="en-US"/>
        </w:rPr>
      </w:pPr>
      <w:r w:rsidRPr="00B013ED">
        <w:rPr>
          <w:rFonts w:cstheme="minorBidi"/>
          <w:lang w:val="en-US"/>
        </w:rPr>
        <w:t>Integration with an atomic force microscope if required.</w:t>
      </w:r>
    </w:p>
    <w:p w:rsidR="00065FAA" w:rsidRPr="00B013ED" w:rsidRDefault="00065FAA" w:rsidP="00065FAA">
      <w:pPr>
        <w:numPr>
          <w:ilvl w:val="0"/>
          <w:numId w:val="60"/>
        </w:numPr>
        <w:tabs>
          <w:tab w:val="clear" w:pos="720"/>
          <w:tab w:val="num" w:pos="540"/>
        </w:tabs>
        <w:spacing w:after="0" w:line="480" w:lineRule="auto"/>
        <w:ind w:left="540"/>
        <w:jc w:val="both"/>
        <w:rPr>
          <w:rFonts w:cstheme="minorBidi"/>
          <w:lang w:val="en-US"/>
        </w:rPr>
      </w:pPr>
      <w:r w:rsidRPr="00B013ED">
        <w:rPr>
          <w:rFonts w:cstheme="minorBidi"/>
          <w:lang w:val="en-US"/>
        </w:rPr>
        <w:t xml:space="preserve">Fully automated scheduling system allows overnight operation to ensure maximum productivity up to 100 </w:t>
      </w:r>
      <w:proofErr w:type="gramStart"/>
      <w:r>
        <w:rPr>
          <w:rFonts w:cstheme="minorBidi"/>
          <w:lang w:val="en-US"/>
        </w:rPr>
        <w:t>nano-indentation</w:t>
      </w:r>
      <w:proofErr w:type="gramEnd"/>
      <w:r w:rsidRPr="00B013ED">
        <w:rPr>
          <w:rFonts w:cstheme="minorBidi"/>
          <w:lang w:val="en-US"/>
        </w:rPr>
        <w:t xml:space="preserve">. </w:t>
      </w:r>
    </w:p>
    <w:p w:rsidR="00065FAA" w:rsidRPr="006963A6" w:rsidRDefault="00065FAA" w:rsidP="00065FAA">
      <w:pPr>
        <w:numPr>
          <w:ilvl w:val="0"/>
          <w:numId w:val="60"/>
        </w:numPr>
        <w:tabs>
          <w:tab w:val="clear" w:pos="720"/>
          <w:tab w:val="num" w:pos="540"/>
        </w:tabs>
        <w:spacing w:after="0" w:line="480" w:lineRule="auto"/>
        <w:ind w:left="540"/>
        <w:jc w:val="both"/>
        <w:rPr>
          <w:rFonts w:cstheme="minorBidi"/>
          <w:lang w:val="en-US"/>
        </w:rPr>
      </w:pPr>
      <w:r w:rsidRPr="00B013ED">
        <w:rPr>
          <w:rFonts w:cstheme="minorBidi"/>
          <w:lang w:val="en-US"/>
        </w:rPr>
        <w:t>Environmental control for excellent data reproducibility even at ultra-load.</w:t>
      </w:r>
    </w:p>
    <w:p w:rsidR="00065FAA" w:rsidRPr="00B013ED" w:rsidRDefault="00065FAA" w:rsidP="00065FAA">
      <w:pPr>
        <w:spacing w:after="0" w:line="240" w:lineRule="auto"/>
        <w:rPr>
          <w:rFonts w:cstheme="minorBidi"/>
          <w:b/>
          <w:bCs/>
          <w:color w:val="000000" w:themeColor="text1"/>
        </w:rPr>
      </w:pPr>
      <w:r w:rsidRPr="00B013ED">
        <w:rPr>
          <w:rFonts w:cstheme="minorBidi"/>
          <w:b/>
          <w:bCs/>
          <w:color w:val="000000" w:themeColor="text1"/>
        </w:rPr>
        <w:br w:type="page"/>
      </w:r>
    </w:p>
    <w:p w:rsidR="00065FAA" w:rsidRPr="00B013ED" w:rsidRDefault="00065FAA" w:rsidP="00065FAA">
      <w:pPr>
        <w:pStyle w:val="Heading3"/>
        <w:spacing w:line="480" w:lineRule="auto"/>
      </w:pPr>
      <w:bookmarkStart w:id="194" w:name="_Toc359995812"/>
      <w:bookmarkStart w:id="195" w:name="_Toc370819222"/>
      <w:r w:rsidRPr="00B013ED">
        <w:lastRenderedPageBreak/>
        <w:t>Summary of literature review justifying aims of this study</w:t>
      </w:r>
      <w:bookmarkEnd w:id="194"/>
      <w:bookmarkEnd w:id="195"/>
    </w:p>
    <w:p w:rsidR="00065FAA" w:rsidRDefault="00065FAA" w:rsidP="00065FAA">
      <w:pPr>
        <w:spacing w:line="480" w:lineRule="auto"/>
        <w:jc w:val="both"/>
        <w:rPr>
          <w:rFonts w:cstheme="minorBidi"/>
          <w:bCs/>
          <w:color w:val="000000" w:themeColor="text1"/>
        </w:rPr>
      </w:pPr>
      <w:r w:rsidRPr="00B013ED">
        <w:rPr>
          <w:rFonts w:cstheme="minorBidi"/>
          <w:bCs/>
          <w:color w:val="000000" w:themeColor="text1"/>
        </w:rPr>
        <w:t xml:space="preserve">It is clear from the systematic review and the review of the literature that the management of </w:t>
      </w:r>
      <w:r>
        <w:rPr>
          <w:rFonts w:cstheme="minorBidi"/>
          <w:bCs/>
          <w:color w:val="000000" w:themeColor="text1"/>
        </w:rPr>
        <w:t>non-vital</w:t>
      </w:r>
      <w:r w:rsidRPr="00B013ED">
        <w:rPr>
          <w:rFonts w:cstheme="minorBidi"/>
          <w:bCs/>
          <w:color w:val="000000" w:themeColor="text1"/>
        </w:rPr>
        <w:t xml:space="preserve"> immature teeth still pose a significant clinical challenge and the long term prognosis is questionable with the current techniques involving the use of NSCH and MTA.  In particular NSCH seems to have a negative influence on the structure of dentine through long term use, although the evidence for this is not definitive.  There is a lack of data on the long term effect that MTA might have on the structural integrity of the dentine.  Therefore the aim</w:t>
      </w:r>
      <w:r>
        <w:rPr>
          <w:rFonts w:cstheme="minorBidi"/>
          <w:bCs/>
          <w:color w:val="000000" w:themeColor="text1"/>
        </w:rPr>
        <w:t>s of this study were as follows.</w:t>
      </w:r>
    </w:p>
    <w:p w:rsidR="00065FAA" w:rsidRPr="00B013ED" w:rsidRDefault="00065FAA" w:rsidP="002B54A2">
      <w:pPr>
        <w:pStyle w:val="Heading2"/>
      </w:pPr>
      <w:bookmarkStart w:id="196" w:name="_Toc359995813"/>
      <w:bookmarkStart w:id="197" w:name="_Toc370819223"/>
      <w:r w:rsidRPr="00B013ED">
        <w:t>AIMS of the study</w:t>
      </w:r>
      <w:bookmarkEnd w:id="196"/>
      <w:bookmarkEnd w:id="197"/>
    </w:p>
    <w:p w:rsidR="00065FAA" w:rsidRPr="00B013ED" w:rsidRDefault="00065FAA" w:rsidP="00065FAA">
      <w:pPr>
        <w:spacing w:line="480" w:lineRule="auto"/>
        <w:jc w:val="both"/>
      </w:pPr>
      <w:r w:rsidRPr="00B013ED">
        <w:rPr>
          <w:b/>
          <w:bCs/>
        </w:rPr>
        <w:t>The primary aim</w:t>
      </w:r>
      <w:r w:rsidRPr="00B013ED">
        <w:t xml:space="preserve"> of this study was to evaluate the effect of non</w:t>
      </w:r>
      <w:r>
        <w:t>-</w:t>
      </w:r>
      <w:r w:rsidRPr="00B013ED">
        <w:t>hard setting calcium hydroxide (NSCH) and mineral trioxide aggregate (MTA) on the hardness and elasticity of human dentine.</w:t>
      </w:r>
    </w:p>
    <w:p w:rsidR="00065FAA" w:rsidRPr="00B013ED" w:rsidRDefault="00065FAA" w:rsidP="00065FAA">
      <w:pPr>
        <w:spacing w:line="480" w:lineRule="auto"/>
        <w:jc w:val="both"/>
      </w:pPr>
      <w:r w:rsidRPr="00B013ED">
        <w:rPr>
          <w:b/>
          <w:bCs/>
        </w:rPr>
        <w:t>The secondary aims</w:t>
      </w:r>
      <w:r w:rsidRPr="00B013ED">
        <w:t xml:space="preserve"> of this study were:</w:t>
      </w:r>
    </w:p>
    <w:p w:rsidR="00065FAA" w:rsidRPr="00B013ED" w:rsidRDefault="00065FAA" w:rsidP="00065FAA">
      <w:pPr>
        <w:pStyle w:val="ListParagraph"/>
        <w:numPr>
          <w:ilvl w:val="0"/>
          <w:numId w:val="67"/>
        </w:numPr>
        <w:spacing w:line="480" w:lineRule="auto"/>
        <w:jc w:val="both"/>
      </w:pPr>
      <w:r w:rsidRPr="00B013ED">
        <w:t xml:space="preserve">To study the effects of NSCH and MTA on the fracture resistance of dentine that has been subjected to application by NSCH and MTA compared </w:t>
      </w:r>
      <w:r>
        <w:t>to a</w:t>
      </w:r>
      <w:r w:rsidRPr="00B013ED">
        <w:t xml:space="preserve"> control</w:t>
      </w:r>
      <w:r>
        <w:t xml:space="preserve"> without application</w:t>
      </w:r>
      <w:r w:rsidRPr="00B013ED">
        <w:t>.</w:t>
      </w:r>
    </w:p>
    <w:p w:rsidR="00065FAA" w:rsidRPr="00F1366B" w:rsidRDefault="00065FAA" w:rsidP="00065FAA">
      <w:pPr>
        <w:pStyle w:val="ListParagraph"/>
        <w:numPr>
          <w:ilvl w:val="0"/>
          <w:numId w:val="67"/>
        </w:numPr>
        <w:spacing w:line="480" w:lineRule="auto"/>
        <w:jc w:val="both"/>
      </w:pPr>
      <w:r w:rsidRPr="00B013ED">
        <w:t>To carry out a mechanical characterisation of tooth samples.</w:t>
      </w:r>
    </w:p>
    <w:p w:rsidR="00065FAA" w:rsidRPr="00B013ED" w:rsidRDefault="00065FAA" w:rsidP="00065FAA">
      <w:pPr>
        <w:spacing w:after="0" w:line="240" w:lineRule="auto"/>
        <w:rPr>
          <w:rFonts w:cstheme="minorBidi"/>
          <w:lang w:val="en-US"/>
        </w:rPr>
      </w:pPr>
      <w:r w:rsidRPr="00B013ED">
        <w:rPr>
          <w:rFonts w:cstheme="minorBidi"/>
          <w:lang w:val="en-US"/>
        </w:rPr>
        <w:br w:type="page"/>
      </w:r>
    </w:p>
    <w:p w:rsidR="00250F94" w:rsidRPr="00D35A4B" w:rsidRDefault="00250F94" w:rsidP="002B54A2">
      <w:pPr>
        <w:pStyle w:val="Heading2"/>
      </w:pPr>
      <w:bookmarkStart w:id="198" w:name="_Toc370819224"/>
      <w:r w:rsidRPr="00D35A4B">
        <w:lastRenderedPageBreak/>
        <w:t>Methodology:</w:t>
      </w:r>
      <w:bookmarkEnd w:id="110"/>
      <w:bookmarkEnd w:id="198"/>
      <w:r w:rsidRPr="00D35A4B">
        <w:t xml:space="preserve"> </w:t>
      </w:r>
    </w:p>
    <w:p w:rsidR="00250F94" w:rsidRPr="00D35A4B" w:rsidRDefault="00250F94" w:rsidP="00D35A4B">
      <w:pPr>
        <w:pStyle w:val="Heading3"/>
        <w:spacing w:line="480" w:lineRule="auto"/>
        <w:rPr>
          <w:rFonts w:cstheme="minorBidi"/>
        </w:rPr>
      </w:pPr>
      <w:bookmarkStart w:id="199" w:name="_Toc359995815"/>
      <w:bookmarkStart w:id="200" w:name="_Toc370819225"/>
      <w:r w:rsidRPr="00D35A4B">
        <w:rPr>
          <w:rFonts w:cstheme="minorBidi"/>
        </w:rPr>
        <w:t>Test materials used in the study</w:t>
      </w:r>
      <w:bookmarkEnd w:id="111"/>
      <w:bookmarkEnd w:id="112"/>
      <w:bookmarkEnd w:id="113"/>
      <w:bookmarkEnd w:id="114"/>
      <w:bookmarkEnd w:id="199"/>
      <w:bookmarkEnd w:id="200"/>
      <w:r w:rsidRPr="00D35A4B">
        <w:rPr>
          <w:rFonts w:cstheme="minorBidi"/>
        </w:rPr>
        <w:t xml:space="preserve"> </w:t>
      </w:r>
    </w:p>
    <w:p w:rsidR="001727CA" w:rsidRPr="00D35A4B" w:rsidRDefault="001727CA" w:rsidP="001727CA">
      <w:pPr>
        <w:spacing w:line="480" w:lineRule="auto"/>
        <w:rPr>
          <w:rFonts w:cstheme="minorBidi"/>
        </w:rPr>
      </w:pPr>
      <w:bookmarkStart w:id="201" w:name="_Toc359995816"/>
      <w:bookmarkStart w:id="202" w:name="_Toc359995869"/>
      <w:bookmarkStart w:id="203" w:name="_Toc359995870"/>
      <w:bookmarkEnd w:id="201"/>
      <w:r w:rsidRPr="00D35A4B">
        <w:rPr>
          <w:rFonts w:cstheme="minorBidi"/>
        </w:rPr>
        <w:t>The materials used in this study were:</w:t>
      </w:r>
      <w:bookmarkEnd w:id="202"/>
    </w:p>
    <w:p w:rsidR="001727CA" w:rsidRPr="00D35A4B" w:rsidRDefault="001727CA" w:rsidP="001727CA">
      <w:pPr>
        <w:pStyle w:val="ListParagraph"/>
        <w:numPr>
          <w:ilvl w:val="0"/>
          <w:numId w:val="68"/>
        </w:numPr>
        <w:spacing w:after="0" w:line="480" w:lineRule="auto"/>
        <w:jc w:val="both"/>
        <w:rPr>
          <w:rFonts w:cstheme="minorBidi"/>
        </w:rPr>
      </w:pPr>
      <w:r w:rsidRPr="00D35A4B">
        <w:rPr>
          <w:rFonts w:cstheme="minorBidi"/>
        </w:rPr>
        <w:t>Non</w:t>
      </w:r>
      <w:r>
        <w:rPr>
          <w:rFonts w:cstheme="minorBidi"/>
        </w:rPr>
        <w:t>-</w:t>
      </w:r>
      <w:r w:rsidRPr="00D35A4B">
        <w:rPr>
          <w:rFonts w:cstheme="minorBidi"/>
        </w:rPr>
        <w:t>setting calcium hydroxide (UltraCal XS, Ultradent, USA)</w:t>
      </w:r>
    </w:p>
    <w:p w:rsidR="001727CA" w:rsidRPr="00D35A4B" w:rsidRDefault="001727CA" w:rsidP="001727CA">
      <w:pPr>
        <w:spacing w:after="0" w:line="480" w:lineRule="auto"/>
        <w:jc w:val="both"/>
        <w:rPr>
          <w:rFonts w:cstheme="minorBidi"/>
        </w:rPr>
      </w:pPr>
      <w:r w:rsidRPr="00D35A4B">
        <w:rPr>
          <w:rFonts w:cstheme="minorBidi"/>
        </w:rPr>
        <w:t>This material was in the form of</w:t>
      </w:r>
      <w:r>
        <w:rPr>
          <w:rFonts w:cstheme="minorBidi"/>
        </w:rPr>
        <w:t xml:space="preserve"> an</w:t>
      </w:r>
      <w:r w:rsidRPr="00D35A4B">
        <w:rPr>
          <w:rFonts w:cstheme="minorBidi"/>
        </w:rPr>
        <w:t xml:space="preserve"> aqueous paste at pH 12.5, containing 35% concentration of calcium hydroxide. The reason this particular product of calcium hydroxide was used was because it was the only one on the market that flows easily through the NaviTip making it easier for its uniform application in our experimental situation.</w:t>
      </w:r>
    </w:p>
    <w:p w:rsidR="001727CA" w:rsidRPr="00A10BCE" w:rsidRDefault="001727CA" w:rsidP="001727CA">
      <w:pPr>
        <w:spacing w:after="0" w:line="480" w:lineRule="auto"/>
        <w:jc w:val="both"/>
        <w:rPr>
          <w:rFonts w:cstheme="minorBidi"/>
          <w:color w:val="000000"/>
        </w:rPr>
      </w:pPr>
      <w:r w:rsidRPr="00B013ED">
        <w:rPr>
          <w:rFonts w:cstheme="minorBidi"/>
        </w:rPr>
        <w:t>2. Mineral Trioxide Aggregate (</w:t>
      </w:r>
      <w:r w:rsidRPr="00B013ED">
        <w:rPr>
          <w:rFonts w:cstheme="minorBidi"/>
          <w:color w:val="000000"/>
        </w:rPr>
        <w:t>ProRoot</w:t>
      </w:r>
      <w:r w:rsidRPr="00B013ED">
        <w:rPr>
          <w:rFonts w:cstheme="minorBidi"/>
          <w:vertAlign w:val="superscript"/>
        </w:rPr>
        <w:t>®</w:t>
      </w:r>
      <w:r w:rsidRPr="00B013ED">
        <w:rPr>
          <w:rFonts w:cstheme="minorBidi"/>
          <w:color w:val="000000"/>
        </w:rPr>
        <w:t xml:space="preserve"> white, Tuslsa Dental Specialties, USA).  The pH of this material was 12.5 and t</w:t>
      </w:r>
      <w:r>
        <w:rPr>
          <w:rFonts w:cstheme="minorBidi"/>
          <w:color w:val="000000"/>
        </w:rPr>
        <w:t>he</w:t>
      </w:r>
      <w:r w:rsidRPr="00B013ED">
        <w:rPr>
          <w:rFonts w:cstheme="minorBidi"/>
          <w:color w:val="000000"/>
        </w:rPr>
        <w:t xml:space="preserve"> setting time was between 1-2 hours. </w:t>
      </w:r>
      <w:proofErr w:type="gramStart"/>
      <w:r w:rsidRPr="00B013ED">
        <w:rPr>
          <w:rFonts w:cstheme="minorBidi"/>
          <w:color w:val="000000"/>
        </w:rPr>
        <w:t>(Manufacture</w:t>
      </w:r>
      <w:r>
        <w:rPr>
          <w:rFonts w:cstheme="minorBidi"/>
          <w:color w:val="000000"/>
        </w:rPr>
        <w:t>r’s</w:t>
      </w:r>
      <w:r w:rsidRPr="00B013ED">
        <w:rPr>
          <w:rFonts w:cstheme="minorBidi"/>
          <w:color w:val="000000"/>
        </w:rPr>
        <w:t xml:space="preserve"> instruction sheet).</w:t>
      </w:r>
      <w:proofErr w:type="gramEnd"/>
      <w:r w:rsidRPr="00B013ED">
        <w:rPr>
          <w:rFonts w:cstheme="minorBidi"/>
          <w:color w:val="000000"/>
        </w:rPr>
        <w:t xml:space="preserve">  </w:t>
      </w:r>
    </w:p>
    <w:p w:rsidR="00250F94" w:rsidRPr="00B013ED" w:rsidRDefault="00250F94" w:rsidP="004631AF">
      <w:pPr>
        <w:pStyle w:val="Heading3"/>
        <w:spacing w:line="480" w:lineRule="auto"/>
      </w:pPr>
      <w:bookmarkStart w:id="204" w:name="_Toc370819226"/>
      <w:r w:rsidRPr="00B013ED">
        <w:t>Sample size calculation</w:t>
      </w:r>
      <w:bookmarkEnd w:id="203"/>
      <w:bookmarkEnd w:id="204"/>
    </w:p>
    <w:p w:rsidR="001727CA" w:rsidRDefault="001727CA" w:rsidP="001727CA">
      <w:pPr>
        <w:spacing w:after="0" w:line="480" w:lineRule="auto"/>
      </w:pPr>
      <w:bookmarkStart w:id="205" w:name="_Toc180862550"/>
      <w:bookmarkStart w:id="206" w:name="_Toc180862619"/>
      <w:bookmarkStart w:id="207" w:name="_Toc182295485"/>
      <w:bookmarkStart w:id="208" w:name="_Toc226789702"/>
      <w:bookmarkStart w:id="209" w:name="_Toc359995871"/>
      <w:r w:rsidRPr="00B013ED">
        <w:t xml:space="preserve">In this study we looked at previous data which helped us calculate the sample size for our study (Angker and Swain, 2006; Twati </w:t>
      </w:r>
      <w:r>
        <w:rPr>
          <w:i/>
          <w:iCs/>
        </w:rPr>
        <w:t xml:space="preserve">et </w:t>
      </w:r>
      <w:r w:rsidRPr="00B013ED">
        <w:rPr>
          <w:i/>
          <w:iCs/>
        </w:rPr>
        <w:t>al</w:t>
      </w:r>
      <w:r>
        <w:rPr>
          <w:i/>
          <w:iCs/>
        </w:rPr>
        <w:t>.,</w:t>
      </w:r>
      <w:r w:rsidRPr="00B013ED">
        <w:t xml:space="preserve"> 2009).</w:t>
      </w:r>
      <w:r>
        <w:t xml:space="preserve">  </w:t>
      </w:r>
    </w:p>
    <w:p w:rsidR="001727CA" w:rsidRDefault="001727CA" w:rsidP="001727CA">
      <w:pPr>
        <w:spacing w:after="0" w:line="480" w:lineRule="auto"/>
        <w:jc w:val="both"/>
      </w:pPr>
      <w:r>
        <w:t>We used the following formula to calculate the sample size:</w:t>
      </w:r>
    </w:p>
    <w:p w:rsidR="001727CA" w:rsidRDefault="001727CA" w:rsidP="001727CA">
      <w:pPr>
        <w:spacing w:after="0" w:line="480" w:lineRule="auto"/>
        <w:jc w:val="both"/>
      </w:pPr>
      <w:r>
        <w:t>N = 2 x (standard deviation) 2 x (magic number) +1</w:t>
      </w:r>
    </w:p>
    <w:p w:rsidR="001727CA" w:rsidRDefault="001727CA" w:rsidP="001727CA">
      <w:pPr>
        <w:spacing w:after="0" w:line="480" w:lineRule="auto"/>
        <w:jc w:val="both"/>
      </w:pPr>
      <w:r>
        <w:t>(Difference in means)</w:t>
      </w:r>
    </w:p>
    <w:p w:rsidR="001727CA" w:rsidRDefault="001727CA" w:rsidP="001727CA">
      <w:pPr>
        <w:spacing w:after="0" w:line="480" w:lineRule="auto"/>
        <w:jc w:val="both"/>
      </w:pPr>
      <w:r w:rsidRPr="001727CA">
        <w:t xml:space="preserve">Data from our previous study (Twati </w:t>
      </w:r>
      <w:r w:rsidRPr="001727CA">
        <w:rPr>
          <w:i/>
          <w:iCs/>
        </w:rPr>
        <w:t xml:space="preserve">et </w:t>
      </w:r>
      <w:proofErr w:type="gramStart"/>
      <w:r w:rsidRPr="001727CA">
        <w:rPr>
          <w:i/>
          <w:iCs/>
        </w:rPr>
        <w:t>al</w:t>
      </w:r>
      <w:r w:rsidRPr="001727CA">
        <w:t xml:space="preserve"> .</w:t>
      </w:r>
      <w:proofErr w:type="gramEnd"/>
      <w:r w:rsidRPr="001727CA">
        <w:t>, 2009) showed</w:t>
      </w:r>
      <w:r>
        <w:t xml:space="preserve"> that the  SD = 5.19 and the difference in mean =13.21.</w:t>
      </w:r>
    </w:p>
    <w:p w:rsidR="001727CA" w:rsidRPr="001727CA" w:rsidRDefault="001727CA" w:rsidP="001F6EED">
      <w:pPr>
        <w:spacing w:after="0" w:line="480" w:lineRule="auto"/>
        <w:jc w:val="both"/>
        <w:rPr>
          <w:rFonts w:cstheme="minorBidi"/>
          <w:szCs w:val="24"/>
        </w:rPr>
      </w:pPr>
      <w:r w:rsidRPr="001727CA">
        <w:rPr>
          <w:rFonts w:cstheme="minorBidi"/>
          <w:szCs w:val="24"/>
        </w:rPr>
        <w:lastRenderedPageBreak/>
        <w:t>Using these data the minimum numbers of slabs per group were found to be 5. However after consulting our LDI statistician the sample size was raised to 9 slabs for each group</w:t>
      </w:r>
      <w:r w:rsidR="001F6EED">
        <w:rPr>
          <w:rFonts w:cstheme="minorBidi"/>
          <w:szCs w:val="24"/>
        </w:rPr>
        <w:t xml:space="preserve"> </w:t>
      </w:r>
    </w:p>
    <w:p w:rsidR="00250F94" w:rsidRPr="00B013ED" w:rsidRDefault="00250F94" w:rsidP="00CC6F0F">
      <w:pPr>
        <w:pStyle w:val="Heading4"/>
        <w:spacing w:line="480" w:lineRule="auto"/>
      </w:pPr>
      <w:r w:rsidRPr="00B013ED">
        <w:t>Sample collection</w:t>
      </w:r>
      <w:bookmarkEnd w:id="205"/>
      <w:bookmarkEnd w:id="206"/>
      <w:bookmarkEnd w:id="207"/>
      <w:bookmarkEnd w:id="208"/>
      <w:bookmarkEnd w:id="209"/>
    </w:p>
    <w:p w:rsidR="001727CA" w:rsidRPr="00B013ED" w:rsidRDefault="001727CA" w:rsidP="001727CA">
      <w:pPr>
        <w:spacing w:line="480" w:lineRule="auto"/>
      </w:pPr>
      <w:bookmarkStart w:id="210" w:name="_Toc180862551"/>
      <w:bookmarkStart w:id="211" w:name="_Toc180862620"/>
      <w:bookmarkStart w:id="212" w:name="_Toc182295486"/>
      <w:bookmarkStart w:id="213" w:name="_Toc226789703"/>
      <w:bookmarkStart w:id="214" w:name="_Toc359995872"/>
      <w:r w:rsidRPr="00B013ED">
        <w:t xml:space="preserve">Ethical approval was obtained from the LDI tissue bank (Tissue bank application No: 131008/WT/15) for collecting extracted human teeth. </w:t>
      </w:r>
    </w:p>
    <w:p w:rsidR="001727CA" w:rsidRPr="00B013ED" w:rsidRDefault="001727CA" w:rsidP="001727CA">
      <w:pPr>
        <w:spacing w:line="480" w:lineRule="auto"/>
      </w:pPr>
      <w:r w:rsidRPr="00B013ED">
        <w:t>Twenty</w:t>
      </w:r>
      <w:r>
        <w:t>-</w:t>
      </w:r>
      <w:r w:rsidRPr="00B013ED">
        <w:t>seven single rooted extracted permanent human teeth were collected from the One Day Unit (ODU) and Sedation Clinics at the Leeds Dental Institute.  The teeth had been extracted due to periodontal or orthodontic reasons with clinically intact crowns and roots.</w:t>
      </w:r>
    </w:p>
    <w:p w:rsidR="001727CA" w:rsidRPr="00B013ED" w:rsidRDefault="001727CA" w:rsidP="001727CA">
      <w:pPr>
        <w:spacing w:line="480" w:lineRule="auto"/>
      </w:pPr>
      <w:r w:rsidRPr="00B013ED">
        <w:t xml:space="preserve">Immediately after collection the teeth were cleaned with distilled water.  All debris and soft tissue remnants on the root surface were removed with a scaler, after which the teeth were immersed in thymol for storage until their use in the study.  Patients were consented and informed that the teeth would be used for training or research purposes. </w:t>
      </w:r>
    </w:p>
    <w:p w:rsidR="00250F94" w:rsidRPr="00B013ED" w:rsidRDefault="00250F94" w:rsidP="00A10BCE">
      <w:pPr>
        <w:pStyle w:val="Heading3"/>
        <w:spacing w:line="480" w:lineRule="auto"/>
      </w:pPr>
      <w:bookmarkStart w:id="215" w:name="_Toc370819227"/>
      <w:r w:rsidRPr="00B013ED">
        <w:t>Inclusion Criteria for Teeth</w:t>
      </w:r>
      <w:bookmarkEnd w:id="210"/>
      <w:bookmarkEnd w:id="211"/>
      <w:bookmarkEnd w:id="212"/>
      <w:bookmarkEnd w:id="213"/>
      <w:bookmarkEnd w:id="214"/>
      <w:bookmarkEnd w:id="215"/>
    </w:p>
    <w:p w:rsidR="001727CA" w:rsidRPr="00B013ED" w:rsidRDefault="001727CA" w:rsidP="001727CA">
      <w:pPr>
        <w:spacing w:line="480" w:lineRule="auto"/>
      </w:pPr>
      <w:r w:rsidRPr="00B013ED">
        <w:t>The teeth were inspected to exclude those with defective, carious or cracked roots and crowns.  Inclusion criteria for teeth were as follows:</w:t>
      </w:r>
    </w:p>
    <w:p w:rsidR="001727CA" w:rsidRPr="00B013ED" w:rsidRDefault="001727CA" w:rsidP="001727CA">
      <w:pPr>
        <w:numPr>
          <w:ilvl w:val="0"/>
          <w:numId w:val="66"/>
        </w:numPr>
        <w:spacing w:after="0" w:line="480" w:lineRule="auto"/>
        <w:jc w:val="both"/>
      </w:pPr>
      <w:r w:rsidRPr="00B013ED">
        <w:t>Non</w:t>
      </w:r>
      <w:r>
        <w:t>-</w:t>
      </w:r>
      <w:r w:rsidRPr="00B013ED">
        <w:t>defective roots or crowns (intact teeth)</w:t>
      </w:r>
    </w:p>
    <w:p w:rsidR="001727CA" w:rsidRPr="00B013ED" w:rsidRDefault="001727CA" w:rsidP="001727CA">
      <w:pPr>
        <w:numPr>
          <w:ilvl w:val="0"/>
          <w:numId w:val="66"/>
        </w:numPr>
        <w:spacing w:after="0" w:line="480" w:lineRule="auto"/>
        <w:jc w:val="both"/>
      </w:pPr>
      <w:r w:rsidRPr="00B013ED">
        <w:t>Crack-free roots and crowns.</w:t>
      </w:r>
    </w:p>
    <w:p w:rsidR="001727CA" w:rsidRPr="00B013ED" w:rsidRDefault="001727CA" w:rsidP="001727CA">
      <w:pPr>
        <w:numPr>
          <w:ilvl w:val="0"/>
          <w:numId w:val="66"/>
        </w:numPr>
        <w:spacing w:after="0" w:line="480" w:lineRule="auto"/>
        <w:jc w:val="both"/>
      </w:pPr>
      <w:r w:rsidRPr="00B013ED">
        <w:t>Long, single rooted teeth such as canines or premolar teeth.</w:t>
      </w:r>
    </w:p>
    <w:p w:rsidR="001727CA" w:rsidRDefault="001727CA" w:rsidP="001727CA">
      <w:pPr>
        <w:numPr>
          <w:ilvl w:val="0"/>
          <w:numId w:val="66"/>
        </w:numPr>
        <w:spacing w:after="0" w:line="480" w:lineRule="auto"/>
        <w:jc w:val="both"/>
      </w:pPr>
      <w:r w:rsidRPr="00B013ED">
        <w:t>Non-curved or non-hypercemented roots</w:t>
      </w:r>
    </w:p>
    <w:p w:rsidR="00CD59B5" w:rsidRPr="00B013ED" w:rsidRDefault="00CD59B5" w:rsidP="001727CA">
      <w:pPr>
        <w:numPr>
          <w:ilvl w:val="0"/>
          <w:numId w:val="66"/>
        </w:numPr>
        <w:spacing w:after="0" w:line="480" w:lineRule="auto"/>
        <w:jc w:val="both"/>
      </w:pPr>
      <w:r>
        <w:lastRenderedPageBreak/>
        <w:t>Orthodontic extraction.</w:t>
      </w:r>
    </w:p>
    <w:p w:rsidR="00250F94" w:rsidRPr="00B013ED" w:rsidRDefault="00250F94" w:rsidP="003F1EA1">
      <w:pPr>
        <w:pStyle w:val="Heading3"/>
      </w:pPr>
      <w:bookmarkStart w:id="216" w:name="_Toc180862552"/>
      <w:bookmarkStart w:id="217" w:name="_Toc180862621"/>
      <w:bookmarkStart w:id="218" w:name="_Toc182295487"/>
      <w:bookmarkStart w:id="219" w:name="_Toc226789704"/>
      <w:bookmarkStart w:id="220" w:name="_Toc359995873"/>
      <w:bookmarkStart w:id="221" w:name="_Ref361609008"/>
      <w:bookmarkStart w:id="222" w:name="_Ref361609021"/>
      <w:bookmarkStart w:id="223" w:name="_Ref361609084"/>
      <w:bookmarkStart w:id="224" w:name="_Toc370819228"/>
      <w:r w:rsidRPr="00B013ED">
        <w:t>Preparation of Specimens</w:t>
      </w:r>
      <w:bookmarkEnd w:id="216"/>
      <w:bookmarkEnd w:id="217"/>
      <w:bookmarkEnd w:id="218"/>
      <w:bookmarkEnd w:id="219"/>
      <w:bookmarkEnd w:id="220"/>
      <w:bookmarkEnd w:id="221"/>
      <w:bookmarkEnd w:id="222"/>
      <w:bookmarkEnd w:id="223"/>
      <w:bookmarkEnd w:id="224"/>
    </w:p>
    <w:p w:rsidR="001727CA" w:rsidRPr="001727CA" w:rsidRDefault="001727CA" w:rsidP="00A964F3">
      <w:pPr>
        <w:keepNext/>
        <w:keepLines/>
        <w:spacing w:before="240" w:after="240" w:line="480" w:lineRule="auto"/>
        <w:rPr>
          <w:bCs/>
        </w:rPr>
      </w:pPr>
      <w:bookmarkStart w:id="225" w:name="_Toc359956032"/>
      <w:r w:rsidRPr="00B013ED">
        <w:rPr>
          <w:bCs/>
        </w:rPr>
        <w:t xml:space="preserve">Initially the crowns of the teeth were separated from the roots with a Precision Diamond Wire Saw. (Well, Made in USA).  Each root was then sectioned longitudinally into two sections </w:t>
      </w:r>
      <w:r w:rsidR="00250F94" w:rsidRPr="00B013ED">
        <w:rPr>
          <w:bCs/>
        </w:rPr>
        <w:t>(</w:t>
      </w:r>
      <w:bookmarkStart w:id="226" w:name="_Toc360367331"/>
      <w:r w:rsidRPr="001727CA">
        <w:rPr>
          <w:bCs/>
          <w:szCs w:val="24"/>
        </w:rPr>
        <w:fldChar w:fldCharType="begin"/>
      </w:r>
      <w:r w:rsidRPr="001727CA">
        <w:rPr>
          <w:bCs/>
          <w:szCs w:val="24"/>
        </w:rPr>
        <w:instrText xml:space="preserve"> REF _Ref361077410 \h  \* MERGEFORMAT </w:instrText>
      </w:r>
      <w:r w:rsidRPr="001727CA">
        <w:rPr>
          <w:bCs/>
          <w:szCs w:val="24"/>
        </w:rPr>
      </w:r>
      <w:r w:rsidRPr="001727CA">
        <w:rPr>
          <w:bCs/>
          <w:szCs w:val="24"/>
        </w:rPr>
        <w:fldChar w:fldCharType="separate"/>
      </w:r>
      <w:r w:rsidR="00374B77">
        <w:rPr>
          <w:b/>
          <w:szCs w:val="24"/>
          <w:lang w:val="en-US"/>
        </w:rPr>
        <w:t>Error! Not a valid bookmark self-reference.</w:t>
      </w:r>
      <w:r w:rsidRPr="001727CA">
        <w:rPr>
          <w:bCs/>
          <w:szCs w:val="24"/>
        </w:rPr>
        <w:fldChar w:fldCharType="end"/>
      </w:r>
      <w:r w:rsidR="00A964F3">
        <w:rPr>
          <w:bCs/>
          <w:szCs w:val="24"/>
        </w:rPr>
        <w:t>)</w:t>
      </w:r>
      <w:r w:rsidR="00250F94" w:rsidRPr="00DC1AF7">
        <w:rPr>
          <w:bCs/>
        </w:rPr>
        <w:t>.</w:t>
      </w:r>
      <w:r w:rsidR="00250F94" w:rsidRPr="00B013ED">
        <w:rPr>
          <w:bCs/>
        </w:rPr>
        <w:t xml:space="preserve"> </w:t>
      </w:r>
      <w:bookmarkStart w:id="227" w:name="_Toc226789705"/>
      <w:bookmarkStart w:id="228" w:name="_Toc359995874"/>
      <w:bookmarkStart w:id="229" w:name="_Toc180862553"/>
      <w:bookmarkStart w:id="230" w:name="_Toc180862622"/>
      <w:bookmarkStart w:id="231" w:name="_Toc182295488"/>
      <w:bookmarkEnd w:id="225"/>
      <w:bookmarkEnd w:id="226"/>
      <w:r w:rsidRPr="001727CA">
        <w:rPr>
          <w:bCs/>
        </w:rPr>
        <w:t xml:space="preserve">In total 54 dentine slabs were prepared from the 27 teeth.  The slabs were divided into experimental groups where calcium hydroxide or MTA were applied to the surface dentine, and the control groups where no medicament was used, but slabs were otherwise treated in the same way as the experimental ones.  </w:t>
      </w:r>
    </w:p>
    <w:p w:rsidR="004D6CA9" w:rsidRPr="004D6CA9" w:rsidRDefault="00250F94" w:rsidP="001727CA">
      <w:pPr>
        <w:pStyle w:val="Heading3"/>
        <w:spacing w:line="480" w:lineRule="auto"/>
      </w:pPr>
      <w:bookmarkStart w:id="232" w:name="_Toc370819229"/>
      <w:r w:rsidRPr="00B013ED">
        <w:t>Study design</w:t>
      </w:r>
      <w:bookmarkEnd w:id="227"/>
      <w:bookmarkEnd w:id="228"/>
      <w:bookmarkEnd w:id="232"/>
      <w:r w:rsidRPr="00B013ED">
        <w:t xml:space="preserve"> </w:t>
      </w:r>
    </w:p>
    <w:p w:rsidR="001727CA" w:rsidRPr="00B013ED" w:rsidRDefault="001727CA" w:rsidP="001727CA">
      <w:pPr>
        <w:spacing w:line="480" w:lineRule="auto"/>
        <w:rPr>
          <w:lang w:val="en-US"/>
        </w:rPr>
      </w:pPr>
      <w:bookmarkStart w:id="233" w:name="_Toc359956033"/>
      <w:r>
        <w:rPr>
          <w:lang w:val="en-US"/>
        </w:rPr>
        <w:t xml:space="preserve">Fifty-four dentine slabs </w:t>
      </w:r>
      <w:r w:rsidRPr="00B013ED">
        <w:rPr>
          <w:lang w:val="en-US"/>
        </w:rPr>
        <w:t>were allocated as following:</w:t>
      </w:r>
    </w:p>
    <w:p w:rsidR="001727CA" w:rsidRPr="00115077" w:rsidRDefault="001727CA" w:rsidP="001727CA">
      <w:pPr>
        <w:numPr>
          <w:ilvl w:val="0"/>
          <w:numId w:val="65"/>
        </w:numPr>
        <w:spacing w:line="480" w:lineRule="auto"/>
        <w:contextualSpacing/>
        <w:jc w:val="both"/>
        <w:rPr>
          <w:rFonts w:eastAsia="Calibri"/>
          <w:szCs w:val="22"/>
          <w:lang w:val="en-US"/>
        </w:rPr>
      </w:pPr>
      <w:r w:rsidRPr="00115077">
        <w:rPr>
          <w:rFonts w:eastAsia="Calibri"/>
          <w:szCs w:val="22"/>
          <w:lang w:val="en-US"/>
        </w:rPr>
        <w:t xml:space="preserve">Nine teeth for the </w:t>
      </w:r>
      <w:r>
        <w:rPr>
          <w:rFonts w:eastAsia="Calibri"/>
          <w:szCs w:val="22"/>
          <w:lang w:val="en-US"/>
        </w:rPr>
        <w:t>NSCH group for assessment at 3 months and nine for assessment after 8 months.</w:t>
      </w:r>
    </w:p>
    <w:p w:rsidR="001727CA" w:rsidRPr="00115077" w:rsidRDefault="001727CA" w:rsidP="001727CA">
      <w:pPr>
        <w:numPr>
          <w:ilvl w:val="0"/>
          <w:numId w:val="65"/>
        </w:numPr>
        <w:spacing w:line="480" w:lineRule="auto"/>
        <w:contextualSpacing/>
        <w:jc w:val="both"/>
        <w:rPr>
          <w:rFonts w:eastAsia="Calibri"/>
          <w:szCs w:val="22"/>
          <w:lang w:val="en-US"/>
        </w:rPr>
      </w:pPr>
      <w:r w:rsidRPr="00115077">
        <w:rPr>
          <w:rFonts w:eastAsia="Calibri"/>
          <w:szCs w:val="22"/>
          <w:lang w:val="en-US"/>
        </w:rPr>
        <w:t xml:space="preserve">Nine for the </w:t>
      </w:r>
      <w:r>
        <w:rPr>
          <w:rFonts w:eastAsia="Calibri"/>
          <w:szCs w:val="22"/>
          <w:lang w:val="en-US"/>
        </w:rPr>
        <w:t>MTA group</w:t>
      </w:r>
      <w:r w:rsidRPr="004D6CA9">
        <w:rPr>
          <w:rFonts w:eastAsia="Calibri"/>
          <w:szCs w:val="22"/>
          <w:lang w:val="en-US"/>
        </w:rPr>
        <w:t xml:space="preserve"> </w:t>
      </w:r>
      <w:r>
        <w:rPr>
          <w:rFonts w:eastAsia="Calibri"/>
          <w:szCs w:val="22"/>
          <w:lang w:val="en-US"/>
        </w:rPr>
        <w:t>for assessment at 3 months and nine for assessment after 8 months.</w:t>
      </w:r>
    </w:p>
    <w:p w:rsidR="001727CA" w:rsidRPr="00115077" w:rsidRDefault="001727CA" w:rsidP="001727CA">
      <w:pPr>
        <w:numPr>
          <w:ilvl w:val="0"/>
          <w:numId w:val="65"/>
        </w:numPr>
        <w:spacing w:line="480" w:lineRule="auto"/>
        <w:contextualSpacing/>
        <w:jc w:val="both"/>
        <w:rPr>
          <w:rFonts w:eastAsia="Calibri"/>
          <w:szCs w:val="22"/>
          <w:lang w:val="en-US"/>
        </w:rPr>
      </w:pPr>
      <w:r w:rsidRPr="00115077">
        <w:rPr>
          <w:rFonts w:eastAsia="Calibri"/>
          <w:szCs w:val="22"/>
          <w:lang w:val="en-US"/>
        </w:rPr>
        <w:t xml:space="preserve">Finally the last nine teeth were </w:t>
      </w:r>
      <w:r>
        <w:rPr>
          <w:rFonts w:eastAsia="Calibri"/>
          <w:szCs w:val="22"/>
          <w:lang w:val="en-US"/>
        </w:rPr>
        <w:t xml:space="preserve">for the </w:t>
      </w:r>
      <w:r w:rsidRPr="00115077">
        <w:rPr>
          <w:rFonts w:eastAsia="Calibri"/>
          <w:szCs w:val="22"/>
          <w:lang w:val="en-US"/>
        </w:rPr>
        <w:t>control group</w:t>
      </w:r>
      <w:r>
        <w:rPr>
          <w:rFonts w:eastAsia="Calibri"/>
          <w:szCs w:val="22"/>
          <w:lang w:val="en-US"/>
        </w:rPr>
        <w:t xml:space="preserve"> for assessment at 3 months and 9 for assessment after 8 months.</w:t>
      </w:r>
    </w:p>
    <w:p w:rsidR="001727CA" w:rsidRPr="00115077" w:rsidRDefault="001727CA" w:rsidP="001727CA">
      <w:pPr>
        <w:spacing w:line="480" w:lineRule="auto"/>
        <w:ind w:left="720"/>
        <w:contextualSpacing/>
        <w:jc w:val="both"/>
        <w:rPr>
          <w:rFonts w:eastAsia="Calibri"/>
          <w:szCs w:val="22"/>
          <w:lang w:val="en-US"/>
        </w:rPr>
      </w:pPr>
      <w:r w:rsidRPr="00115077">
        <w:rPr>
          <w:rFonts w:eastAsia="Calibri"/>
          <w:szCs w:val="22"/>
          <w:lang w:val="en-US"/>
        </w:rPr>
        <w:t xml:space="preserve">. </w:t>
      </w:r>
    </w:p>
    <w:p w:rsidR="00250F94" w:rsidRDefault="001727CA" w:rsidP="001727CA">
      <w:pPr>
        <w:spacing w:line="480" w:lineRule="auto"/>
        <w:rPr>
          <w:rFonts w:cstheme="minorBidi"/>
          <w:lang w:val="en-US"/>
        </w:rPr>
      </w:pPr>
      <w:r w:rsidRPr="00B013ED">
        <w:rPr>
          <w:rFonts w:cstheme="minorBidi"/>
          <w:lang w:val="en-US"/>
        </w:rPr>
        <w:t xml:space="preserve">An example of the prepared tooth ready for experiment is </w:t>
      </w:r>
      <w:r w:rsidRPr="00DC1AF7">
        <w:rPr>
          <w:rFonts w:cstheme="minorBidi"/>
          <w:lang w:val="en-US"/>
        </w:rPr>
        <w:t xml:space="preserve">shown </w:t>
      </w:r>
      <w:r w:rsidRPr="001727CA">
        <w:rPr>
          <w:rFonts w:cstheme="minorBidi"/>
          <w:szCs w:val="24"/>
          <w:lang w:val="en-US"/>
        </w:rPr>
        <w:t xml:space="preserve">in </w:t>
      </w:r>
      <w:r w:rsidR="00927414" w:rsidRPr="001727CA">
        <w:rPr>
          <w:rFonts w:cstheme="minorBidi"/>
          <w:szCs w:val="24"/>
          <w:lang w:val="en-US"/>
        </w:rPr>
        <w:t>(</w:t>
      </w:r>
      <w:r w:rsidR="00051E3F" w:rsidRPr="001727CA">
        <w:rPr>
          <w:rFonts w:cstheme="minorBidi"/>
          <w:szCs w:val="24"/>
          <w:lang w:val="en-US"/>
        </w:rPr>
        <w:fldChar w:fldCharType="begin"/>
      </w:r>
      <w:r w:rsidR="00051E3F" w:rsidRPr="001727CA">
        <w:rPr>
          <w:rFonts w:cstheme="minorBidi"/>
          <w:szCs w:val="24"/>
          <w:lang w:val="en-US"/>
        </w:rPr>
        <w:instrText xml:space="preserve"> REF _Ref361077410 \h </w:instrText>
      </w:r>
      <w:r w:rsidRPr="001727CA">
        <w:rPr>
          <w:rFonts w:cstheme="minorBidi"/>
          <w:szCs w:val="24"/>
          <w:lang w:val="en-US"/>
        </w:rPr>
        <w:instrText xml:space="preserve"> \* MERGEFORMAT </w:instrText>
      </w:r>
      <w:r w:rsidR="00051E3F" w:rsidRPr="001727CA">
        <w:rPr>
          <w:rFonts w:cstheme="minorBidi"/>
          <w:szCs w:val="24"/>
          <w:lang w:val="en-US"/>
        </w:rPr>
      </w:r>
      <w:r w:rsidR="00051E3F" w:rsidRPr="001727CA">
        <w:rPr>
          <w:rFonts w:cstheme="minorBidi"/>
          <w:szCs w:val="24"/>
          <w:lang w:val="en-US"/>
        </w:rPr>
        <w:fldChar w:fldCharType="separate"/>
      </w:r>
      <w:r w:rsidR="00374B77">
        <w:rPr>
          <w:rFonts w:cstheme="minorBidi"/>
          <w:b/>
          <w:bCs/>
          <w:szCs w:val="24"/>
          <w:lang w:val="en-US"/>
        </w:rPr>
        <w:t>Error! Not a valid bookmark self-reference.</w:t>
      </w:r>
      <w:r w:rsidR="00051E3F" w:rsidRPr="001727CA">
        <w:rPr>
          <w:rFonts w:cstheme="minorBidi"/>
          <w:szCs w:val="24"/>
          <w:lang w:val="en-US"/>
        </w:rPr>
        <w:fldChar w:fldCharType="end"/>
      </w:r>
      <w:r w:rsidR="00927414" w:rsidRPr="001727CA">
        <w:rPr>
          <w:rFonts w:cstheme="minorBidi"/>
          <w:szCs w:val="24"/>
          <w:lang w:val="en-US"/>
        </w:rPr>
        <w:t>)</w:t>
      </w:r>
      <w:r w:rsidRPr="001727CA">
        <w:rPr>
          <w:rFonts w:cstheme="minorBidi"/>
          <w:szCs w:val="24"/>
          <w:lang w:val="en-US"/>
        </w:rPr>
        <w:t>.</w:t>
      </w:r>
      <w:r w:rsidR="00250F94" w:rsidRPr="00B013ED">
        <w:rPr>
          <w:rFonts w:cstheme="minorBidi"/>
          <w:lang w:val="en-US"/>
        </w:rPr>
        <w:t xml:space="preserve"> </w:t>
      </w:r>
      <w:bookmarkStart w:id="234" w:name="_Toc360367332"/>
      <w:r w:rsidR="00927414" w:rsidRPr="00B013ED">
        <w:rPr>
          <w:rFonts w:cstheme="minorBidi"/>
          <w:lang w:val="en-US"/>
        </w:rPr>
        <w:t xml:space="preserve"> </w:t>
      </w:r>
      <w:bookmarkEnd w:id="233"/>
      <w:bookmarkEnd w:id="234"/>
      <w:r w:rsidRPr="00B013ED">
        <w:rPr>
          <w:rFonts w:cstheme="minorBidi"/>
          <w:lang w:val="en-US"/>
        </w:rPr>
        <w:t>Nine slabs from each group tested after 3 months and the other nine after 8 months after application of test material</w:t>
      </w:r>
      <w:r>
        <w:rPr>
          <w:rFonts w:cstheme="minorBidi"/>
          <w:lang w:val="en-US"/>
        </w:rPr>
        <w:t>s</w:t>
      </w:r>
      <w:r w:rsidRPr="00B013ED">
        <w:rPr>
          <w:rFonts w:cstheme="minorBidi"/>
          <w:lang w:val="en-US"/>
        </w:rPr>
        <w:t>.</w:t>
      </w:r>
    </w:p>
    <w:p w:rsidR="00850AB9" w:rsidRDefault="00850AB9" w:rsidP="001727CA">
      <w:pPr>
        <w:spacing w:line="480" w:lineRule="auto"/>
        <w:rPr>
          <w:rFonts w:cstheme="minorBidi"/>
          <w:lang w:val="en-US"/>
        </w:rPr>
      </w:pPr>
    </w:p>
    <w:p w:rsidR="00850AB9" w:rsidRDefault="00850AB9" w:rsidP="001727CA">
      <w:pPr>
        <w:spacing w:line="480" w:lineRule="auto"/>
        <w:rPr>
          <w:rFonts w:cstheme="minorBidi"/>
          <w:lang w:val="en-US"/>
        </w:rPr>
      </w:pPr>
    </w:p>
    <w:p w:rsidR="004D6CA9" w:rsidRPr="0041150E" w:rsidRDefault="004D6CA9" w:rsidP="00DC1AF7">
      <w:pPr>
        <w:spacing w:line="480" w:lineRule="auto"/>
        <w:jc w:val="both"/>
        <w:rPr>
          <w:rFonts w:cstheme="minorBidi"/>
        </w:rPr>
      </w:pPr>
    </w:p>
    <w:p w:rsidR="004D6CA9" w:rsidRDefault="007A787E" w:rsidP="007A787E">
      <w:pPr>
        <w:spacing w:line="480" w:lineRule="auto"/>
        <w:jc w:val="both"/>
        <w:rPr>
          <w:rFonts w:cstheme="minorBidi"/>
          <w:lang w:val="en-US"/>
        </w:rPr>
      </w:pPr>
      <w:r w:rsidRPr="007A787E">
        <w:rPr>
          <w:noProof/>
          <w:lang w:eastAsia="en-GB"/>
        </w:rPr>
        <mc:AlternateContent>
          <mc:Choice Requires="wps">
            <w:drawing>
              <wp:anchor distT="0" distB="0" distL="114300" distR="114300" simplePos="0" relativeHeight="251858944" behindDoc="0" locked="0" layoutInCell="1" allowOverlap="1" wp14:anchorId="5F8B324C" wp14:editId="7A15724F">
                <wp:simplePos x="0" y="0"/>
                <wp:positionH relativeFrom="column">
                  <wp:posOffset>-3724275</wp:posOffset>
                </wp:positionH>
                <wp:positionV relativeFrom="paragraph">
                  <wp:posOffset>188595</wp:posOffset>
                </wp:positionV>
                <wp:extent cx="1971675" cy="276225"/>
                <wp:effectExtent l="76200" t="76200" r="123825" b="142875"/>
                <wp:wrapNone/>
                <wp:docPr id="265" name="Rectangle 12"/>
                <wp:cNvGraphicFramePr/>
                <a:graphic xmlns:a="http://schemas.openxmlformats.org/drawingml/2006/main">
                  <a:graphicData uri="http://schemas.microsoft.com/office/word/2010/wordprocessingShape">
                    <wps:wsp>
                      <wps:cNvSpPr/>
                      <wps:spPr>
                        <a:xfrm>
                          <a:off x="0" y="0"/>
                          <a:ext cx="1971675" cy="276225"/>
                        </a:xfrm>
                        <a:prstGeom prst="rect">
                          <a:avLst/>
                        </a:prstGeom>
                        <a:solidFill>
                          <a:srgbClr val="9BBB59">
                            <a:lumMod val="40000"/>
                            <a:lumOff val="60000"/>
                          </a:srgbClr>
                        </a:solidFill>
                        <a:ln w="25400" cap="flat" cmpd="sng" algn="ctr">
                          <a:solidFill>
                            <a:srgbClr val="9BBB59">
                              <a:lumMod val="75000"/>
                            </a:srgbClr>
                          </a:solid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208E6" w:rsidRPr="007A787E" w:rsidRDefault="003208E6" w:rsidP="007A787E">
                            <w:pPr>
                              <w:pStyle w:val="NormalWeb"/>
                              <w:spacing w:after="0"/>
                              <w:jc w:val="center"/>
                              <w:rPr>
                                <w:sz w:val="22"/>
                                <w:szCs w:val="22"/>
                              </w:rPr>
                            </w:pPr>
                            <w:r w:rsidRPr="007A787E">
                              <w:rPr>
                                <w:rFonts w:ascii="Arial" w:hAnsi="Arial" w:cs="Arial"/>
                                <w:b/>
                                <w:bCs/>
                                <w:color w:val="000000"/>
                                <w:kern w:val="24"/>
                                <w:sz w:val="22"/>
                                <w:szCs w:val="22"/>
                              </w:rPr>
                              <w:t>Gauze soaked with saline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2" o:spid="_x0000_s1027" style="position:absolute;left:0;text-align:left;margin-left:-293.25pt;margin-top:14.85pt;width:155.25pt;height:2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" fillcolor="#d7e4bd" strokecolor="#77933c" strokeweight="2pt">
                <v:shadow on="t" color="black" opacity="20971f" offset="0,2.2pt"/>
                <v:textbox>
                  <w:txbxContent>
                    <w:p w:rsidR="003208E6" w:rsidRPr="007A787E" w:rsidRDefault="003208E6" w:rsidP="007A787E">
                      <w:pPr>
                        <w:pStyle w:val="NormalWeb"/>
                        <w:spacing w:after="0"/>
                        <w:jc w:val="center"/>
                        <w:rPr>
                          <w:sz w:val="22"/>
                          <w:szCs w:val="22"/>
                        </w:rPr>
                      </w:pPr>
                      <w:r w:rsidRPr="007A787E">
                        <w:rPr>
                          <w:rFonts w:ascii="Arial" w:hAnsi="Arial" w:cs="Arial"/>
                          <w:b/>
                          <w:bCs/>
                          <w:color w:val="000000"/>
                          <w:kern w:val="24"/>
                          <w:sz w:val="22"/>
                          <w:szCs w:val="22"/>
                        </w:rPr>
                        <w:t>Gauze soaked with saline</w:t>
                      </w:r>
                    </w:p>
                  </w:txbxContent>
                </v:textbox>
              </v:rect>
            </w:pict>
          </mc:Fallback>
        </mc:AlternateContent>
      </w:r>
      <w:r>
        <w:rPr>
          <w:noProof/>
          <w:lang w:eastAsia="en-GB"/>
        </w:rPr>
        <mc:AlternateContent>
          <mc:Choice Requires="wps">
            <w:drawing>
              <wp:anchor distT="0" distB="0" distL="114300" distR="114300" simplePos="0" relativeHeight="251859968" behindDoc="0" locked="0" layoutInCell="1" allowOverlap="1" wp14:anchorId="23CF45B3" wp14:editId="61B1A763">
                <wp:simplePos x="0" y="0"/>
                <wp:positionH relativeFrom="column">
                  <wp:posOffset>-2981325</wp:posOffset>
                </wp:positionH>
                <wp:positionV relativeFrom="paragraph">
                  <wp:posOffset>469265</wp:posOffset>
                </wp:positionV>
                <wp:extent cx="447675" cy="548005"/>
                <wp:effectExtent l="19050" t="19050" r="66675" b="61595"/>
                <wp:wrapNone/>
                <wp:docPr id="279" name="Straight Arrow Connector 279"/>
                <wp:cNvGraphicFramePr/>
                <a:graphic xmlns:a="http://schemas.openxmlformats.org/drawingml/2006/main">
                  <a:graphicData uri="http://schemas.microsoft.com/office/word/2010/wordprocessingShape">
                    <wps:wsp>
                      <wps:cNvCnPr/>
                      <wps:spPr>
                        <a:xfrm>
                          <a:off x="0" y="0"/>
                          <a:ext cx="447675" cy="54800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79" o:spid="_x0000_s1026" type="#_x0000_t32" style="position:absolute;margin-left:-234.75pt;margin-top:36.95pt;width:35.25pt;height:43.1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" strokecolor="red" strokeweight="4.5pt">
                <v:stroke endarrow="open"/>
              </v:shape>
            </w:pict>
          </mc:Fallback>
        </mc:AlternateContent>
      </w:r>
      <w:r w:rsidRPr="007A787E">
        <w:rPr>
          <w:noProof/>
          <w:lang w:eastAsia="en-GB"/>
        </w:rPr>
        <w:t xml:space="preserve"> </w:t>
      </w:r>
      <w:r>
        <w:rPr>
          <w:rFonts w:cstheme="minorBidi"/>
          <w:noProof/>
          <w:lang w:eastAsia="en-GB"/>
        </w:rPr>
        <w:drawing>
          <wp:anchor distT="0" distB="0" distL="114300" distR="114300" simplePos="0" relativeHeight="251856896" behindDoc="0" locked="0" layoutInCell="1" allowOverlap="1" wp14:anchorId="776F661D" wp14:editId="07AD6EFC">
            <wp:simplePos x="0" y="0"/>
            <wp:positionH relativeFrom="column">
              <wp:posOffset>2074545</wp:posOffset>
            </wp:positionH>
            <wp:positionV relativeFrom="paragraph">
              <wp:posOffset>226060</wp:posOffset>
            </wp:positionV>
            <wp:extent cx="3009900" cy="3000375"/>
            <wp:effectExtent l="0" t="0" r="0" b="9525"/>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9900" cy="3000375"/>
                    </a:xfrm>
                    <a:prstGeom prst="rect">
                      <a:avLst/>
                    </a:prstGeom>
                    <a:noFill/>
                  </pic:spPr>
                </pic:pic>
              </a:graphicData>
            </a:graphic>
            <wp14:sizeRelH relativeFrom="page">
              <wp14:pctWidth>0</wp14:pctWidth>
            </wp14:sizeRelH>
            <wp14:sizeRelV relativeFrom="page">
              <wp14:pctHeight>0</wp14:pctHeight>
            </wp14:sizeRelV>
          </wp:anchor>
        </w:drawing>
      </w:r>
      <w:r w:rsidRPr="007A787E">
        <w:rPr>
          <w:noProof/>
          <w:lang w:eastAsia="en-GB"/>
        </w:rPr>
        <w:t xml:space="preserve"> </w:t>
      </w:r>
      <w:r w:rsidRPr="00B013ED">
        <w:rPr>
          <w:noProof/>
          <w:lang w:eastAsia="en-GB"/>
        </w:rPr>
        <w:drawing>
          <wp:anchor distT="0" distB="0" distL="114300" distR="114300" simplePos="0" relativeHeight="251747328" behindDoc="0" locked="0" layoutInCell="1" allowOverlap="1" wp14:anchorId="2387642F" wp14:editId="1C1B201D">
            <wp:simplePos x="0" y="0"/>
            <wp:positionH relativeFrom="column">
              <wp:posOffset>26670</wp:posOffset>
            </wp:positionH>
            <wp:positionV relativeFrom="paragraph">
              <wp:posOffset>225425</wp:posOffset>
            </wp:positionV>
            <wp:extent cx="2047875" cy="3000375"/>
            <wp:effectExtent l="0" t="0" r="9525" b="9525"/>
            <wp:wrapSquare wrapText="bothSides"/>
            <wp:docPr id="14" name="Picture 4" descr="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16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728" t="18131" r="29297"/>
                    <a:stretch/>
                  </pic:blipFill>
                  <pic:spPr bwMode="auto">
                    <a:xfrm>
                      <a:off x="0" y="0"/>
                      <a:ext cx="2047875" cy="300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66B">
        <w:rPr>
          <w:noProof/>
          <w:lang w:eastAsia="en-GB"/>
        </w:rPr>
        <mc:AlternateContent>
          <mc:Choice Requires="wps">
            <w:drawing>
              <wp:anchor distT="0" distB="0" distL="114300" distR="114300" simplePos="0" relativeHeight="251757568" behindDoc="0" locked="0" layoutInCell="1" allowOverlap="1" wp14:anchorId="57ABC57C" wp14:editId="73C414CA">
                <wp:simplePos x="0" y="0"/>
                <wp:positionH relativeFrom="column">
                  <wp:posOffset>464820</wp:posOffset>
                </wp:positionH>
                <wp:positionV relativeFrom="paragraph">
                  <wp:posOffset>-419735</wp:posOffset>
                </wp:positionV>
                <wp:extent cx="470535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705350" cy="457200"/>
                        </a:xfrm>
                        <a:prstGeom prst="rect">
                          <a:avLst/>
                        </a:prstGeom>
                        <a:solidFill>
                          <a:prstClr val="white"/>
                        </a:solidFill>
                        <a:ln>
                          <a:noFill/>
                        </a:ln>
                        <a:effectLst/>
                      </wps:spPr>
                      <wps:txbx>
                        <w:txbxContent>
                          <w:p w:rsidR="003208E6" w:rsidRPr="00F459C6" w:rsidRDefault="003208E6" w:rsidP="001D3F19">
                            <w:pPr>
                              <w:rPr>
                                <w:rFonts w:cstheme="minorBidi"/>
                                <w:b/>
                                <w:bCs/>
                                <w:sz w:val="20"/>
                                <w:szCs w:val="20"/>
                              </w:rPr>
                            </w:pPr>
                            <w:bookmarkStart w:id="235" w:name="_Toc361733591"/>
                            <w:bookmarkStart w:id="236" w:name="_Toc361734234"/>
                            <w:bookmarkStart w:id="237" w:name="_Toc370511630"/>
                            <w:r w:rsidRPr="00F459C6">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1</w:t>
                            </w:r>
                            <w:r>
                              <w:rPr>
                                <w:rFonts w:cstheme="minorBidi"/>
                                <w:b/>
                                <w:bCs/>
                                <w:sz w:val="20"/>
                                <w:szCs w:val="20"/>
                              </w:rPr>
                              <w:fldChar w:fldCharType="end"/>
                            </w:r>
                            <w:r w:rsidRPr="00F459C6">
                              <w:rPr>
                                <w:rFonts w:cstheme="minorBidi"/>
                                <w:b/>
                                <w:bCs/>
                                <w:sz w:val="20"/>
                                <w:szCs w:val="20"/>
                              </w:rPr>
                              <w:t xml:space="preserve"> A view of the sectioned tooth root for both control and expermintal groups</w:t>
                            </w:r>
                            <w:bookmarkEnd w:id="235"/>
                            <w:bookmarkEnd w:id="236"/>
                            <w:bookmarkEnd w:id="2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36.6pt;margin-top:-33.05pt;width:370.5pt;height:36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" stroked="f">
                <v:textbox inset="0,0,0,0">
                  <w:txbxContent>
                    <w:p w:rsidR="003208E6" w:rsidRPr="00F459C6" w:rsidRDefault="003208E6" w:rsidP="001D3F19">
                      <w:pPr>
                        <w:rPr>
                          <w:rFonts w:cstheme="minorBidi"/>
                          <w:b/>
                          <w:bCs/>
                          <w:sz w:val="20"/>
                          <w:szCs w:val="20"/>
                        </w:rPr>
                      </w:pPr>
                      <w:bookmarkStart w:id="237" w:name="_Toc361733591"/>
                      <w:bookmarkStart w:id="238" w:name="_Toc361734234"/>
                      <w:bookmarkStart w:id="239" w:name="_Toc370511630"/>
                      <w:r w:rsidRPr="00F459C6">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1</w:t>
                      </w:r>
                      <w:r>
                        <w:rPr>
                          <w:rFonts w:cstheme="minorBidi"/>
                          <w:b/>
                          <w:bCs/>
                          <w:sz w:val="20"/>
                          <w:szCs w:val="20"/>
                        </w:rPr>
                        <w:fldChar w:fldCharType="end"/>
                      </w:r>
                      <w:r w:rsidRPr="00F459C6">
                        <w:rPr>
                          <w:rFonts w:cstheme="minorBidi"/>
                          <w:b/>
                          <w:bCs/>
                          <w:sz w:val="20"/>
                          <w:szCs w:val="20"/>
                        </w:rPr>
                        <w:t xml:space="preserve"> A view of the sectioned tooth root for both control and expermintal groups</w:t>
                      </w:r>
                      <w:bookmarkEnd w:id="237"/>
                      <w:bookmarkEnd w:id="238"/>
                      <w:bookmarkEnd w:id="239"/>
                    </w:p>
                  </w:txbxContent>
                </v:textbox>
                <w10:wrap type="square"/>
              </v:shape>
            </w:pict>
          </mc:Fallback>
        </mc:AlternateContent>
      </w:r>
    </w:p>
    <w:p w:rsidR="004D6CA9" w:rsidRDefault="004D6CA9" w:rsidP="00DC1AF7">
      <w:pPr>
        <w:spacing w:line="480" w:lineRule="auto"/>
        <w:jc w:val="both"/>
        <w:rPr>
          <w:rFonts w:cstheme="minorBidi"/>
          <w:lang w:val="en-US"/>
        </w:rPr>
      </w:pPr>
    </w:p>
    <w:p w:rsidR="004D6CA9" w:rsidRDefault="004D6CA9" w:rsidP="00DC1AF7">
      <w:pPr>
        <w:spacing w:line="480" w:lineRule="auto"/>
        <w:jc w:val="both"/>
        <w:rPr>
          <w:rFonts w:cstheme="minorBidi"/>
          <w:lang w:val="en-US"/>
        </w:rPr>
      </w:pPr>
    </w:p>
    <w:p w:rsidR="004D6CA9" w:rsidRDefault="004D6CA9" w:rsidP="00DC1AF7">
      <w:pPr>
        <w:spacing w:line="480" w:lineRule="auto"/>
        <w:jc w:val="both"/>
        <w:rPr>
          <w:rFonts w:cstheme="minorBidi"/>
          <w:lang w:val="en-US"/>
        </w:rPr>
      </w:pPr>
    </w:p>
    <w:p w:rsidR="004D6CA9" w:rsidRDefault="004D6CA9" w:rsidP="00DC1AF7">
      <w:pPr>
        <w:spacing w:line="480" w:lineRule="auto"/>
        <w:jc w:val="both"/>
        <w:rPr>
          <w:rFonts w:cstheme="minorBidi"/>
          <w:lang w:val="en-US"/>
        </w:rPr>
      </w:pPr>
    </w:p>
    <w:p w:rsidR="004D6CA9" w:rsidRDefault="0093348E" w:rsidP="00DC1AF7">
      <w:pPr>
        <w:spacing w:line="480" w:lineRule="auto"/>
        <w:jc w:val="both"/>
        <w:rPr>
          <w:rFonts w:cstheme="minorBidi"/>
          <w:lang w:val="en-US"/>
        </w:rPr>
      </w:pPr>
      <w:r w:rsidRPr="007A787E">
        <w:rPr>
          <w:noProof/>
          <w:lang w:eastAsia="en-GB"/>
        </w:rPr>
        <mc:AlternateContent>
          <mc:Choice Requires="wps">
            <w:drawing>
              <wp:anchor distT="0" distB="0" distL="114300" distR="114300" simplePos="0" relativeHeight="251862016" behindDoc="0" locked="0" layoutInCell="1" allowOverlap="1" wp14:anchorId="445E750E" wp14:editId="76BD74AC">
                <wp:simplePos x="0" y="0"/>
                <wp:positionH relativeFrom="column">
                  <wp:posOffset>-2609850</wp:posOffset>
                </wp:positionH>
                <wp:positionV relativeFrom="paragraph">
                  <wp:posOffset>410845</wp:posOffset>
                </wp:positionV>
                <wp:extent cx="1971675" cy="276225"/>
                <wp:effectExtent l="76200" t="76200" r="123825" b="142875"/>
                <wp:wrapNone/>
                <wp:docPr id="283" name="Rectangle 12"/>
                <wp:cNvGraphicFramePr/>
                <a:graphic xmlns:a="http://schemas.openxmlformats.org/drawingml/2006/main">
                  <a:graphicData uri="http://schemas.microsoft.com/office/word/2010/wordprocessingShape">
                    <wps:wsp>
                      <wps:cNvSpPr/>
                      <wps:spPr>
                        <a:xfrm>
                          <a:off x="0" y="0"/>
                          <a:ext cx="1971675" cy="276225"/>
                        </a:xfrm>
                        <a:prstGeom prst="rect">
                          <a:avLst/>
                        </a:prstGeom>
                        <a:solidFill>
                          <a:srgbClr val="9BBB59">
                            <a:lumMod val="40000"/>
                            <a:lumOff val="60000"/>
                          </a:srgbClr>
                        </a:solidFill>
                        <a:ln w="25400" cap="flat" cmpd="sng" algn="ctr">
                          <a:solidFill>
                            <a:srgbClr val="9BBB59">
                              <a:lumMod val="75000"/>
                            </a:srgbClr>
                          </a:solid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208E6" w:rsidRPr="007A787E" w:rsidRDefault="003208E6" w:rsidP="0093348E">
                            <w:pPr>
                              <w:pStyle w:val="NormalWeb"/>
                              <w:spacing w:after="0"/>
                              <w:jc w:val="center"/>
                              <w:rPr>
                                <w:sz w:val="22"/>
                                <w:szCs w:val="22"/>
                              </w:rPr>
                            </w:pPr>
                            <w:r>
                              <w:rPr>
                                <w:rFonts w:ascii="Arial" w:hAnsi="Arial" w:cs="Arial"/>
                                <w:b/>
                                <w:bCs/>
                                <w:color w:val="000000"/>
                                <w:kern w:val="24"/>
                                <w:sz w:val="22"/>
                                <w:szCs w:val="22"/>
                              </w:rPr>
                              <w:t>Experimental group</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05.5pt;margin-top:32.35pt;width:155.25pt;height:21.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" fillcolor="#d7e4bd" strokecolor="#77933c" strokeweight="2pt">
                <v:shadow on="t" color="black" opacity="20971f" offset="0,2.2pt"/>
                <v:textbox>
                  <w:txbxContent>
                    <w:p w:rsidR="003208E6" w:rsidRPr="007A787E" w:rsidRDefault="003208E6" w:rsidP="0093348E">
                      <w:pPr>
                        <w:pStyle w:val="NormalWeb"/>
                        <w:spacing w:after="0"/>
                        <w:jc w:val="center"/>
                        <w:rPr>
                          <w:sz w:val="22"/>
                          <w:szCs w:val="22"/>
                        </w:rPr>
                      </w:pPr>
                      <w:r>
                        <w:rPr>
                          <w:rFonts w:ascii="Arial" w:hAnsi="Arial" w:cs="Arial"/>
                          <w:b/>
                          <w:bCs/>
                          <w:color w:val="000000"/>
                          <w:kern w:val="24"/>
                          <w:sz w:val="22"/>
                          <w:szCs w:val="22"/>
                        </w:rPr>
                        <w:t>Experimental group</w:t>
                      </w:r>
                    </w:p>
                  </w:txbxContent>
                </v:textbox>
              </v:rect>
            </w:pict>
          </mc:Fallback>
        </mc:AlternateContent>
      </w:r>
      <w:r w:rsidR="004D6CA9">
        <w:rPr>
          <w:rFonts w:cstheme="minorBidi"/>
          <w:lang w:val="en-US"/>
        </w:rPr>
        <w:tab/>
      </w:r>
    </w:p>
    <w:p w:rsidR="004D6CA9" w:rsidRDefault="004D6CA9" w:rsidP="00DC1AF7">
      <w:pPr>
        <w:spacing w:line="480" w:lineRule="auto"/>
        <w:jc w:val="both"/>
        <w:rPr>
          <w:rFonts w:cstheme="minorBidi"/>
          <w:lang w:val="en-US"/>
        </w:rPr>
      </w:pPr>
    </w:p>
    <w:p w:rsidR="00CC6F0F" w:rsidRDefault="00CC6F0F" w:rsidP="00DC1AF7">
      <w:pPr>
        <w:spacing w:line="480" w:lineRule="auto"/>
        <w:jc w:val="both"/>
        <w:rPr>
          <w:rFonts w:cstheme="minorBidi"/>
          <w:lang w:val="en-US"/>
        </w:rPr>
      </w:pPr>
    </w:p>
    <w:p w:rsidR="00250F94" w:rsidRPr="00B013ED" w:rsidRDefault="00A10BCE" w:rsidP="004D6CA9">
      <w:pPr>
        <w:pStyle w:val="Heading3"/>
        <w:spacing w:line="480" w:lineRule="auto"/>
      </w:pPr>
      <w:bookmarkStart w:id="238" w:name="_Toc226789706"/>
      <w:bookmarkStart w:id="239" w:name="_Toc359995875"/>
      <w:bookmarkStart w:id="240" w:name="_Toc370819230"/>
      <w:bookmarkEnd w:id="229"/>
      <w:bookmarkEnd w:id="230"/>
      <w:bookmarkEnd w:id="231"/>
      <w:r w:rsidRPr="004D6CA9">
        <w:rPr>
          <w:rFonts w:cstheme="minorBidi"/>
        </w:rPr>
        <w:t xml:space="preserve">Application of </w:t>
      </w:r>
      <w:r w:rsidR="00250F94" w:rsidRPr="00B013ED">
        <w:t>Non setting calcium hydroxide NSCH</w:t>
      </w:r>
      <w:bookmarkEnd w:id="238"/>
      <w:bookmarkEnd w:id="239"/>
      <w:bookmarkEnd w:id="240"/>
      <w:r w:rsidR="00250F94" w:rsidRPr="00B013ED">
        <w:t xml:space="preserve"> </w:t>
      </w:r>
    </w:p>
    <w:p w:rsidR="001727CA" w:rsidRPr="00B013ED" w:rsidRDefault="001727CA" w:rsidP="001727CA">
      <w:pPr>
        <w:autoSpaceDE w:val="0"/>
        <w:autoSpaceDN w:val="0"/>
        <w:adjustRightInd w:val="0"/>
        <w:spacing w:line="480" w:lineRule="auto"/>
        <w:jc w:val="both"/>
        <w:rPr>
          <w:rFonts w:cstheme="minorBidi"/>
        </w:rPr>
      </w:pPr>
      <w:bookmarkStart w:id="241" w:name="_Toc359995876"/>
      <w:r w:rsidRPr="00B013ED">
        <w:rPr>
          <w:rFonts w:cstheme="minorBidi"/>
        </w:rPr>
        <w:t xml:space="preserve">The length of each slab was marked on the long flexible plastic applicator tip of the NSCH delivery system. The calcium hydroxide paste was applied slowly and continuously from the apical to the most coronal part of the root canal using a slight up-and-down movement. This was continued until the paste was seen covering the whole surface of the slabs.  </w:t>
      </w:r>
    </w:p>
    <w:p w:rsidR="00CC6F0F" w:rsidRDefault="00CC6F0F">
      <w:pPr>
        <w:rPr>
          <w:rFonts w:eastAsiaTheme="majorEastAsia" w:cstheme="minorBidi"/>
          <w:b/>
          <w:bCs/>
          <w:sz w:val="28"/>
        </w:rPr>
      </w:pPr>
      <w:r>
        <w:rPr>
          <w:rFonts w:cstheme="minorBidi"/>
        </w:rPr>
        <w:br w:type="page"/>
      </w:r>
    </w:p>
    <w:p w:rsidR="00250F94" w:rsidRPr="00B013ED" w:rsidRDefault="00A10BCE" w:rsidP="00CC6F0F">
      <w:pPr>
        <w:pStyle w:val="Heading3"/>
        <w:spacing w:line="480" w:lineRule="auto"/>
      </w:pPr>
      <w:bookmarkStart w:id="242" w:name="_Toc370819231"/>
      <w:r>
        <w:rPr>
          <w:rFonts w:cstheme="minorBidi"/>
        </w:rPr>
        <w:lastRenderedPageBreak/>
        <w:t xml:space="preserve">Application of </w:t>
      </w:r>
      <w:r w:rsidR="00250F94" w:rsidRPr="00B013ED">
        <w:t>Mineral trioxide aggregate MTA</w:t>
      </w:r>
      <w:bookmarkEnd w:id="241"/>
      <w:bookmarkEnd w:id="242"/>
    </w:p>
    <w:p w:rsidR="001727CA" w:rsidRPr="00C67C41" w:rsidRDefault="001727CA" w:rsidP="00C06AD8">
      <w:pPr>
        <w:spacing w:line="480" w:lineRule="auto"/>
        <w:jc w:val="both"/>
        <w:rPr>
          <w:rFonts w:cstheme="minorBidi"/>
        </w:rPr>
      </w:pPr>
      <w:bookmarkStart w:id="243" w:name="_Toc359995936"/>
      <w:bookmarkStart w:id="244" w:name="_Ref180856177"/>
      <w:bookmarkStart w:id="245" w:name="_Toc182295292"/>
      <w:r>
        <w:rPr>
          <w:rFonts w:cstheme="minorBidi"/>
          <w:lang w:val="en-US"/>
        </w:rPr>
        <w:t>A p</w:t>
      </w:r>
      <w:r w:rsidRPr="00B013ED">
        <w:rPr>
          <w:rFonts w:cstheme="minorBidi"/>
          <w:lang w:val="en-US"/>
        </w:rPr>
        <w:t xml:space="preserve">ack of MTA was opened, which contained one gram of </w:t>
      </w:r>
      <w:r>
        <w:rPr>
          <w:rFonts w:cstheme="minorBidi"/>
          <w:lang w:val="en-US"/>
        </w:rPr>
        <w:t>MTA</w:t>
      </w:r>
      <w:r w:rsidRPr="00B013ED">
        <w:rPr>
          <w:rFonts w:cstheme="minorBidi"/>
          <w:lang w:val="en-US"/>
        </w:rPr>
        <w:t xml:space="preserve"> and manipulated with water that comes in the packet. The dough was applied using the same method as </w:t>
      </w:r>
      <w:r w:rsidRPr="00A46ECB">
        <w:rPr>
          <w:rFonts w:cstheme="minorBidi"/>
          <w:lang w:val="en-US"/>
        </w:rPr>
        <w:t xml:space="preserve">described in </w:t>
      </w:r>
      <w:r w:rsidR="00C06AD8" w:rsidRPr="00C23181">
        <w:rPr>
          <w:rFonts w:cstheme="minorBidi"/>
          <w:szCs w:val="24"/>
          <w:lang w:val="en-US"/>
        </w:rPr>
        <w:t>(</w:t>
      </w:r>
      <w:r w:rsidRPr="00C23181">
        <w:rPr>
          <w:rFonts w:cstheme="minorBidi"/>
          <w:szCs w:val="24"/>
          <w:lang w:val="en-US"/>
        </w:rPr>
        <w:t xml:space="preserve">section </w:t>
      </w:r>
      <w:r w:rsidR="00C06AD8" w:rsidRPr="00C23181">
        <w:rPr>
          <w:rFonts w:cstheme="minorBidi"/>
          <w:szCs w:val="24"/>
          <w:lang w:val="en-US"/>
        </w:rPr>
        <w:fldChar w:fldCharType="begin"/>
      </w:r>
      <w:r w:rsidR="00C06AD8" w:rsidRPr="00C23181">
        <w:rPr>
          <w:rFonts w:cstheme="minorBidi"/>
          <w:szCs w:val="24"/>
          <w:lang w:val="en-US"/>
        </w:rPr>
        <w:instrText xml:space="preserve"> REF _Ref361609084 \r \h </w:instrText>
      </w:r>
      <w:r w:rsidR="00A46ECB" w:rsidRPr="00C23181">
        <w:rPr>
          <w:rFonts w:cstheme="minorBidi"/>
          <w:szCs w:val="24"/>
          <w:lang w:val="en-US"/>
        </w:rPr>
        <w:instrText xml:space="preserve"> \* MERGEFORMAT </w:instrText>
      </w:r>
      <w:r w:rsidR="00C06AD8" w:rsidRPr="00C23181">
        <w:rPr>
          <w:rFonts w:cstheme="minorBidi"/>
          <w:szCs w:val="24"/>
          <w:lang w:val="en-US"/>
        </w:rPr>
      </w:r>
      <w:r w:rsidR="00C06AD8" w:rsidRPr="00C23181">
        <w:rPr>
          <w:rFonts w:cstheme="minorBidi"/>
          <w:szCs w:val="24"/>
          <w:lang w:val="en-US"/>
        </w:rPr>
        <w:fldChar w:fldCharType="separate"/>
      </w:r>
      <w:r w:rsidR="00374B77">
        <w:rPr>
          <w:rFonts w:cstheme="minorBidi"/>
          <w:szCs w:val="24"/>
          <w:cs/>
          <w:lang w:val="en-US"/>
        </w:rPr>
        <w:t>‎</w:t>
      </w:r>
      <w:r w:rsidR="00374B77">
        <w:rPr>
          <w:rFonts w:cstheme="minorBidi"/>
          <w:szCs w:val="24"/>
          <w:lang w:val="en-US"/>
        </w:rPr>
        <w:t>2.4.4</w:t>
      </w:r>
      <w:r w:rsidR="00C06AD8" w:rsidRPr="00C23181">
        <w:rPr>
          <w:rFonts w:cstheme="minorBidi"/>
          <w:szCs w:val="24"/>
          <w:lang w:val="en-US"/>
        </w:rPr>
        <w:fldChar w:fldCharType="end"/>
      </w:r>
      <w:r w:rsidR="00C23181" w:rsidRPr="00C23181">
        <w:rPr>
          <w:rFonts w:cstheme="minorBidi"/>
          <w:szCs w:val="24"/>
          <w:lang w:val="en-US"/>
        </w:rPr>
        <w:t xml:space="preserve"> page, 82</w:t>
      </w:r>
      <w:r w:rsidR="00A46ECB" w:rsidRPr="00C23181">
        <w:rPr>
          <w:rFonts w:cstheme="minorBidi"/>
          <w:szCs w:val="24"/>
          <w:lang w:val="en-US"/>
        </w:rPr>
        <w:t>).</w:t>
      </w:r>
      <w:r w:rsidR="00A46ECB">
        <w:rPr>
          <w:rFonts w:cstheme="minorBidi"/>
          <w:lang w:val="en-US"/>
        </w:rPr>
        <w:t xml:space="preserve"> </w:t>
      </w:r>
      <w:r w:rsidRPr="00A46ECB">
        <w:rPr>
          <w:rFonts w:cstheme="minorBidi"/>
        </w:rPr>
        <w:t>The</w:t>
      </w:r>
      <w:r w:rsidRPr="00B013ED">
        <w:rPr>
          <w:rFonts w:cstheme="minorBidi"/>
        </w:rPr>
        <w:t xml:space="preserve"> last nine slabs which were used as controls were retained with no application of any material.</w:t>
      </w:r>
      <w:bookmarkStart w:id="246" w:name="_Toc359995877"/>
      <w:bookmarkStart w:id="247" w:name="_Toc359995935"/>
      <w:bookmarkEnd w:id="246"/>
      <w:bookmarkEnd w:id="247"/>
    </w:p>
    <w:p w:rsidR="00250F94" w:rsidRPr="00B013ED" w:rsidRDefault="00250F94" w:rsidP="001E26B8">
      <w:pPr>
        <w:pStyle w:val="Heading3"/>
      </w:pPr>
      <w:bookmarkStart w:id="248" w:name="_Toc370819232"/>
      <w:r w:rsidRPr="00B013ED">
        <w:t>Storage of the experimental and the control slabs</w:t>
      </w:r>
      <w:bookmarkEnd w:id="243"/>
      <w:bookmarkEnd w:id="248"/>
      <w:r w:rsidRPr="00B013ED">
        <w:t xml:space="preserve"> </w:t>
      </w:r>
    </w:p>
    <w:p w:rsidR="00250F94" w:rsidRPr="00B013ED" w:rsidRDefault="00250F94" w:rsidP="00250F94">
      <w:pPr>
        <w:spacing w:after="0" w:line="240" w:lineRule="auto"/>
      </w:pPr>
    </w:p>
    <w:p w:rsidR="00C06AD8" w:rsidRPr="00C06AD8" w:rsidRDefault="00C06AD8" w:rsidP="00C06AD8">
      <w:pPr>
        <w:spacing w:line="480" w:lineRule="auto"/>
        <w:jc w:val="both"/>
      </w:pPr>
      <w:bookmarkStart w:id="249" w:name="_Toc359956034"/>
      <w:bookmarkEnd w:id="244"/>
      <w:bookmarkEnd w:id="245"/>
      <w:r w:rsidRPr="00C06AD8">
        <w:t>All dentine samples were stored in a humid environment in a Petri</w:t>
      </w:r>
      <w:r w:rsidRPr="00C06AD8">
        <w:rPr>
          <w:color w:val="000000"/>
        </w:rPr>
        <w:t xml:space="preserve"> dish</w:t>
      </w:r>
      <w:r w:rsidRPr="00C06AD8">
        <w:t xml:space="preserve"> to maintain the hydration of dentine, in order to replicate normal oral conditions and to prevent the slabs from drying.  </w:t>
      </w:r>
    </w:p>
    <w:p w:rsidR="00C06AD8" w:rsidRPr="00C06AD8" w:rsidRDefault="0038197B" w:rsidP="00C06AD8">
      <w:pPr>
        <w:spacing w:line="480" w:lineRule="auto"/>
        <w:jc w:val="both"/>
      </w:pPr>
      <w:r>
        <w:rPr>
          <w:color w:val="000000"/>
        </w:rPr>
        <w:t>Nine</w:t>
      </w:r>
      <w:r w:rsidRPr="00C06AD8">
        <w:rPr>
          <w:color w:val="000000"/>
        </w:rPr>
        <w:t xml:space="preserve"> </w:t>
      </w:r>
      <w:r w:rsidR="00C06AD8" w:rsidRPr="00C06AD8">
        <w:rPr>
          <w:color w:val="000000"/>
        </w:rPr>
        <w:t xml:space="preserve">specimens were placed in each </w:t>
      </w:r>
      <w:r w:rsidR="00C06AD8" w:rsidRPr="00C06AD8">
        <w:t>Petri</w:t>
      </w:r>
      <w:r w:rsidR="00C06AD8" w:rsidRPr="00C06AD8">
        <w:rPr>
          <w:color w:val="000000"/>
        </w:rPr>
        <w:t xml:space="preserve">-dish.  Samples were covered with </w:t>
      </w:r>
      <w:r w:rsidR="00C06AD8" w:rsidRPr="00C06AD8">
        <w:t xml:space="preserve">gauze soaked with saline following which the petri dish was covered.  </w:t>
      </w:r>
      <w:r w:rsidR="00C06AD8" w:rsidRPr="00C06AD8">
        <w:rPr>
          <w:color w:val="000000"/>
        </w:rPr>
        <w:t xml:space="preserve">All </w:t>
      </w:r>
      <w:r w:rsidR="00C06AD8" w:rsidRPr="00C06AD8">
        <w:t>Petri</w:t>
      </w:r>
      <w:r w:rsidR="00C06AD8" w:rsidRPr="00C06AD8">
        <w:rPr>
          <w:color w:val="000000"/>
        </w:rPr>
        <w:t xml:space="preserve"> dishes were </w:t>
      </w:r>
      <w:r w:rsidR="00C06AD8" w:rsidRPr="00C06AD8">
        <w:t>kept in an incubator at a temperature at 37°C (Townson and Mercer LTD, USA). A thermometer was used continuously to make sure that the temperature was maintained at 37°C.</w:t>
      </w:r>
    </w:p>
    <w:p w:rsidR="00A964F3" w:rsidRDefault="00C06AD8" w:rsidP="004E0ACB">
      <w:pPr>
        <w:spacing w:line="480" w:lineRule="auto"/>
      </w:pPr>
      <w:r w:rsidRPr="00C06AD8">
        <w:t>Saline-soaked gauzes were changed every week throughout the period of the study to prevent dehydration. This also was done to ensure that no microbial growth was possib</w:t>
      </w:r>
      <w:r>
        <w:t>le on the surfaces of the slabs</w:t>
      </w:r>
    </w:p>
    <w:p w:rsidR="00C06AD8" w:rsidRPr="00C06AD8" w:rsidRDefault="00C06AD8" w:rsidP="004E0ACB">
      <w:pPr>
        <w:spacing w:line="480" w:lineRule="auto"/>
        <w:sectPr w:rsidR="00C06AD8" w:rsidRPr="00C06AD8" w:rsidSect="00365534">
          <w:headerReference w:type="default" r:id="rId39"/>
          <w:pgSz w:w="12240" w:h="15840"/>
          <w:pgMar w:top="1440" w:right="1298" w:bottom="1151" w:left="2268" w:header="709" w:footer="709" w:gutter="0"/>
          <w:cols w:space="708"/>
          <w:docGrid w:linePitch="360"/>
        </w:sectPr>
      </w:pPr>
      <w:r>
        <w:t>.</w:t>
      </w:r>
    </w:p>
    <w:p w:rsidR="00250F94" w:rsidRPr="00B013ED" w:rsidRDefault="00250F94" w:rsidP="00250F94"/>
    <w:p w:rsidR="00250F94" w:rsidRPr="00B013ED" w:rsidRDefault="00250F94" w:rsidP="002B54A2">
      <w:pPr>
        <w:pStyle w:val="Heading2"/>
      </w:pPr>
      <w:bookmarkStart w:id="250" w:name="_Toc180862557"/>
      <w:bookmarkStart w:id="251" w:name="_Toc180862626"/>
      <w:bookmarkStart w:id="252" w:name="_Toc182295492"/>
      <w:bookmarkStart w:id="253" w:name="_Toc226789710"/>
      <w:bookmarkStart w:id="254" w:name="_Toc359995937"/>
      <w:bookmarkStart w:id="255" w:name="_Toc370819233"/>
      <w:bookmarkEnd w:id="249"/>
      <w:r w:rsidRPr="00B013ED">
        <w:t>Method of Assessment</w:t>
      </w:r>
      <w:bookmarkEnd w:id="250"/>
      <w:bookmarkEnd w:id="251"/>
      <w:bookmarkEnd w:id="252"/>
      <w:bookmarkEnd w:id="253"/>
      <w:bookmarkEnd w:id="254"/>
      <w:bookmarkEnd w:id="255"/>
    </w:p>
    <w:p w:rsidR="00250F94" w:rsidRPr="00B013ED" w:rsidRDefault="00250F94" w:rsidP="00CC6F0F">
      <w:pPr>
        <w:pStyle w:val="Heading3"/>
        <w:spacing w:line="480" w:lineRule="auto"/>
      </w:pPr>
      <w:bookmarkStart w:id="256" w:name="_Toc180862560"/>
      <w:bookmarkStart w:id="257" w:name="_Toc180862629"/>
      <w:bookmarkStart w:id="258" w:name="_Toc182295495"/>
      <w:bookmarkStart w:id="259" w:name="_Toc226789711"/>
      <w:bookmarkStart w:id="260" w:name="_Toc359995938"/>
      <w:bookmarkStart w:id="261" w:name="_Toc370819234"/>
      <w:r w:rsidRPr="00B013ED">
        <w:t>Measurement of Hardness of Dentine using Nanoindentation</w:t>
      </w:r>
      <w:bookmarkEnd w:id="256"/>
      <w:bookmarkEnd w:id="257"/>
      <w:bookmarkEnd w:id="258"/>
      <w:bookmarkEnd w:id="259"/>
      <w:bookmarkEnd w:id="260"/>
      <w:bookmarkEnd w:id="261"/>
    </w:p>
    <w:p w:rsidR="00250F94" w:rsidRPr="00B013ED" w:rsidRDefault="00C06AD8" w:rsidP="00C06AD8">
      <w:pPr>
        <w:keepNext/>
        <w:keepLines/>
        <w:spacing w:before="240" w:after="240" w:line="480" w:lineRule="auto"/>
        <w:jc w:val="both"/>
        <w:rPr>
          <w:bCs/>
        </w:rPr>
      </w:pPr>
      <w:bookmarkStart w:id="262" w:name="_Toc359956035"/>
      <w:r w:rsidRPr="00B013ED">
        <w:rPr>
          <w:bCs/>
        </w:rPr>
        <w:t>A Nano</w:t>
      </w:r>
      <w:r>
        <w:rPr>
          <w:bCs/>
        </w:rPr>
        <w:t>-</w:t>
      </w:r>
      <w:r w:rsidRPr="00B013ED">
        <w:rPr>
          <w:bCs/>
        </w:rPr>
        <w:t xml:space="preserve">indenter (Micro Material Ltd, Wrexham, UK) located in the Mechanical Engineering Laboratory of University of Leeds was used </w:t>
      </w:r>
      <w:r w:rsidR="00250F94" w:rsidRPr="00B013ED">
        <w:rPr>
          <w:bCs/>
        </w:rPr>
        <w:t>(</w:t>
      </w:r>
      <w:r w:rsidR="00051E3F">
        <w:fldChar w:fldCharType="begin"/>
      </w:r>
      <w:r w:rsidR="00051E3F">
        <w:rPr>
          <w:bCs/>
        </w:rPr>
        <w:instrText xml:space="preserve"> REF _Ref361077493 \h </w:instrText>
      </w:r>
      <w:r>
        <w:instrText xml:space="preserve"> \* MERGEFORMAT </w:instrText>
      </w:r>
      <w:r w:rsidR="00051E3F">
        <w:fldChar w:fldCharType="separate"/>
      </w:r>
      <w:r w:rsidR="00374B77" w:rsidRPr="00374B77">
        <w:t xml:space="preserve">Figure </w:t>
      </w:r>
      <w:r w:rsidR="00374B77" w:rsidRPr="00374B77">
        <w:rPr>
          <w:cs/>
        </w:rPr>
        <w:t>‎</w:t>
      </w:r>
      <w:r w:rsidR="00374B77">
        <w:rPr>
          <w:rFonts w:cstheme="minorBidi"/>
          <w:b/>
          <w:bCs/>
          <w:noProof/>
          <w:sz w:val="20"/>
          <w:szCs w:val="20"/>
        </w:rPr>
        <w:t>0.2</w:t>
      </w:r>
      <w:r w:rsidR="00051E3F">
        <w:fldChar w:fldCharType="end"/>
      </w:r>
      <w:r w:rsidR="00250F94" w:rsidRPr="00B013ED">
        <w:rPr>
          <w:bCs/>
        </w:rPr>
        <w:t>).</w:t>
      </w:r>
      <w:bookmarkEnd w:id="262"/>
      <w:r w:rsidR="00250F94" w:rsidRPr="00B013ED">
        <w:rPr>
          <w:bCs/>
        </w:rPr>
        <w:t xml:space="preserve">  </w:t>
      </w:r>
    </w:p>
    <w:p w:rsidR="00250F94" w:rsidRDefault="00C06AD8" w:rsidP="00C06AD8">
      <w:pPr>
        <w:spacing w:after="0" w:line="480" w:lineRule="auto"/>
        <w:jc w:val="both"/>
      </w:pPr>
      <w:r w:rsidRPr="00B013ED">
        <w:t xml:space="preserve">Before the slabs could be used for assessment by </w:t>
      </w:r>
      <w:r>
        <w:t>nano-indentation</w:t>
      </w:r>
      <w:r w:rsidRPr="00B013ED">
        <w:t xml:space="preserve"> they were prepared to be clean, flat and smooth. The slabs were left in a water bath for 30 minutes to remove any debris and </w:t>
      </w:r>
      <w:r>
        <w:t xml:space="preserve">remnants of calcium hydroxide. </w:t>
      </w:r>
      <w:r w:rsidRPr="00B013ED">
        <w:t>They were then made smooth and flat using fine sandpaper (3M, USA</w:t>
      </w:r>
      <w:r w:rsidR="00250F94" w:rsidRPr="00B013ED">
        <w:t xml:space="preserve">). </w:t>
      </w:r>
    </w:p>
    <w:p w:rsidR="00250F94" w:rsidRPr="00B013ED" w:rsidRDefault="007846DE" w:rsidP="00250F94">
      <w:pPr>
        <w:spacing w:line="480" w:lineRule="auto"/>
        <w:sectPr w:rsidR="00250F94" w:rsidRPr="00B013ED" w:rsidSect="00365534">
          <w:pgSz w:w="12240" w:h="15840"/>
          <w:pgMar w:top="1440" w:right="1298" w:bottom="1151" w:left="2268" w:header="709" w:footer="709" w:gutter="0"/>
          <w:cols w:space="708"/>
          <w:docGrid w:linePitch="360"/>
        </w:sectPr>
      </w:pPr>
      <w:r>
        <w:rPr>
          <w:noProof/>
          <w:lang w:eastAsia="en-GB"/>
        </w:rPr>
        <mc:AlternateContent>
          <mc:Choice Requires="wps">
            <w:drawing>
              <wp:anchor distT="0" distB="0" distL="114300" distR="114300" simplePos="0" relativeHeight="251759616" behindDoc="0" locked="0" layoutInCell="1" allowOverlap="1" wp14:anchorId="5D31DB7A" wp14:editId="5CBDADDC">
                <wp:simplePos x="0" y="0"/>
                <wp:positionH relativeFrom="column">
                  <wp:posOffset>725805</wp:posOffset>
                </wp:positionH>
                <wp:positionV relativeFrom="paragraph">
                  <wp:posOffset>415925</wp:posOffset>
                </wp:positionV>
                <wp:extent cx="415290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4152900" cy="457200"/>
                        </a:xfrm>
                        <a:prstGeom prst="rect">
                          <a:avLst/>
                        </a:prstGeom>
                        <a:solidFill>
                          <a:prstClr val="white"/>
                        </a:solidFill>
                        <a:ln>
                          <a:noFill/>
                        </a:ln>
                        <a:effectLst/>
                      </wps:spPr>
                      <wps:txbx>
                        <w:txbxContent>
                          <w:p w:rsidR="003208E6" w:rsidRPr="00C06AD8" w:rsidRDefault="003208E6" w:rsidP="001D3F19">
                            <w:pPr>
                              <w:rPr>
                                <w:rFonts w:cstheme="minorBidi"/>
                                <w:b/>
                                <w:bCs/>
                                <w:sz w:val="20"/>
                                <w:szCs w:val="20"/>
                              </w:rPr>
                            </w:pPr>
                            <w:bookmarkStart w:id="263" w:name="_Ref361077493"/>
                            <w:bookmarkStart w:id="264" w:name="_Toc361733592"/>
                            <w:bookmarkStart w:id="265" w:name="_Toc361734235"/>
                            <w:bookmarkStart w:id="266" w:name="_Toc370511631"/>
                            <w:r w:rsidRPr="00C06AD8">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2</w:t>
                            </w:r>
                            <w:r>
                              <w:rPr>
                                <w:rFonts w:cstheme="minorBidi"/>
                                <w:b/>
                                <w:bCs/>
                                <w:sz w:val="20"/>
                                <w:szCs w:val="20"/>
                              </w:rPr>
                              <w:fldChar w:fldCharType="end"/>
                            </w:r>
                            <w:bookmarkEnd w:id="263"/>
                            <w:r w:rsidRPr="00C06AD8">
                              <w:rPr>
                                <w:rFonts w:cstheme="minorBidi"/>
                                <w:b/>
                                <w:bCs/>
                                <w:sz w:val="20"/>
                                <w:szCs w:val="20"/>
                              </w:rPr>
                              <w:t xml:space="preserve"> Nanoindentor used to test the Hardness of dentine</w:t>
                            </w:r>
                            <w:bookmarkEnd w:id="264"/>
                            <w:bookmarkEnd w:id="265"/>
                            <w:bookmarkEnd w:id="2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6" o:spid="_x0000_s1030" type="#_x0000_t202" style="position:absolute;margin-left:57.15pt;margin-top:32.75pt;width:327pt;height:36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" stroked="f">
                <v:textbox inset="0,0,0,0">
                  <w:txbxContent>
                    <w:p w:rsidR="003208E6" w:rsidRPr="00C06AD8" w:rsidRDefault="003208E6" w:rsidP="001D3F19">
                      <w:pPr>
                        <w:rPr>
                          <w:rFonts w:cstheme="minorBidi"/>
                          <w:b/>
                          <w:bCs/>
                          <w:sz w:val="20"/>
                          <w:szCs w:val="20"/>
                        </w:rPr>
                      </w:pPr>
                      <w:bookmarkStart w:id="269" w:name="_Ref361077493"/>
                      <w:bookmarkStart w:id="270" w:name="_Toc361733592"/>
                      <w:bookmarkStart w:id="271" w:name="_Toc361734235"/>
                      <w:bookmarkStart w:id="272" w:name="_Toc370511631"/>
                      <w:r w:rsidRPr="00C06AD8">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2</w:t>
                      </w:r>
                      <w:r>
                        <w:rPr>
                          <w:rFonts w:cstheme="minorBidi"/>
                          <w:b/>
                          <w:bCs/>
                          <w:sz w:val="20"/>
                          <w:szCs w:val="20"/>
                        </w:rPr>
                        <w:fldChar w:fldCharType="end"/>
                      </w:r>
                      <w:bookmarkEnd w:id="269"/>
                      <w:r w:rsidRPr="00C06AD8">
                        <w:rPr>
                          <w:rFonts w:cstheme="minorBidi"/>
                          <w:b/>
                          <w:bCs/>
                          <w:sz w:val="20"/>
                          <w:szCs w:val="20"/>
                        </w:rPr>
                        <w:t xml:space="preserve"> Nanoindentor used to test the Hardness of dentine</w:t>
                      </w:r>
                      <w:bookmarkEnd w:id="270"/>
                      <w:bookmarkEnd w:id="271"/>
                      <w:bookmarkEnd w:id="272"/>
                    </w:p>
                  </w:txbxContent>
                </v:textbox>
                <w10:wrap type="square"/>
              </v:shape>
            </w:pict>
          </mc:Fallback>
        </mc:AlternateContent>
      </w:r>
      <w:r w:rsidRPr="00B013ED">
        <w:rPr>
          <w:noProof/>
          <w:lang w:eastAsia="en-GB"/>
        </w:rPr>
        <w:drawing>
          <wp:anchor distT="0" distB="0" distL="114300" distR="114300" simplePos="0" relativeHeight="251749376" behindDoc="0" locked="0" layoutInCell="1" allowOverlap="1" wp14:anchorId="73C3C941" wp14:editId="390CB7E0">
            <wp:simplePos x="0" y="0"/>
            <wp:positionH relativeFrom="column">
              <wp:posOffset>725805</wp:posOffset>
            </wp:positionH>
            <wp:positionV relativeFrom="paragraph">
              <wp:posOffset>892175</wp:posOffset>
            </wp:positionV>
            <wp:extent cx="4152900" cy="3238500"/>
            <wp:effectExtent l="0" t="0" r="0" b="0"/>
            <wp:wrapSquare wrapText="bothSides"/>
            <wp:docPr id="46" name="Picture 8" descr="IMG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39"/>
                    <pic:cNvPicPr>
                      <a:picLocks noChangeAspect="1" noChangeArrowheads="1"/>
                    </pic:cNvPicPr>
                  </pic:nvPicPr>
                  <pic:blipFill>
                    <a:blip r:embed="rId40" cstate="print"/>
                    <a:srcRect/>
                    <a:stretch>
                      <a:fillRect/>
                    </a:stretch>
                  </pic:blipFill>
                  <pic:spPr bwMode="auto">
                    <a:xfrm>
                      <a:off x="0" y="0"/>
                      <a:ext cx="4152900" cy="3238500"/>
                    </a:xfrm>
                    <a:prstGeom prst="rect">
                      <a:avLst/>
                    </a:prstGeom>
                    <a:noFill/>
                  </pic:spPr>
                </pic:pic>
              </a:graphicData>
            </a:graphic>
            <wp14:sizeRelH relativeFrom="margin">
              <wp14:pctWidth>0</wp14:pctWidth>
            </wp14:sizeRelH>
            <wp14:sizeRelV relativeFrom="margin">
              <wp14:pctHeight>0</wp14:pctHeight>
            </wp14:sizeRelV>
          </wp:anchor>
        </w:drawing>
      </w:r>
      <w:r w:rsidR="00250F94" w:rsidRPr="00B013ED">
        <w:rPr>
          <w:noProof/>
          <w:lang w:eastAsia="en-GB"/>
        </w:rPr>
        <mc:AlternateContent>
          <mc:Choice Requires="wps">
            <w:drawing>
              <wp:anchor distT="0" distB="0" distL="114300" distR="114300" simplePos="0" relativeHeight="251652096" behindDoc="0" locked="0" layoutInCell="1" allowOverlap="1" wp14:anchorId="37F6F08E" wp14:editId="17774BCF">
                <wp:simplePos x="0" y="0"/>
                <wp:positionH relativeFrom="column">
                  <wp:posOffset>-2287905</wp:posOffset>
                </wp:positionH>
                <wp:positionV relativeFrom="paragraph">
                  <wp:posOffset>283210</wp:posOffset>
                </wp:positionV>
                <wp:extent cx="0" cy="847725"/>
                <wp:effectExtent l="91440" t="23495" r="89535" b="3365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477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5pt,22.3pt" to="-180.1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" strokeweight="3pt">
                <v:stroke endarrow="block"/>
              </v:line>
            </w:pict>
          </mc:Fallback>
        </mc:AlternateContent>
      </w:r>
    </w:p>
    <w:p w:rsidR="00250F94" w:rsidRPr="00B013ED" w:rsidRDefault="00250F94" w:rsidP="00051E3F">
      <w:pPr>
        <w:pStyle w:val="Heading3"/>
        <w:spacing w:line="480" w:lineRule="auto"/>
        <w:rPr>
          <w:rFonts w:eastAsia="Calibri"/>
        </w:rPr>
      </w:pPr>
      <w:bookmarkStart w:id="267" w:name="_Toc180862561"/>
      <w:bookmarkStart w:id="268" w:name="_Toc180862630"/>
      <w:bookmarkStart w:id="269" w:name="_Toc182295496"/>
      <w:bookmarkStart w:id="270" w:name="_Toc226789712"/>
      <w:bookmarkStart w:id="271" w:name="_Toc359995939"/>
      <w:bookmarkStart w:id="272" w:name="_Toc370819235"/>
      <w:r w:rsidRPr="00B013ED">
        <w:rPr>
          <w:rFonts w:eastAsia="Calibri"/>
        </w:rPr>
        <w:lastRenderedPageBreak/>
        <w:t>Preparing and embedding slabs for nanoindentation</w:t>
      </w:r>
      <w:bookmarkEnd w:id="267"/>
      <w:bookmarkEnd w:id="268"/>
      <w:bookmarkEnd w:id="269"/>
      <w:bookmarkEnd w:id="270"/>
      <w:bookmarkEnd w:id="271"/>
      <w:bookmarkEnd w:id="272"/>
    </w:p>
    <w:p w:rsidR="006F5364" w:rsidRDefault="00C06AD8" w:rsidP="00C06AD8">
      <w:pPr>
        <w:keepNext/>
        <w:keepLines/>
        <w:spacing w:before="240" w:after="240" w:line="480" w:lineRule="auto"/>
        <w:jc w:val="both"/>
        <w:rPr>
          <w:rFonts w:cstheme="minorBidi"/>
          <w:bCs/>
          <w:szCs w:val="24"/>
        </w:rPr>
      </w:pPr>
      <w:bookmarkStart w:id="273" w:name="_Toc359956037"/>
      <w:bookmarkStart w:id="274" w:name="_Toc360367336"/>
      <w:r w:rsidRPr="00B013ED">
        <w:rPr>
          <w:rFonts w:cstheme="minorBidi"/>
          <w:bCs/>
          <w:szCs w:val="24"/>
          <w:lang w:val="en-US"/>
        </w:rPr>
        <w:t>The nano</w:t>
      </w:r>
      <w:r>
        <w:rPr>
          <w:rFonts w:cstheme="minorBidi"/>
          <w:bCs/>
          <w:szCs w:val="24"/>
          <w:lang w:val="en-US"/>
        </w:rPr>
        <w:t>-</w:t>
      </w:r>
      <w:r w:rsidRPr="00B013ED">
        <w:rPr>
          <w:rFonts w:cstheme="minorBidi"/>
          <w:bCs/>
          <w:szCs w:val="24"/>
          <w:lang w:val="en-US"/>
        </w:rPr>
        <w:t xml:space="preserve">indenter is usually used to assess larger slabs and materials than was </w:t>
      </w:r>
      <w:r w:rsidRPr="00FD22A0">
        <w:rPr>
          <w:rFonts w:cstheme="minorBidi"/>
          <w:bCs/>
          <w:szCs w:val="24"/>
          <w:lang w:val="en-US"/>
        </w:rPr>
        <w:t xml:space="preserve">the case in our study. For slabs of the dimensions that we used in our study, we were required to develop a system that would hold the slabs securely in the nanoi-ndenter for the tests to be carried out.  For this purpose we developed a metal die as shown in </w:t>
      </w:r>
      <w:r w:rsidR="003541BE" w:rsidRPr="00FD22A0">
        <w:rPr>
          <w:rFonts w:cstheme="minorBidi"/>
          <w:bCs/>
          <w:szCs w:val="24"/>
          <w:lang w:val="en-US"/>
        </w:rPr>
        <w:t>(</w:t>
      </w:r>
      <w:r w:rsidR="003541BE" w:rsidRPr="00FD22A0">
        <w:rPr>
          <w:rFonts w:cstheme="minorBidi"/>
          <w:bCs/>
          <w:szCs w:val="24"/>
        </w:rPr>
        <w:fldChar w:fldCharType="begin"/>
      </w:r>
      <w:r w:rsidR="003541BE" w:rsidRPr="00FD22A0">
        <w:rPr>
          <w:rFonts w:cstheme="minorBidi"/>
          <w:bCs/>
          <w:szCs w:val="24"/>
          <w:lang w:val="en-US"/>
        </w:rPr>
        <w:instrText xml:space="preserve"> REF _Ref360796242 \h </w:instrText>
      </w:r>
      <w:r w:rsidR="00AF4BF4" w:rsidRPr="00FD22A0">
        <w:rPr>
          <w:rFonts w:cstheme="minorBidi"/>
          <w:bCs/>
          <w:szCs w:val="24"/>
        </w:rPr>
        <w:instrText xml:space="preserve"> \* MERGEFORMAT </w:instrText>
      </w:r>
      <w:r w:rsidR="003541BE" w:rsidRPr="00FD22A0">
        <w:rPr>
          <w:rFonts w:cstheme="minorBidi"/>
          <w:bCs/>
          <w:szCs w:val="24"/>
        </w:rPr>
      </w:r>
      <w:r w:rsidR="003541BE" w:rsidRPr="00FD22A0">
        <w:rPr>
          <w:rFonts w:cstheme="minorBidi"/>
          <w:bCs/>
          <w:szCs w:val="24"/>
        </w:rPr>
        <w:fldChar w:fldCharType="separate"/>
      </w:r>
      <w:r w:rsidR="00374B77" w:rsidRPr="00374B77">
        <w:rPr>
          <w:rFonts w:cstheme="minorBidi"/>
          <w:bCs/>
          <w:szCs w:val="24"/>
        </w:rPr>
        <w:t xml:space="preserve">Figure </w:t>
      </w:r>
      <w:r w:rsidR="00374B77" w:rsidRPr="00374B77">
        <w:rPr>
          <w:rFonts w:cstheme="minorBidi"/>
          <w:bCs/>
          <w:noProof/>
          <w:szCs w:val="24"/>
          <w:cs/>
        </w:rPr>
        <w:t>‎</w:t>
      </w:r>
      <w:r w:rsidR="00374B77">
        <w:rPr>
          <w:rFonts w:cstheme="minorBidi"/>
          <w:b/>
          <w:bCs/>
          <w:noProof/>
          <w:sz w:val="20"/>
          <w:szCs w:val="20"/>
        </w:rPr>
        <w:t>0.3</w:t>
      </w:r>
      <w:r w:rsidR="003541BE" w:rsidRPr="00FD22A0">
        <w:rPr>
          <w:rFonts w:cstheme="minorBidi"/>
          <w:bCs/>
          <w:szCs w:val="24"/>
        </w:rPr>
        <w:fldChar w:fldCharType="end"/>
      </w:r>
      <w:r w:rsidR="003541BE" w:rsidRPr="00FD22A0">
        <w:rPr>
          <w:rFonts w:cstheme="minorBidi"/>
          <w:bCs/>
          <w:szCs w:val="24"/>
        </w:rPr>
        <w:t xml:space="preserve">). </w:t>
      </w:r>
      <w:r w:rsidRPr="00FD22A0">
        <w:rPr>
          <w:rFonts w:cstheme="minorBidi"/>
          <w:bCs/>
          <w:szCs w:val="24"/>
          <w:lang w:val="en-US"/>
        </w:rPr>
        <w:t xml:space="preserve">This die was fabricated from iron in the workshop of Leeds Dental Institute according to our instructions. The rectangular well in the middle of the metal die was filled with a light cured composite resin into which the dentine slabs were set before light curing.  A ruler was used with gentle pressure to ensure flatness of the slab before curing.  After curing the composite the embedded slab was gently removed from the die with pressure applied through the small hole located in the middle of the well. Using a Diamond cutting wire the dentine slab was sectioned in the middle as shown in </w:t>
      </w:r>
      <w:r w:rsidR="00250F94" w:rsidRPr="00FD22A0">
        <w:rPr>
          <w:rFonts w:cstheme="minorBidi"/>
          <w:bCs/>
          <w:szCs w:val="24"/>
          <w:lang w:val="en-US"/>
        </w:rPr>
        <w:t>(</w:t>
      </w:r>
      <w:r w:rsidR="006F5364" w:rsidRPr="00FD22A0">
        <w:rPr>
          <w:rFonts w:cstheme="minorBidi"/>
          <w:bCs/>
          <w:szCs w:val="24"/>
        </w:rPr>
        <w:fldChar w:fldCharType="begin"/>
      </w:r>
      <w:r w:rsidR="006F5364" w:rsidRPr="00FD22A0">
        <w:rPr>
          <w:rFonts w:cstheme="minorBidi"/>
          <w:bCs/>
          <w:szCs w:val="24"/>
          <w:lang w:val="en-US"/>
        </w:rPr>
        <w:instrText xml:space="preserve"> REF _Ref360796715 \h </w:instrText>
      </w:r>
      <w:r w:rsidR="006F5364" w:rsidRPr="00FD22A0">
        <w:rPr>
          <w:rFonts w:cstheme="minorBidi"/>
          <w:bCs/>
          <w:szCs w:val="24"/>
        </w:rPr>
        <w:instrText xml:space="preserve"> \* MERGEFORMAT </w:instrText>
      </w:r>
      <w:r w:rsidR="006F5364" w:rsidRPr="00FD22A0">
        <w:rPr>
          <w:rFonts w:cstheme="minorBidi"/>
          <w:bCs/>
          <w:szCs w:val="24"/>
        </w:rPr>
      </w:r>
      <w:r w:rsidR="006F5364" w:rsidRPr="00FD22A0">
        <w:rPr>
          <w:rFonts w:cstheme="minorBidi"/>
          <w:bCs/>
          <w:szCs w:val="24"/>
        </w:rPr>
        <w:fldChar w:fldCharType="separate"/>
      </w:r>
      <w:r w:rsidR="00374B77" w:rsidRPr="00374B77">
        <w:rPr>
          <w:rFonts w:cstheme="minorBidi"/>
          <w:bCs/>
          <w:szCs w:val="24"/>
        </w:rPr>
        <w:t xml:space="preserve">Figure </w:t>
      </w:r>
      <w:r w:rsidR="00374B77" w:rsidRPr="00374B77">
        <w:rPr>
          <w:rFonts w:cstheme="minorBidi"/>
          <w:bCs/>
          <w:noProof/>
          <w:szCs w:val="24"/>
          <w:cs/>
        </w:rPr>
        <w:t>‎</w:t>
      </w:r>
      <w:r w:rsidR="00374B77">
        <w:rPr>
          <w:rFonts w:cstheme="minorBidi"/>
          <w:b/>
          <w:bCs/>
          <w:noProof/>
          <w:sz w:val="20"/>
          <w:szCs w:val="20"/>
        </w:rPr>
        <w:t>0.4</w:t>
      </w:r>
      <w:r w:rsidR="006F5364" w:rsidRPr="00FD22A0">
        <w:rPr>
          <w:rFonts w:cstheme="minorBidi"/>
          <w:bCs/>
          <w:szCs w:val="24"/>
        </w:rPr>
        <w:fldChar w:fldCharType="end"/>
      </w:r>
      <w:r w:rsidR="00250F94" w:rsidRPr="00FD22A0">
        <w:rPr>
          <w:rFonts w:cstheme="minorBidi"/>
          <w:bCs/>
          <w:szCs w:val="24"/>
          <w:lang w:val="en-US"/>
        </w:rPr>
        <w:t>).</w:t>
      </w:r>
      <w:bookmarkStart w:id="275" w:name="_Toc359956038"/>
      <w:bookmarkEnd w:id="273"/>
      <w:bookmarkEnd w:id="274"/>
    </w:p>
    <w:p w:rsidR="003541BE" w:rsidRPr="006F5364" w:rsidRDefault="003541BE" w:rsidP="006F5364">
      <w:pPr>
        <w:keepNext/>
        <w:keepLines/>
        <w:spacing w:before="240" w:after="240" w:line="480" w:lineRule="auto"/>
        <w:jc w:val="both"/>
        <w:rPr>
          <w:rFonts w:cstheme="minorBidi"/>
          <w:bCs/>
          <w:szCs w:val="24"/>
        </w:rPr>
      </w:pPr>
      <w:r>
        <w:rPr>
          <w:rFonts w:cstheme="minorBidi"/>
          <w:szCs w:val="24"/>
          <w:lang w:val="en-US"/>
        </w:rPr>
        <w:br w:type="page"/>
      </w:r>
    </w:p>
    <w:p w:rsidR="003541BE" w:rsidRDefault="003541BE" w:rsidP="003541BE">
      <w:pPr>
        <w:autoSpaceDE w:val="0"/>
        <w:autoSpaceDN w:val="0"/>
        <w:adjustRightInd w:val="0"/>
        <w:spacing w:line="480" w:lineRule="auto"/>
        <w:ind w:right="26"/>
        <w:jc w:val="both"/>
        <w:rPr>
          <w:rFonts w:cstheme="minorBidi"/>
          <w:szCs w:val="24"/>
          <w:lang w:val="en-US"/>
        </w:rPr>
      </w:pPr>
      <w:r w:rsidRPr="003541BE">
        <w:rPr>
          <w:noProof/>
          <w:color w:val="FF0000"/>
          <w:lang w:eastAsia="en-GB"/>
        </w:rPr>
        <w:lastRenderedPageBreak/>
        <mc:AlternateContent>
          <mc:Choice Requires="wps">
            <w:drawing>
              <wp:anchor distT="0" distB="0" distL="114300" distR="114300" simplePos="0" relativeHeight="251761664" behindDoc="0" locked="0" layoutInCell="1" allowOverlap="1" wp14:anchorId="56A3FDF8" wp14:editId="6C52EEA7">
                <wp:simplePos x="0" y="0"/>
                <wp:positionH relativeFrom="column">
                  <wp:posOffset>-46355</wp:posOffset>
                </wp:positionH>
                <wp:positionV relativeFrom="paragraph">
                  <wp:posOffset>-142875</wp:posOffset>
                </wp:positionV>
                <wp:extent cx="4943475" cy="457200"/>
                <wp:effectExtent l="0" t="0" r="9525" b="0"/>
                <wp:wrapSquare wrapText="bothSides"/>
                <wp:docPr id="266" name="Text Box 266"/>
                <wp:cNvGraphicFramePr/>
                <a:graphic xmlns:a="http://schemas.openxmlformats.org/drawingml/2006/main">
                  <a:graphicData uri="http://schemas.microsoft.com/office/word/2010/wordprocessingShape">
                    <wps:wsp>
                      <wps:cNvSpPr txBox="1"/>
                      <wps:spPr>
                        <a:xfrm>
                          <a:off x="0" y="0"/>
                          <a:ext cx="4943475" cy="457200"/>
                        </a:xfrm>
                        <a:prstGeom prst="rect">
                          <a:avLst/>
                        </a:prstGeom>
                        <a:solidFill>
                          <a:prstClr val="white"/>
                        </a:solidFill>
                        <a:ln>
                          <a:noFill/>
                        </a:ln>
                        <a:effectLst/>
                      </wps:spPr>
                      <wps:txbx>
                        <w:txbxContent>
                          <w:p w:rsidR="003208E6" w:rsidRPr="00C06AD8" w:rsidRDefault="003208E6" w:rsidP="001D3F19">
                            <w:pPr>
                              <w:rPr>
                                <w:rFonts w:cstheme="minorBidi"/>
                                <w:b/>
                                <w:bCs/>
                                <w:sz w:val="20"/>
                                <w:szCs w:val="20"/>
                              </w:rPr>
                            </w:pPr>
                            <w:bookmarkStart w:id="276" w:name="_Ref360796242"/>
                            <w:bookmarkStart w:id="277" w:name="_Toc361733593"/>
                            <w:bookmarkStart w:id="278" w:name="_Toc361734236"/>
                            <w:bookmarkStart w:id="279" w:name="_Toc370511632"/>
                            <w:r w:rsidRPr="00C06AD8">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3</w:t>
                            </w:r>
                            <w:r>
                              <w:rPr>
                                <w:rFonts w:cstheme="minorBidi"/>
                                <w:b/>
                                <w:bCs/>
                                <w:sz w:val="20"/>
                                <w:szCs w:val="20"/>
                              </w:rPr>
                              <w:fldChar w:fldCharType="end"/>
                            </w:r>
                            <w:bookmarkEnd w:id="276"/>
                            <w:r w:rsidRPr="00C06AD8">
                              <w:rPr>
                                <w:rFonts w:cstheme="minorBidi"/>
                                <w:b/>
                                <w:bCs/>
                                <w:sz w:val="20"/>
                                <w:szCs w:val="20"/>
                              </w:rPr>
                              <w:t xml:space="preserve"> Metal die constructed to hold the dentine samples for assessment by nanoindention</w:t>
                            </w:r>
                            <w:bookmarkEnd w:id="277"/>
                            <w:bookmarkEnd w:id="278"/>
                            <w:bookmarkEnd w:id="2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6" o:spid="_x0000_s1031" type="#_x0000_t202" style="position:absolute;left:0;text-align:left;margin-left:-3.65pt;margin-top:-11.25pt;width:389.25pt;height:36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" stroked="f">
                <v:textbox inset="0,0,0,0">
                  <w:txbxContent>
                    <w:p w:rsidR="003208E6" w:rsidRPr="00C06AD8" w:rsidRDefault="003208E6" w:rsidP="001D3F19">
                      <w:pPr>
                        <w:rPr>
                          <w:rFonts w:cstheme="minorBidi"/>
                          <w:b/>
                          <w:bCs/>
                          <w:sz w:val="20"/>
                          <w:szCs w:val="20"/>
                        </w:rPr>
                      </w:pPr>
                      <w:bookmarkStart w:id="286" w:name="_Ref360796242"/>
                      <w:bookmarkStart w:id="287" w:name="_Toc361733593"/>
                      <w:bookmarkStart w:id="288" w:name="_Toc361734236"/>
                      <w:bookmarkStart w:id="289" w:name="_Toc370511632"/>
                      <w:r w:rsidRPr="00C06AD8">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3</w:t>
                      </w:r>
                      <w:r>
                        <w:rPr>
                          <w:rFonts w:cstheme="minorBidi"/>
                          <w:b/>
                          <w:bCs/>
                          <w:sz w:val="20"/>
                          <w:szCs w:val="20"/>
                        </w:rPr>
                        <w:fldChar w:fldCharType="end"/>
                      </w:r>
                      <w:bookmarkEnd w:id="286"/>
                      <w:r w:rsidRPr="00C06AD8">
                        <w:rPr>
                          <w:rFonts w:cstheme="minorBidi"/>
                          <w:b/>
                          <w:bCs/>
                          <w:sz w:val="20"/>
                          <w:szCs w:val="20"/>
                        </w:rPr>
                        <w:t xml:space="preserve"> Metal die constructed to hold the dentine samples for assessment by nanoindention</w:t>
                      </w:r>
                      <w:bookmarkEnd w:id="287"/>
                      <w:bookmarkEnd w:id="288"/>
                      <w:bookmarkEnd w:id="289"/>
                    </w:p>
                  </w:txbxContent>
                </v:textbox>
                <w10:wrap type="square"/>
              </v:shape>
            </w:pict>
          </mc:Fallback>
        </mc:AlternateContent>
      </w:r>
      <w:r w:rsidRPr="003541BE">
        <w:rPr>
          <w:noProof/>
          <w:color w:val="FF0000"/>
          <w:lang w:eastAsia="en-GB"/>
        </w:rPr>
        <w:drawing>
          <wp:anchor distT="0" distB="0" distL="114300" distR="114300" simplePos="0" relativeHeight="251754496" behindDoc="0" locked="0" layoutInCell="1" allowOverlap="1" wp14:anchorId="449A7B86" wp14:editId="75818B15">
            <wp:simplePos x="0" y="0"/>
            <wp:positionH relativeFrom="column">
              <wp:posOffset>392430</wp:posOffset>
            </wp:positionH>
            <wp:positionV relativeFrom="paragraph">
              <wp:posOffset>292735</wp:posOffset>
            </wp:positionV>
            <wp:extent cx="4238625" cy="3238500"/>
            <wp:effectExtent l="0" t="0" r="9525" b="0"/>
            <wp:wrapSquare wrapText="bothSides"/>
            <wp:docPr id="7" name="Picture 7" descr="C:\Users\wageh\Desktop\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geh\Desktop\258.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0937" t="5324" r="12673" b="5779"/>
                    <a:stretch/>
                  </pic:blipFill>
                  <pic:spPr bwMode="auto">
                    <a:xfrm>
                      <a:off x="0" y="0"/>
                      <a:ext cx="4238625"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41BE" w:rsidRDefault="003541BE" w:rsidP="003541BE">
      <w:pPr>
        <w:autoSpaceDE w:val="0"/>
        <w:autoSpaceDN w:val="0"/>
        <w:adjustRightInd w:val="0"/>
        <w:spacing w:line="480" w:lineRule="auto"/>
        <w:ind w:right="26"/>
        <w:jc w:val="both"/>
        <w:rPr>
          <w:rFonts w:cstheme="minorBidi"/>
          <w:szCs w:val="24"/>
          <w:lang w:val="en-US"/>
        </w:rPr>
      </w:pPr>
    </w:p>
    <w:p w:rsidR="003541BE" w:rsidRDefault="003541BE" w:rsidP="003541BE">
      <w:pPr>
        <w:autoSpaceDE w:val="0"/>
        <w:autoSpaceDN w:val="0"/>
        <w:adjustRightInd w:val="0"/>
        <w:spacing w:line="480" w:lineRule="auto"/>
        <w:ind w:right="26"/>
        <w:jc w:val="both"/>
        <w:rPr>
          <w:rFonts w:cstheme="minorBidi"/>
          <w:szCs w:val="24"/>
          <w:lang w:val="en-US"/>
        </w:rPr>
      </w:pPr>
    </w:p>
    <w:p w:rsidR="003541BE" w:rsidRDefault="003541BE" w:rsidP="003541BE">
      <w:pPr>
        <w:autoSpaceDE w:val="0"/>
        <w:autoSpaceDN w:val="0"/>
        <w:adjustRightInd w:val="0"/>
        <w:spacing w:line="480" w:lineRule="auto"/>
        <w:ind w:right="26"/>
        <w:jc w:val="both"/>
        <w:rPr>
          <w:rFonts w:cstheme="minorBidi"/>
          <w:szCs w:val="24"/>
          <w:lang w:val="en-US"/>
        </w:rPr>
      </w:pPr>
    </w:p>
    <w:p w:rsidR="003541BE" w:rsidRDefault="003541BE" w:rsidP="003541BE">
      <w:pPr>
        <w:autoSpaceDE w:val="0"/>
        <w:autoSpaceDN w:val="0"/>
        <w:adjustRightInd w:val="0"/>
        <w:spacing w:line="480" w:lineRule="auto"/>
        <w:ind w:right="26"/>
        <w:jc w:val="both"/>
        <w:rPr>
          <w:rFonts w:cstheme="minorBidi"/>
          <w:szCs w:val="24"/>
          <w:lang w:val="en-US"/>
        </w:rPr>
      </w:pPr>
    </w:p>
    <w:p w:rsidR="003541BE" w:rsidRDefault="003541BE" w:rsidP="003541BE">
      <w:pPr>
        <w:autoSpaceDE w:val="0"/>
        <w:autoSpaceDN w:val="0"/>
        <w:adjustRightInd w:val="0"/>
        <w:spacing w:line="480" w:lineRule="auto"/>
        <w:ind w:right="26"/>
        <w:jc w:val="both"/>
        <w:rPr>
          <w:rFonts w:cstheme="minorBidi"/>
          <w:szCs w:val="24"/>
          <w:lang w:val="en-US"/>
        </w:rPr>
      </w:pPr>
    </w:p>
    <w:p w:rsidR="003541BE" w:rsidRDefault="003541BE" w:rsidP="003541BE">
      <w:pPr>
        <w:autoSpaceDE w:val="0"/>
        <w:autoSpaceDN w:val="0"/>
        <w:adjustRightInd w:val="0"/>
        <w:spacing w:line="480" w:lineRule="auto"/>
        <w:ind w:right="26"/>
        <w:jc w:val="both"/>
        <w:rPr>
          <w:rFonts w:cstheme="minorBidi"/>
          <w:szCs w:val="24"/>
          <w:lang w:val="en-US"/>
        </w:rPr>
      </w:pPr>
    </w:p>
    <w:p w:rsidR="004E0ACB" w:rsidRDefault="004E0ACB" w:rsidP="004E0ACB">
      <w:pPr>
        <w:autoSpaceDE w:val="0"/>
        <w:autoSpaceDN w:val="0"/>
        <w:adjustRightInd w:val="0"/>
        <w:spacing w:line="480" w:lineRule="auto"/>
        <w:ind w:right="26"/>
        <w:jc w:val="both"/>
        <w:rPr>
          <w:rFonts w:cstheme="minorBidi"/>
          <w:szCs w:val="24"/>
          <w:lang w:val="en-US"/>
        </w:rPr>
      </w:pPr>
    </w:p>
    <w:p w:rsidR="004E0ACB" w:rsidRDefault="004E0ACB" w:rsidP="004E0ACB">
      <w:pPr>
        <w:autoSpaceDE w:val="0"/>
        <w:autoSpaceDN w:val="0"/>
        <w:adjustRightInd w:val="0"/>
        <w:spacing w:line="480" w:lineRule="auto"/>
        <w:ind w:right="26"/>
        <w:jc w:val="both"/>
        <w:rPr>
          <w:rFonts w:cstheme="minorBidi"/>
          <w:szCs w:val="24"/>
          <w:lang w:val="en-US"/>
        </w:rPr>
      </w:pPr>
    </w:p>
    <w:p w:rsidR="00ED5EDA" w:rsidRPr="003B049D" w:rsidRDefault="004E0ACB" w:rsidP="000F60CA">
      <w:pPr>
        <w:pStyle w:val="table"/>
        <w:jc w:val="both"/>
        <w:rPr>
          <w:szCs w:val="24"/>
          <w:lang w:val="en-US"/>
        </w:rPr>
      </w:pPr>
      <w:r w:rsidRPr="003B049D">
        <w:rPr>
          <w:szCs w:val="24"/>
          <w:lang w:val="en-US"/>
        </w:rPr>
        <w:t xml:space="preserve">The nano-indentation readings were taken from the side rather than the surface of the dentine </w:t>
      </w:r>
      <w:r w:rsidR="00250F94" w:rsidRPr="003B049D">
        <w:rPr>
          <w:szCs w:val="24"/>
          <w:lang w:val="en-US"/>
        </w:rPr>
        <w:t>(</w:t>
      </w:r>
      <w:bookmarkStart w:id="280" w:name="_Toc360367337"/>
      <w:r w:rsidR="006F5364" w:rsidRPr="003B049D">
        <w:rPr>
          <w:szCs w:val="24"/>
          <w:lang w:val="en-US"/>
        </w:rPr>
        <w:fldChar w:fldCharType="begin"/>
      </w:r>
      <w:r w:rsidR="006F5364" w:rsidRPr="003B049D">
        <w:rPr>
          <w:szCs w:val="24"/>
          <w:lang w:val="en-US"/>
        </w:rPr>
        <w:instrText xml:space="preserve"> REF _Ref360796686 \h  \* MERGEFORMAT </w:instrText>
      </w:r>
      <w:r w:rsidR="006F5364" w:rsidRPr="003B049D">
        <w:rPr>
          <w:szCs w:val="24"/>
          <w:lang w:val="en-US"/>
        </w:rPr>
      </w:r>
      <w:r w:rsidR="006F5364" w:rsidRPr="003B049D">
        <w:rPr>
          <w:szCs w:val="24"/>
          <w:lang w:val="en-US"/>
        </w:rPr>
        <w:fldChar w:fldCharType="separate"/>
      </w:r>
      <w:r w:rsidR="00374B77" w:rsidRPr="00374B77">
        <w:rPr>
          <w:szCs w:val="24"/>
        </w:rPr>
        <w:t xml:space="preserve">Figure </w:t>
      </w:r>
      <w:r w:rsidR="00374B77" w:rsidRPr="00374B77">
        <w:rPr>
          <w:noProof/>
          <w:szCs w:val="24"/>
          <w:cs/>
        </w:rPr>
        <w:t>‎</w:t>
      </w:r>
      <w:r w:rsidR="00374B77" w:rsidRPr="00374B77">
        <w:rPr>
          <w:rFonts w:cstheme="minorBidi"/>
          <w:b/>
          <w:noProof/>
          <w:sz w:val="20"/>
          <w:szCs w:val="20"/>
        </w:rPr>
        <w:t>0.5</w:t>
      </w:r>
      <w:r w:rsidR="006F5364" w:rsidRPr="003B049D">
        <w:rPr>
          <w:szCs w:val="24"/>
          <w:lang w:val="en-US"/>
        </w:rPr>
        <w:fldChar w:fldCharType="end"/>
      </w:r>
      <w:r w:rsidR="00250F94" w:rsidRPr="003B049D">
        <w:rPr>
          <w:szCs w:val="24"/>
          <w:lang w:val="en-US"/>
        </w:rPr>
        <w:t xml:space="preserve">). </w:t>
      </w:r>
      <w:bookmarkEnd w:id="275"/>
      <w:bookmarkEnd w:id="280"/>
      <w:r w:rsidRPr="003B049D">
        <w:rPr>
          <w:szCs w:val="24"/>
          <w:lang w:val="en-US"/>
        </w:rPr>
        <w:t>This was done in order to avoid measuring the exposed surface which was found to contain the smear layer on SEM examination performed when the investigator was familiarising himself with the technique. The samples were smoothed with a fine grade sand paper, from both sides then it was left in an ultrasound bath to clean the experimental side from the debris.</w:t>
      </w:r>
      <w:r w:rsidR="00663E3D" w:rsidRPr="003B049D">
        <w:rPr>
          <w:noProof/>
          <w:color w:val="FF0000"/>
          <w:szCs w:val="24"/>
          <w:lang w:eastAsia="en-GB"/>
        </w:rPr>
        <mc:AlternateContent>
          <mc:Choice Requires="wps">
            <w:drawing>
              <wp:anchor distT="0" distB="0" distL="114300" distR="114300" simplePos="0" relativeHeight="251763712" behindDoc="0" locked="0" layoutInCell="1" allowOverlap="1" wp14:anchorId="05C1A8CE" wp14:editId="7175AA32">
                <wp:simplePos x="0" y="0"/>
                <wp:positionH relativeFrom="column">
                  <wp:posOffset>-3160395</wp:posOffset>
                </wp:positionH>
                <wp:positionV relativeFrom="paragraph">
                  <wp:posOffset>214630</wp:posOffset>
                </wp:positionV>
                <wp:extent cx="1762125" cy="962025"/>
                <wp:effectExtent l="0" t="0" r="0" b="952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8E6" w:rsidRPr="00420FC4" w:rsidRDefault="003208E6" w:rsidP="00663E3D">
                            <w:pPr>
                              <w:jc w:val="right"/>
                              <w:rPr>
                                <w:b/>
                                <w:bCs/>
                                <w:sz w:val="20"/>
                                <w:szCs w:val="20"/>
                              </w:rPr>
                            </w:pPr>
                            <w:r w:rsidRPr="00420FC4">
                              <w:rPr>
                                <w:b/>
                                <w:bCs/>
                                <w:sz w:val="16"/>
                                <w:szCs w:val="16"/>
                              </w:rPr>
                              <w:t>H</w:t>
                            </w:r>
                            <w:r w:rsidRPr="00420FC4">
                              <w:rPr>
                                <w:b/>
                                <w:bCs/>
                                <w:sz w:val="20"/>
                                <w:szCs w:val="20"/>
                              </w:rPr>
                              <w:t>ole helps to facilitate the removal of the specimen</w:t>
                            </w:r>
                          </w:p>
                          <w:p w:rsidR="003208E6" w:rsidRPr="0081585C" w:rsidRDefault="003208E6" w:rsidP="00663E3D">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32" type="#_x0000_t202" style="position:absolute;left:0;text-align:left;margin-left:-248.85pt;margin-top:16.9pt;width:138.75pt;height:7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" filled="f" stroked="f">
                <v:textbox>
                  <w:txbxContent>
                    <w:p w:rsidR="003208E6" w:rsidRPr="00420FC4" w:rsidRDefault="003208E6" w:rsidP="00663E3D">
                      <w:pPr>
                        <w:jc w:val="right"/>
                        <w:rPr>
                          <w:b/>
                          <w:bCs/>
                          <w:sz w:val="20"/>
                          <w:szCs w:val="20"/>
                        </w:rPr>
                      </w:pPr>
                      <w:r w:rsidRPr="00420FC4">
                        <w:rPr>
                          <w:b/>
                          <w:bCs/>
                          <w:sz w:val="16"/>
                          <w:szCs w:val="16"/>
                        </w:rPr>
                        <w:t>H</w:t>
                      </w:r>
                      <w:r w:rsidRPr="00420FC4">
                        <w:rPr>
                          <w:b/>
                          <w:bCs/>
                          <w:sz w:val="20"/>
                          <w:szCs w:val="20"/>
                        </w:rPr>
                        <w:t>ole helps to facilitate the removal of the specimen</w:t>
                      </w:r>
                    </w:p>
                    <w:p w:rsidR="003208E6" w:rsidRPr="0081585C" w:rsidRDefault="003208E6" w:rsidP="00663E3D">
                      <w:pPr>
                        <w:rPr>
                          <w:sz w:val="16"/>
                          <w:szCs w:val="16"/>
                        </w:rPr>
                      </w:pPr>
                    </w:p>
                  </w:txbxContent>
                </v:textbox>
              </v:shape>
            </w:pict>
          </mc:Fallback>
        </mc:AlternateContent>
      </w:r>
      <w:r w:rsidR="00ED5EDA" w:rsidRPr="003B049D">
        <w:rPr>
          <w:noProof/>
          <w:color w:val="FF0000"/>
          <w:szCs w:val="24"/>
          <w:lang w:eastAsia="en-GB"/>
        </w:rPr>
        <mc:AlternateContent>
          <mc:Choice Requires="wps">
            <w:drawing>
              <wp:anchor distT="0" distB="0" distL="114300" distR="114300" simplePos="0" relativeHeight="251753472" behindDoc="0" locked="0" layoutInCell="1" allowOverlap="1" wp14:anchorId="4A0F2551" wp14:editId="42177682">
                <wp:simplePos x="0" y="0"/>
                <wp:positionH relativeFrom="column">
                  <wp:posOffset>-3160395</wp:posOffset>
                </wp:positionH>
                <wp:positionV relativeFrom="paragraph">
                  <wp:posOffset>214630</wp:posOffset>
                </wp:positionV>
                <wp:extent cx="1762125" cy="962025"/>
                <wp:effectExtent l="0" t="0" r="0"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8E6" w:rsidRPr="00420FC4" w:rsidRDefault="003208E6" w:rsidP="00ED5EDA">
                            <w:pPr>
                              <w:jc w:val="right"/>
                              <w:rPr>
                                <w:b/>
                                <w:bCs/>
                                <w:sz w:val="20"/>
                                <w:szCs w:val="20"/>
                              </w:rPr>
                            </w:pPr>
                            <w:r w:rsidRPr="00420FC4">
                              <w:rPr>
                                <w:b/>
                                <w:bCs/>
                                <w:sz w:val="16"/>
                                <w:szCs w:val="16"/>
                              </w:rPr>
                              <w:t>H</w:t>
                            </w:r>
                            <w:r w:rsidRPr="00420FC4">
                              <w:rPr>
                                <w:b/>
                                <w:bCs/>
                                <w:sz w:val="20"/>
                                <w:szCs w:val="20"/>
                              </w:rPr>
                              <w:t>ole helps to facilitate the removal of the specimen</w:t>
                            </w:r>
                          </w:p>
                          <w:p w:rsidR="003208E6" w:rsidRPr="0081585C" w:rsidRDefault="003208E6" w:rsidP="00ED5EDA">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left:0;text-align:left;margin-left:-248.85pt;margin-top:16.9pt;width:138.75pt;height:7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" filled="f" stroked="f">
                <v:textbox>
                  <w:txbxContent>
                    <w:p w:rsidR="003208E6" w:rsidRPr="00420FC4" w:rsidRDefault="003208E6" w:rsidP="00ED5EDA">
                      <w:pPr>
                        <w:jc w:val="right"/>
                        <w:rPr>
                          <w:b/>
                          <w:bCs/>
                          <w:sz w:val="20"/>
                          <w:szCs w:val="20"/>
                        </w:rPr>
                      </w:pPr>
                      <w:r w:rsidRPr="00420FC4">
                        <w:rPr>
                          <w:b/>
                          <w:bCs/>
                          <w:sz w:val="16"/>
                          <w:szCs w:val="16"/>
                        </w:rPr>
                        <w:t>H</w:t>
                      </w:r>
                      <w:r w:rsidRPr="00420FC4">
                        <w:rPr>
                          <w:b/>
                          <w:bCs/>
                          <w:sz w:val="20"/>
                          <w:szCs w:val="20"/>
                        </w:rPr>
                        <w:t>ole helps to facilitate the removal of the specimen</w:t>
                      </w:r>
                    </w:p>
                    <w:p w:rsidR="003208E6" w:rsidRPr="0081585C" w:rsidRDefault="003208E6" w:rsidP="00ED5EDA">
                      <w:pPr>
                        <w:rPr>
                          <w:sz w:val="16"/>
                          <w:szCs w:val="16"/>
                        </w:rPr>
                      </w:pPr>
                    </w:p>
                  </w:txbxContent>
                </v:textbox>
              </v:shape>
            </w:pict>
          </mc:Fallback>
        </mc:AlternateContent>
      </w:r>
      <w:bookmarkStart w:id="281" w:name="_Toc182295298"/>
      <w:bookmarkStart w:id="282" w:name="_Toc359956039"/>
      <w:bookmarkStart w:id="283" w:name="_Toc360367427"/>
      <w:bookmarkStart w:id="284" w:name="_Ref360401767"/>
    </w:p>
    <w:p w:rsidR="00C67C41" w:rsidRPr="003541BE" w:rsidRDefault="003541BE" w:rsidP="003541BE">
      <w:pPr>
        <w:rPr>
          <w:rFonts w:ascii="Arial" w:hAnsi="Arial" w:cs="Arial"/>
          <w:b/>
          <w:bCs/>
          <w:noProof/>
          <w:sz w:val="18"/>
          <w:szCs w:val="18"/>
          <w:lang w:eastAsia="zh-CN"/>
        </w:rPr>
      </w:pPr>
      <w:r>
        <w:br w:type="page"/>
      </w:r>
    </w:p>
    <w:p w:rsidR="00250F94" w:rsidRPr="00B013ED" w:rsidRDefault="003541BE" w:rsidP="001D3F19">
      <w:r>
        <w:rPr>
          <w:noProof/>
          <w:lang w:eastAsia="en-GB"/>
        </w:rPr>
        <w:lastRenderedPageBreak/>
        <mc:AlternateContent>
          <mc:Choice Requires="wps">
            <w:drawing>
              <wp:anchor distT="0" distB="0" distL="114300" distR="114300" simplePos="0" relativeHeight="251765760" behindDoc="0" locked="0" layoutInCell="1" allowOverlap="1" wp14:anchorId="192A2A27" wp14:editId="019FD43E">
                <wp:simplePos x="0" y="0"/>
                <wp:positionH relativeFrom="column">
                  <wp:posOffset>20320</wp:posOffset>
                </wp:positionH>
                <wp:positionV relativeFrom="paragraph">
                  <wp:posOffset>0</wp:posOffset>
                </wp:positionV>
                <wp:extent cx="4695825" cy="457200"/>
                <wp:effectExtent l="0" t="0" r="9525" b="0"/>
                <wp:wrapTight wrapText="bothSides">
                  <wp:wrapPolygon edited="0">
                    <wp:start x="0" y="0"/>
                    <wp:lineTo x="0" y="20700"/>
                    <wp:lineTo x="21556" y="20700"/>
                    <wp:lineTo x="21556" y="0"/>
                    <wp:lineTo x="0" y="0"/>
                  </wp:wrapPolygon>
                </wp:wrapTight>
                <wp:docPr id="269" name="Text Box 269"/>
                <wp:cNvGraphicFramePr/>
                <a:graphic xmlns:a="http://schemas.openxmlformats.org/drawingml/2006/main">
                  <a:graphicData uri="http://schemas.microsoft.com/office/word/2010/wordprocessingShape">
                    <wps:wsp>
                      <wps:cNvSpPr txBox="1"/>
                      <wps:spPr>
                        <a:xfrm>
                          <a:off x="0" y="0"/>
                          <a:ext cx="4695825" cy="457200"/>
                        </a:xfrm>
                        <a:prstGeom prst="rect">
                          <a:avLst/>
                        </a:prstGeom>
                        <a:solidFill>
                          <a:prstClr val="white"/>
                        </a:solidFill>
                        <a:ln>
                          <a:noFill/>
                        </a:ln>
                        <a:effectLst/>
                      </wps:spPr>
                      <wps:txbx>
                        <w:txbxContent>
                          <w:p w:rsidR="003208E6" w:rsidRPr="00C06AD8" w:rsidRDefault="003208E6" w:rsidP="001D3F19">
                            <w:pPr>
                              <w:rPr>
                                <w:rFonts w:cstheme="minorBidi"/>
                                <w:b/>
                                <w:bCs/>
                                <w:sz w:val="20"/>
                                <w:szCs w:val="20"/>
                              </w:rPr>
                            </w:pPr>
                            <w:bookmarkStart w:id="285" w:name="_Ref360796715"/>
                            <w:bookmarkStart w:id="286" w:name="_Toc361733594"/>
                            <w:bookmarkStart w:id="287" w:name="_Toc361734237"/>
                            <w:bookmarkStart w:id="288" w:name="_Toc370511633"/>
                            <w:r w:rsidRPr="00C06AD8">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4</w:t>
                            </w:r>
                            <w:r>
                              <w:rPr>
                                <w:rFonts w:cstheme="minorBidi"/>
                                <w:b/>
                                <w:bCs/>
                                <w:sz w:val="20"/>
                                <w:szCs w:val="20"/>
                              </w:rPr>
                              <w:fldChar w:fldCharType="end"/>
                            </w:r>
                            <w:bookmarkEnd w:id="285"/>
                            <w:r w:rsidRPr="00C06AD8">
                              <w:rPr>
                                <w:rFonts w:cstheme="minorBidi"/>
                                <w:b/>
                                <w:bCs/>
                                <w:sz w:val="20"/>
                                <w:szCs w:val="20"/>
                              </w:rPr>
                              <w:t xml:space="preserve"> Showing the composite block containing the dentine slab cut in the middle.</w:t>
                            </w:r>
                            <w:bookmarkEnd w:id="286"/>
                            <w:bookmarkEnd w:id="287"/>
                            <w:bookmarkEnd w:id="2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9" o:spid="_x0000_s1034" type="#_x0000_t202" style="position:absolute;margin-left:1.6pt;margin-top:0;width:369.75pt;height:36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" stroked="f">
                <v:textbox inset="0,0,0,0">
                  <w:txbxContent>
                    <w:p w:rsidR="003208E6" w:rsidRPr="00C06AD8" w:rsidRDefault="003208E6" w:rsidP="001D3F19">
                      <w:pPr>
                        <w:rPr>
                          <w:rFonts w:cstheme="minorBidi"/>
                          <w:b/>
                          <w:bCs/>
                          <w:sz w:val="20"/>
                          <w:szCs w:val="20"/>
                        </w:rPr>
                      </w:pPr>
                      <w:bookmarkStart w:id="299" w:name="_Ref360796715"/>
                      <w:bookmarkStart w:id="300" w:name="_Toc361733594"/>
                      <w:bookmarkStart w:id="301" w:name="_Toc361734237"/>
                      <w:bookmarkStart w:id="302" w:name="_Toc370511633"/>
                      <w:r w:rsidRPr="00C06AD8">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4</w:t>
                      </w:r>
                      <w:r>
                        <w:rPr>
                          <w:rFonts w:cstheme="minorBidi"/>
                          <w:b/>
                          <w:bCs/>
                          <w:sz w:val="20"/>
                          <w:szCs w:val="20"/>
                        </w:rPr>
                        <w:fldChar w:fldCharType="end"/>
                      </w:r>
                      <w:bookmarkEnd w:id="299"/>
                      <w:r w:rsidRPr="00C06AD8">
                        <w:rPr>
                          <w:rFonts w:cstheme="minorBidi"/>
                          <w:b/>
                          <w:bCs/>
                          <w:sz w:val="20"/>
                          <w:szCs w:val="20"/>
                        </w:rPr>
                        <w:t xml:space="preserve"> Showing the composite block containing the dentine slab cut in the middle.</w:t>
                      </w:r>
                      <w:bookmarkEnd w:id="300"/>
                      <w:bookmarkEnd w:id="301"/>
                      <w:bookmarkEnd w:id="302"/>
                    </w:p>
                  </w:txbxContent>
                </v:textbox>
                <w10:wrap type="tight"/>
              </v:shape>
            </w:pict>
          </mc:Fallback>
        </mc:AlternateContent>
      </w:r>
      <w:bookmarkEnd w:id="281"/>
      <w:bookmarkEnd w:id="282"/>
      <w:bookmarkEnd w:id="283"/>
      <w:bookmarkEnd w:id="284"/>
    </w:p>
    <w:p w:rsidR="00250F94" w:rsidRPr="00B013ED" w:rsidRDefault="003541BE" w:rsidP="00250F94">
      <w:pPr>
        <w:rPr>
          <w:noProof/>
        </w:rPr>
      </w:pPr>
      <w:r w:rsidRPr="00B013ED">
        <w:rPr>
          <w:bCs/>
          <w:noProof/>
          <w:lang w:eastAsia="en-GB"/>
        </w:rPr>
        <w:drawing>
          <wp:anchor distT="0" distB="0" distL="114300" distR="114300" simplePos="0" relativeHeight="251653120" behindDoc="1" locked="0" layoutInCell="1" allowOverlap="1" wp14:anchorId="6B9DF93B" wp14:editId="266F3ACE">
            <wp:simplePos x="0" y="0"/>
            <wp:positionH relativeFrom="column">
              <wp:posOffset>-4799330</wp:posOffset>
            </wp:positionH>
            <wp:positionV relativeFrom="paragraph">
              <wp:posOffset>147955</wp:posOffset>
            </wp:positionV>
            <wp:extent cx="4695825" cy="3238500"/>
            <wp:effectExtent l="0" t="0" r="9525" b="0"/>
            <wp:wrapTight wrapText="bothSides">
              <wp:wrapPolygon edited="0">
                <wp:start x="0" y="0"/>
                <wp:lineTo x="0" y="21473"/>
                <wp:lineTo x="21556" y="21473"/>
                <wp:lineTo x="21556" y="0"/>
                <wp:lineTo x="0" y="0"/>
              </wp:wrapPolygon>
            </wp:wrapTight>
            <wp:docPr id="18" name="Picture 14" descr="3107200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1072007019"/>
                    <pic:cNvPicPr>
                      <a:picLocks noChangeAspect="1" noChangeArrowheads="1"/>
                    </pic:cNvPicPr>
                  </pic:nvPicPr>
                  <pic:blipFill rotWithShape="1">
                    <a:blip r:embed="rId42" cstate="print"/>
                    <a:srcRect r="5315" b="14466"/>
                    <a:stretch/>
                  </pic:blipFill>
                  <pic:spPr bwMode="auto">
                    <a:xfrm>
                      <a:off x="0" y="0"/>
                      <a:ext cx="4695825"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31AF" w:rsidRPr="00B013ED" w:rsidRDefault="004631AF" w:rsidP="00C67C41"/>
    <w:p w:rsidR="00ED5EDA" w:rsidRDefault="00ED5EDA" w:rsidP="001D3F19">
      <w:bookmarkStart w:id="289" w:name="_Ref360401847"/>
      <w:bookmarkStart w:id="290" w:name="_Toc360367428"/>
    </w:p>
    <w:p w:rsidR="003541BE" w:rsidRDefault="003541BE" w:rsidP="001D3F19"/>
    <w:p w:rsidR="003541BE" w:rsidRDefault="003541BE" w:rsidP="001D3F19"/>
    <w:p w:rsidR="003541BE" w:rsidRDefault="003541BE" w:rsidP="001D3F19"/>
    <w:p w:rsidR="003541BE" w:rsidRDefault="003541BE" w:rsidP="003541BE">
      <w:pPr>
        <w:rPr>
          <w:lang w:eastAsia="zh-CN"/>
        </w:rPr>
      </w:pPr>
    </w:p>
    <w:p w:rsidR="003541BE" w:rsidRDefault="003541BE" w:rsidP="003541BE">
      <w:pPr>
        <w:rPr>
          <w:lang w:eastAsia="zh-CN"/>
        </w:rPr>
      </w:pPr>
    </w:p>
    <w:p w:rsidR="003541BE" w:rsidRDefault="003541BE" w:rsidP="003541BE">
      <w:pPr>
        <w:rPr>
          <w:lang w:eastAsia="zh-CN"/>
        </w:rPr>
      </w:pPr>
    </w:p>
    <w:p w:rsidR="003541BE" w:rsidRDefault="003541BE" w:rsidP="003541BE">
      <w:pPr>
        <w:rPr>
          <w:lang w:eastAsia="zh-CN"/>
        </w:rPr>
      </w:pPr>
    </w:p>
    <w:p w:rsidR="003541BE" w:rsidRDefault="003541BE" w:rsidP="003541BE">
      <w:pPr>
        <w:rPr>
          <w:lang w:eastAsia="zh-CN"/>
        </w:rPr>
      </w:pPr>
    </w:p>
    <w:p w:rsidR="00250F94" w:rsidRPr="00B013ED" w:rsidRDefault="00AE5FB3" w:rsidP="001D3F19">
      <w:pPr>
        <w:sectPr w:rsidR="00250F94" w:rsidRPr="00B013ED" w:rsidSect="00365534">
          <w:pgSz w:w="12240" w:h="15840"/>
          <w:pgMar w:top="1440" w:right="1298" w:bottom="1151" w:left="2268" w:header="709" w:footer="709" w:gutter="0"/>
          <w:cols w:space="708"/>
          <w:docGrid w:linePitch="360"/>
        </w:sectPr>
      </w:pPr>
      <w:r w:rsidRPr="00B013ED">
        <w:rPr>
          <w:noProof/>
          <w:lang w:eastAsia="en-GB"/>
        </w:rPr>
        <w:drawing>
          <wp:anchor distT="0" distB="0" distL="114300" distR="114300" simplePos="0" relativeHeight="251656192" behindDoc="0" locked="0" layoutInCell="1" allowOverlap="1" wp14:anchorId="142FC522" wp14:editId="07AA6A18">
            <wp:simplePos x="0" y="0"/>
            <wp:positionH relativeFrom="margin">
              <wp:posOffset>97155</wp:posOffset>
            </wp:positionH>
            <wp:positionV relativeFrom="margin">
              <wp:posOffset>4638675</wp:posOffset>
            </wp:positionV>
            <wp:extent cx="4619625" cy="3238500"/>
            <wp:effectExtent l="0" t="0" r="9525" b="0"/>
            <wp:wrapSquare wrapText="bothSides"/>
            <wp:docPr id="19" name="Picture 19" descr="C:\Users\wageh\Desktop\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geh\Desktop\55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944" t="15973" r="4514" b="10178"/>
                    <a:stretch/>
                  </pic:blipFill>
                  <pic:spPr bwMode="auto">
                    <a:xfrm>
                      <a:off x="0" y="0"/>
                      <a:ext cx="4619625"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41BE">
        <w:rPr>
          <w:noProof/>
          <w:lang w:eastAsia="en-GB"/>
        </w:rPr>
        <mc:AlternateContent>
          <mc:Choice Requires="wps">
            <w:drawing>
              <wp:anchor distT="0" distB="0" distL="114300" distR="114300" simplePos="0" relativeHeight="251767808" behindDoc="0" locked="0" layoutInCell="1" allowOverlap="1" wp14:anchorId="2FB4CBCC" wp14:editId="45FB29F9">
                <wp:simplePos x="0" y="0"/>
                <wp:positionH relativeFrom="column">
                  <wp:posOffset>20320</wp:posOffset>
                </wp:positionH>
                <wp:positionV relativeFrom="paragraph">
                  <wp:posOffset>344805</wp:posOffset>
                </wp:positionV>
                <wp:extent cx="5210175" cy="457200"/>
                <wp:effectExtent l="0" t="0" r="9525" b="0"/>
                <wp:wrapSquare wrapText="bothSides"/>
                <wp:docPr id="270" name="Text Box 270"/>
                <wp:cNvGraphicFramePr/>
                <a:graphic xmlns:a="http://schemas.openxmlformats.org/drawingml/2006/main">
                  <a:graphicData uri="http://schemas.microsoft.com/office/word/2010/wordprocessingShape">
                    <wps:wsp>
                      <wps:cNvSpPr txBox="1"/>
                      <wps:spPr>
                        <a:xfrm>
                          <a:off x="0" y="0"/>
                          <a:ext cx="5210175" cy="457200"/>
                        </a:xfrm>
                        <a:prstGeom prst="rect">
                          <a:avLst/>
                        </a:prstGeom>
                        <a:solidFill>
                          <a:prstClr val="white"/>
                        </a:solidFill>
                        <a:ln>
                          <a:noFill/>
                        </a:ln>
                        <a:effectLst/>
                      </wps:spPr>
                      <wps:txbx>
                        <w:txbxContent>
                          <w:p w:rsidR="003208E6" w:rsidRPr="00C06AD8" w:rsidRDefault="003208E6" w:rsidP="001D3F19">
                            <w:pPr>
                              <w:rPr>
                                <w:rFonts w:cstheme="minorBidi"/>
                                <w:b/>
                                <w:bCs/>
                                <w:sz w:val="20"/>
                                <w:szCs w:val="20"/>
                              </w:rPr>
                            </w:pPr>
                            <w:bookmarkStart w:id="291" w:name="_Ref360796686"/>
                            <w:bookmarkStart w:id="292" w:name="_Toc361733595"/>
                            <w:bookmarkStart w:id="293" w:name="_Toc361734238"/>
                            <w:bookmarkStart w:id="294" w:name="_Toc370511634"/>
                            <w:r w:rsidRPr="00C06AD8">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5</w:t>
                            </w:r>
                            <w:r>
                              <w:rPr>
                                <w:rFonts w:cstheme="minorBidi"/>
                                <w:b/>
                                <w:bCs/>
                                <w:sz w:val="20"/>
                                <w:szCs w:val="20"/>
                              </w:rPr>
                              <w:fldChar w:fldCharType="end"/>
                            </w:r>
                            <w:bookmarkEnd w:id="291"/>
                            <w:r w:rsidRPr="00C06AD8">
                              <w:rPr>
                                <w:rFonts w:cstheme="minorBidi"/>
                                <w:b/>
                                <w:bCs/>
                                <w:sz w:val="20"/>
                                <w:szCs w:val="20"/>
                              </w:rPr>
                              <w:t xml:space="preserve"> Showing test area and </w:t>
                            </w:r>
                            <w:bookmarkStart w:id="295" w:name="_Toc182295299"/>
                            <w:r w:rsidRPr="00C06AD8">
                              <w:rPr>
                                <w:rFonts w:cstheme="minorBidi"/>
                                <w:b/>
                                <w:bCs/>
                                <w:sz w:val="20"/>
                                <w:szCs w:val="20"/>
                              </w:rPr>
                              <w:t xml:space="preserve">the arrow indicates the site of nanoindentation </w:t>
                            </w:r>
                            <w:bookmarkEnd w:id="295"/>
                            <w:r w:rsidRPr="00C06AD8">
                              <w:rPr>
                                <w:rFonts w:cstheme="minorBidi"/>
                                <w:b/>
                                <w:bCs/>
                                <w:sz w:val="20"/>
                                <w:szCs w:val="20"/>
                              </w:rPr>
                              <w:t>measurement</w:t>
                            </w:r>
                            <w:bookmarkEnd w:id="292"/>
                            <w:bookmarkEnd w:id="293"/>
                            <w:bookmarkEnd w:id="2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0" o:spid="_x0000_s1035" type="#_x0000_t202" style="position:absolute;margin-left:1.6pt;margin-top:27.15pt;width:410.25pt;height:36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" stroked="f">
                <v:textbox inset="0,0,0,0">
                  <w:txbxContent>
                    <w:p w:rsidR="003208E6" w:rsidRPr="00C06AD8" w:rsidRDefault="003208E6" w:rsidP="001D3F19">
                      <w:pPr>
                        <w:rPr>
                          <w:rFonts w:cstheme="minorBidi"/>
                          <w:b/>
                          <w:bCs/>
                          <w:sz w:val="20"/>
                          <w:szCs w:val="20"/>
                        </w:rPr>
                      </w:pPr>
                      <w:bookmarkStart w:id="310" w:name="_Ref360796686"/>
                      <w:bookmarkStart w:id="311" w:name="_Toc361733595"/>
                      <w:bookmarkStart w:id="312" w:name="_Toc361734238"/>
                      <w:bookmarkStart w:id="313" w:name="_Toc370511634"/>
                      <w:r w:rsidRPr="00C06AD8">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5</w:t>
                      </w:r>
                      <w:r>
                        <w:rPr>
                          <w:rFonts w:cstheme="minorBidi"/>
                          <w:b/>
                          <w:bCs/>
                          <w:sz w:val="20"/>
                          <w:szCs w:val="20"/>
                        </w:rPr>
                        <w:fldChar w:fldCharType="end"/>
                      </w:r>
                      <w:bookmarkEnd w:id="310"/>
                      <w:r w:rsidRPr="00C06AD8">
                        <w:rPr>
                          <w:rFonts w:cstheme="minorBidi"/>
                          <w:b/>
                          <w:bCs/>
                          <w:sz w:val="20"/>
                          <w:szCs w:val="20"/>
                        </w:rPr>
                        <w:t xml:space="preserve"> Showing test area and </w:t>
                      </w:r>
                      <w:bookmarkStart w:id="314" w:name="_Toc182295299"/>
                      <w:r w:rsidRPr="00C06AD8">
                        <w:rPr>
                          <w:rFonts w:cstheme="minorBidi"/>
                          <w:b/>
                          <w:bCs/>
                          <w:sz w:val="20"/>
                          <w:szCs w:val="20"/>
                        </w:rPr>
                        <w:t xml:space="preserve">the arrow indicates the site of nanoindentation </w:t>
                      </w:r>
                      <w:bookmarkEnd w:id="314"/>
                      <w:r w:rsidRPr="00C06AD8">
                        <w:rPr>
                          <w:rFonts w:cstheme="minorBidi"/>
                          <w:b/>
                          <w:bCs/>
                          <w:sz w:val="20"/>
                          <w:szCs w:val="20"/>
                        </w:rPr>
                        <w:t>measurement</w:t>
                      </w:r>
                      <w:bookmarkEnd w:id="311"/>
                      <w:bookmarkEnd w:id="312"/>
                      <w:bookmarkEnd w:id="313"/>
                    </w:p>
                  </w:txbxContent>
                </v:textbox>
                <w10:wrap type="square"/>
              </v:shape>
            </w:pict>
          </mc:Fallback>
        </mc:AlternateContent>
      </w:r>
      <w:r w:rsidR="00250F94" w:rsidRPr="00B013ED">
        <w:rPr>
          <w:rFonts w:eastAsia="SimSun"/>
          <w:noProof/>
          <w:lang w:eastAsia="en-GB"/>
        </w:rPr>
        <mc:AlternateContent>
          <mc:Choice Requires="wps">
            <w:drawing>
              <wp:anchor distT="0" distB="0" distL="114300" distR="114300" simplePos="0" relativeHeight="251657216" behindDoc="0" locked="0" layoutInCell="1" allowOverlap="1" wp14:anchorId="4F861FA1" wp14:editId="67784C16">
                <wp:simplePos x="0" y="0"/>
                <wp:positionH relativeFrom="column">
                  <wp:posOffset>-3021330</wp:posOffset>
                </wp:positionH>
                <wp:positionV relativeFrom="paragraph">
                  <wp:posOffset>2470785</wp:posOffset>
                </wp:positionV>
                <wp:extent cx="114300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8E6" w:rsidRPr="00434F2A" w:rsidRDefault="003208E6" w:rsidP="00250F94">
                            <w:pPr>
                              <w:spacing w:line="480" w:lineRule="auto"/>
                              <w:jc w:val="center"/>
                              <w:rPr>
                                <w:b/>
                                <w:bCs/>
                                <w:sz w:val="20"/>
                                <w:szCs w:val="20"/>
                              </w:rPr>
                            </w:pPr>
                            <w:r w:rsidRPr="00434F2A">
                              <w:rPr>
                                <w:b/>
                                <w:bCs/>
                              </w:rPr>
                              <w:t>The test area</w:t>
                            </w:r>
                          </w:p>
                          <w:p w:rsidR="003208E6" w:rsidRDefault="003208E6" w:rsidP="00250F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margin-left:-237.9pt;margin-top:194.55pt;width:9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tjuQIAAME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" filled="f" stroked="f">
                <v:textbox>
                  <w:txbxContent>
                    <w:p w:rsidR="003208E6" w:rsidRPr="00434F2A" w:rsidRDefault="003208E6" w:rsidP="00250F94">
                      <w:pPr>
                        <w:spacing w:line="480" w:lineRule="auto"/>
                        <w:jc w:val="center"/>
                        <w:rPr>
                          <w:b/>
                          <w:bCs/>
                          <w:sz w:val="20"/>
                          <w:szCs w:val="20"/>
                        </w:rPr>
                      </w:pPr>
                      <w:r w:rsidRPr="00434F2A">
                        <w:rPr>
                          <w:b/>
                          <w:bCs/>
                        </w:rPr>
                        <w:t>The test area</w:t>
                      </w:r>
                    </w:p>
                    <w:p w:rsidR="003208E6" w:rsidRDefault="003208E6" w:rsidP="00250F94"/>
                  </w:txbxContent>
                </v:textbox>
              </v:shape>
            </w:pict>
          </mc:Fallback>
        </mc:AlternateContent>
      </w:r>
      <w:bookmarkEnd w:id="289"/>
      <w:bookmarkEnd w:id="290"/>
    </w:p>
    <w:p w:rsidR="00250F94" w:rsidRPr="00B013ED" w:rsidRDefault="00250F94" w:rsidP="004631AF">
      <w:pPr>
        <w:pStyle w:val="Heading3"/>
        <w:spacing w:line="480" w:lineRule="auto"/>
        <w:jc w:val="both"/>
      </w:pPr>
      <w:bookmarkStart w:id="296" w:name="_Toc370819236"/>
      <w:r w:rsidRPr="00B013ED">
        <w:lastRenderedPageBreak/>
        <w:t>Nano-mapping scan</w:t>
      </w:r>
      <w:bookmarkEnd w:id="296"/>
      <w:r w:rsidRPr="00B013ED">
        <w:t xml:space="preserve"> </w:t>
      </w:r>
    </w:p>
    <w:p w:rsidR="00956035" w:rsidRPr="00B013ED" w:rsidRDefault="00956035" w:rsidP="002B051B">
      <w:pPr>
        <w:spacing w:line="480" w:lineRule="auto"/>
        <w:jc w:val="both"/>
      </w:pPr>
      <w:r w:rsidRPr="00B013ED">
        <w:t>This method was described by (Oliver and Pharr</w:t>
      </w:r>
      <w:r>
        <w:t>,</w:t>
      </w:r>
      <w:r w:rsidRPr="00B013ED">
        <w:t xml:space="preserve"> 1992</w:t>
      </w:r>
      <w:r>
        <w:t>;</w:t>
      </w:r>
      <w:r w:rsidRPr="00B013ED">
        <w:t xml:space="preserve"> </w:t>
      </w:r>
      <w:r w:rsidR="002B051B" w:rsidRPr="002B051B">
        <w:rPr>
          <w:rFonts w:eastAsia="SimSun" w:cstheme="minorBidi"/>
          <w:szCs w:val="24"/>
          <w:lang w:eastAsia="zh-CN"/>
        </w:rPr>
        <w:t>Fischer-cripps</w:t>
      </w:r>
      <w:r w:rsidRPr="002B051B">
        <w:rPr>
          <w:rFonts w:cstheme="minorBidi"/>
        </w:rPr>
        <w:t>,</w:t>
      </w:r>
      <w:r w:rsidRPr="00B013ED">
        <w:t xml:space="preserve"> 2002)</w:t>
      </w:r>
      <w:r>
        <w:t xml:space="preserve"> </w:t>
      </w:r>
      <w:r w:rsidRPr="00B013ED">
        <w:t xml:space="preserve">NanoTest platform (MicroMaterials Ltd.) was used in this study to perform mechanical characterisation of tooth samples. The primary application of the platform is </w:t>
      </w:r>
      <w:r>
        <w:t>nano-indentation</w:t>
      </w:r>
      <w:r w:rsidRPr="00B013ED">
        <w:t xml:space="preserve"> experiment</w:t>
      </w:r>
      <w:r>
        <w:t>s</w:t>
      </w:r>
      <w:r w:rsidRPr="00B013ED">
        <w:t xml:space="preserve"> but with additional modules it can be adapted to scratch friction and impact tests.</w:t>
      </w:r>
    </w:p>
    <w:p w:rsidR="00956035" w:rsidRPr="00B013ED" w:rsidRDefault="00956035" w:rsidP="00956035">
      <w:pPr>
        <w:spacing w:line="480" w:lineRule="auto"/>
        <w:jc w:val="both"/>
      </w:pPr>
      <w:r w:rsidRPr="00B013ED">
        <w:t xml:space="preserve">A typical outcome of the </w:t>
      </w:r>
      <w:r>
        <w:t>nano-indentation</w:t>
      </w:r>
      <w:r w:rsidRPr="00B013ED">
        <w:t xml:space="preserve"> testing is an indentation load depth hysteresis curve. The indenter load applied to the contact area with a specimen surface, produce</w:t>
      </w:r>
      <w:r>
        <w:t>s</w:t>
      </w:r>
      <w:r w:rsidRPr="00B013ED">
        <w:t xml:space="preserve"> an indent/impression which consists </w:t>
      </w:r>
      <w:r>
        <w:t xml:space="preserve">of </w:t>
      </w:r>
      <w:r w:rsidRPr="00B013ED">
        <w:t xml:space="preserve">a permanent or temporary elastic deformity. Recovery of the elastic deformity occurs when unloading is started. Determination of the elastic recovery by analysing the initial part of the unloading data according to a model for the elastic contact problem leads to a solution for calculation of the elastic modulus E and hardness H of the test area. The </w:t>
      </w:r>
      <w:r>
        <w:t>nano-indentation</w:t>
      </w:r>
      <w:r w:rsidRPr="00B013ED">
        <w:t xml:space="preserve"> apparatus used in this study was</w:t>
      </w:r>
      <w:r>
        <w:t xml:space="preserve"> a</w:t>
      </w:r>
      <w:r w:rsidRPr="00B013ED">
        <w:t xml:space="preserve"> Nano</w:t>
      </w:r>
      <w:r>
        <w:t>-</w:t>
      </w:r>
      <w:r w:rsidRPr="00B013ED">
        <w:t>indenter (MTS Systems Corporation). In this study, all testing was programmed in such a way that the loading started when the indenter came into contact with the test surface and the load maintained for 60 seconds at the pre-specified maximum value before unloading. Progressive multistep indentation testing with five loading–unloading cycles at different depths was applied at each test point.</w:t>
      </w:r>
    </w:p>
    <w:p w:rsidR="00956035" w:rsidRPr="00B013ED" w:rsidRDefault="00956035" w:rsidP="00956035">
      <w:pPr>
        <w:spacing w:line="480" w:lineRule="auto"/>
        <w:jc w:val="both"/>
      </w:pPr>
      <w:r w:rsidRPr="00B013ED">
        <w:t xml:space="preserve">On each individual sample at least 5 indentations were taken to obtain average values of hardness and elastic modulus. </w:t>
      </w:r>
      <w:r>
        <w:t xml:space="preserve">A </w:t>
      </w:r>
      <w:r w:rsidRPr="00B013ED">
        <w:t>Berkovich diamond indenter was used and the experiments were run with the following loading conditions: max load 20mN, loading rate 0</w:t>
      </w:r>
      <w:r>
        <w:t>.</w:t>
      </w:r>
      <w:r w:rsidRPr="00B013ED">
        <w:t xml:space="preserve">5mN/s, and 60s of dwell time at the </w:t>
      </w:r>
      <w:r w:rsidRPr="00B013ED">
        <w:lastRenderedPageBreak/>
        <w:t xml:space="preserve">maximum load. All indentations were taken in a close proximity to the tooth root, which was achieved by adjusting the measurement position using </w:t>
      </w:r>
      <w:r>
        <w:t xml:space="preserve">a </w:t>
      </w:r>
      <w:r w:rsidRPr="00B013ED">
        <w:t>coupled light microscope. Hardness and elastic modulus maps were obtained with the same loading conditions by running experiments with 10x10 indentations matrix.</w:t>
      </w:r>
    </w:p>
    <w:p w:rsidR="00250F94" w:rsidRPr="00B013ED" w:rsidRDefault="00250F94" w:rsidP="004631AF">
      <w:pPr>
        <w:pStyle w:val="Heading3"/>
        <w:spacing w:line="480" w:lineRule="auto"/>
        <w:jc w:val="both"/>
      </w:pPr>
      <w:bookmarkStart w:id="297" w:name="_Toc370819237"/>
      <w:r w:rsidRPr="00B013ED">
        <w:t>Nano-impact testing</w:t>
      </w:r>
      <w:bookmarkEnd w:id="297"/>
    </w:p>
    <w:p w:rsidR="00EB02B3" w:rsidRPr="003B049D" w:rsidRDefault="00956035" w:rsidP="003B049D">
      <w:pPr>
        <w:spacing w:line="480" w:lineRule="auto"/>
        <w:jc w:val="both"/>
        <w:rPr>
          <w:szCs w:val="24"/>
        </w:rPr>
      </w:pPr>
      <w:r w:rsidRPr="003B049D">
        <w:rPr>
          <w:szCs w:val="24"/>
        </w:rPr>
        <w:t>NanoTest platform (MicroMaterials Ltd) was used in this study to perform mechanical characterisation of tooth samples. The primary application of the platform is nano-indentation experiment but with additional modules it can be adapted to scratch friction and impact tests (</w:t>
      </w:r>
      <w:r w:rsidR="00051E3F" w:rsidRPr="003B049D">
        <w:rPr>
          <w:rStyle w:val="tableChar"/>
          <w:rFonts w:eastAsiaTheme="minorHAnsi"/>
          <w:szCs w:val="24"/>
        </w:rPr>
        <w:fldChar w:fldCharType="begin"/>
      </w:r>
      <w:r w:rsidR="00051E3F" w:rsidRPr="003B049D">
        <w:rPr>
          <w:rStyle w:val="tableChar"/>
          <w:rFonts w:eastAsiaTheme="minorHAnsi"/>
          <w:szCs w:val="24"/>
        </w:rPr>
        <w:instrText xml:space="preserve"> REF _Ref361077696 \h </w:instrText>
      </w:r>
      <w:r w:rsidR="005F7577" w:rsidRPr="003B049D">
        <w:rPr>
          <w:rStyle w:val="tableChar"/>
          <w:rFonts w:eastAsiaTheme="minorHAnsi"/>
          <w:szCs w:val="24"/>
        </w:rPr>
        <w:instrText xml:space="preserve"> \* MERGEFORMAT </w:instrText>
      </w:r>
      <w:r w:rsidR="00051E3F" w:rsidRPr="003B049D">
        <w:rPr>
          <w:rStyle w:val="tableChar"/>
          <w:rFonts w:eastAsiaTheme="minorHAnsi"/>
          <w:szCs w:val="24"/>
        </w:rPr>
      </w:r>
      <w:r w:rsidR="00051E3F" w:rsidRPr="003B049D">
        <w:rPr>
          <w:rStyle w:val="tableChar"/>
          <w:rFonts w:eastAsiaTheme="minorHAnsi"/>
          <w:szCs w:val="24"/>
        </w:rPr>
        <w:fldChar w:fldCharType="separate"/>
      </w:r>
      <w:r w:rsidR="00374B77" w:rsidRPr="00374B77">
        <w:rPr>
          <w:rStyle w:val="tableChar"/>
          <w:rFonts w:eastAsiaTheme="minorHAnsi"/>
          <w:szCs w:val="24"/>
        </w:rPr>
        <w:t xml:space="preserve">Figure </w:t>
      </w:r>
      <w:r w:rsidR="00374B77" w:rsidRPr="00374B77">
        <w:rPr>
          <w:rStyle w:val="tableChar"/>
          <w:rFonts w:eastAsiaTheme="minorHAnsi"/>
          <w:szCs w:val="24"/>
          <w:cs/>
        </w:rPr>
        <w:t>‎</w:t>
      </w:r>
      <w:r w:rsidR="00374B77">
        <w:rPr>
          <w:rFonts w:cstheme="minorBidi"/>
          <w:b/>
          <w:bCs/>
          <w:noProof/>
          <w:sz w:val="20"/>
          <w:szCs w:val="20"/>
        </w:rPr>
        <w:t>0.6</w:t>
      </w:r>
      <w:r w:rsidR="00051E3F" w:rsidRPr="003B049D">
        <w:rPr>
          <w:rStyle w:val="tableChar"/>
          <w:rFonts w:eastAsiaTheme="minorHAnsi"/>
          <w:szCs w:val="24"/>
        </w:rPr>
        <w:fldChar w:fldCharType="end"/>
      </w:r>
      <w:r w:rsidR="00300F56" w:rsidRPr="003B049D">
        <w:rPr>
          <w:szCs w:val="24"/>
        </w:rPr>
        <w:t>)</w:t>
      </w:r>
      <w:r w:rsidR="003B049D">
        <w:rPr>
          <w:szCs w:val="24"/>
        </w:rPr>
        <w:t xml:space="preserve">.  </w:t>
      </w:r>
      <w:r w:rsidR="00EB02B3" w:rsidRPr="003B049D">
        <w:rPr>
          <w:szCs w:val="24"/>
        </w:rPr>
        <w:t xml:space="preserve">On each individual sample at least 5 indentations were taken to obtain average values of hardness and elastic modulus. Berkovich diamond indenter was used and the experiments were run with the following loading conditions: max load 20mN, loading rate 0,5mN/s, </w:t>
      </w:r>
      <w:proofErr w:type="gramStart"/>
      <w:r w:rsidR="00EB02B3" w:rsidRPr="003B049D">
        <w:rPr>
          <w:szCs w:val="24"/>
        </w:rPr>
        <w:t>60s</w:t>
      </w:r>
      <w:proofErr w:type="gramEnd"/>
      <w:r w:rsidR="00EB02B3" w:rsidRPr="003B049D">
        <w:rPr>
          <w:szCs w:val="24"/>
        </w:rPr>
        <w:t xml:space="preserve"> of dwell time at the maximum load. All indentations were taken in a close proximity to the tooth root, which was achieved by adjusting the measurement position using coupled light microscope. Hardness and elastic modulus maps were obtained with the same loading conditions by running experiments with 10x10 indentations matrix.</w:t>
      </w:r>
    </w:p>
    <w:p w:rsidR="00250F94" w:rsidRPr="003B049D" w:rsidRDefault="00EB02B3" w:rsidP="00EB02B3">
      <w:pPr>
        <w:spacing w:line="480" w:lineRule="auto"/>
        <w:jc w:val="both"/>
        <w:rPr>
          <w:rFonts w:eastAsia="Calibri"/>
          <w:b/>
          <w:szCs w:val="24"/>
        </w:rPr>
      </w:pPr>
      <w:r w:rsidRPr="003B049D">
        <w:rPr>
          <w:szCs w:val="24"/>
        </w:rPr>
        <w:t>For impact tests, samples were mounted on the impact stub, which incorporates a piezo stack to oscillate the sample while in contact with the indenter. A cube corner-type indenter was used for impact experiments with the following test conditions: 1, 5 and 15mN normal load, 300s test duration, 80Hz oscillation frequency, each test was repeated 5 times. Sample oscillation was applied in alternating 3s on and 3s off periods.</w:t>
      </w:r>
    </w:p>
    <w:bookmarkStart w:id="298" w:name="_Toc359995940"/>
    <w:p w:rsidR="00250F94" w:rsidRPr="00AC0931" w:rsidRDefault="00AC0931" w:rsidP="001D3F19">
      <w:r>
        <w:rPr>
          <w:noProof/>
          <w:lang w:eastAsia="en-GB"/>
        </w:rPr>
        <w:lastRenderedPageBreak/>
        <mc:AlternateContent>
          <mc:Choice Requires="wps">
            <w:drawing>
              <wp:anchor distT="0" distB="0" distL="114300" distR="114300" simplePos="0" relativeHeight="251769856" behindDoc="0" locked="0" layoutInCell="1" allowOverlap="1" wp14:anchorId="0D0BD7B7" wp14:editId="1A5F344A">
                <wp:simplePos x="0" y="0"/>
                <wp:positionH relativeFrom="column">
                  <wp:posOffset>47625</wp:posOffset>
                </wp:positionH>
                <wp:positionV relativeFrom="paragraph">
                  <wp:posOffset>285115</wp:posOffset>
                </wp:positionV>
                <wp:extent cx="4907915" cy="457200"/>
                <wp:effectExtent l="0" t="0" r="6985" b="0"/>
                <wp:wrapSquare wrapText="bothSides"/>
                <wp:docPr id="271" name="Text Box 271"/>
                <wp:cNvGraphicFramePr/>
                <a:graphic xmlns:a="http://schemas.openxmlformats.org/drawingml/2006/main">
                  <a:graphicData uri="http://schemas.microsoft.com/office/word/2010/wordprocessingShape">
                    <wps:wsp>
                      <wps:cNvSpPr txBox="1"/>
                      <wps:spPr>
                        <a:xfrm>
                          <a:off x="0" y="0"/>
                          <a:ext cx="4907915" cy="457200"/>
                        </a:xfrm>
                        <a:prstGeom prst="rect">
                          <a:avLst/>
                        </a:prstGeom>
                        <a:solidFill>
                          <a:prstClr val="white"/>
                        </a:solidFill>
                        <a:ln>
                          <a:noFill/>
                        </a:ln>
                        <a:effectLst/>
                      </wps:spPr>
                      <wps:txbx>
                        <w:txbxContent>
                          <w:p w:rsidR="003208E6" w:rsidRPr="00956035" w:rsidRDefault="003208E6" w:rsidP="001D3F19">
                            <w:pPr>
                              <w:rPr>
                                <w:rFonts w:cstheme="minorBidi"/>
                                <w:b/>
                                <w:bCs/>
                                <w:sz w:val="20"/>
                                <w:szCs w:val="20"/>
                              </w:rPr>
                            </w:pPr>
                            <w:bookmarkStart w:id="299" w:name="_Ref361077696"/>
                            <w:bookmarkStart w:id="300" w:name="_Toc361733596"/>
                            <w:bookmarkStart w:id="301" w:name="_Toc361734239"/>
                            <w:bookmarkStart w:id="302" w:name="_Toc370511635"/>
                            <w:r w:rsidRPr="00956035">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proofErr w:type="gramStart"/>
                            <w:r>
                              <w:rPr>
                                <w:rFonts w:cstheme="minorBidi"/>
                                <w:b/>
                                <w:bCs/>
                                <w:noProof/>
                                <w:sz w:val="20"/>
                                <w:szCs w:val="20"/>
                              </w:rPr>
                              <w:t>6</w:t>
                            </w:r>
                            <w:r>
                              <w:rPr>
                                <w:rFonts w:cstheme="minorBidi"/>
                                <w:b/>
                                <w:bCs/>
                                <w:sz w:val="20"/>
                                <w:szCs w:val="20"/>
                              </w:rPr>
                              <w:fldChar w:fldCharType="end"/>
                            </w:r>
                            <w:bookmarkEnd w:id="299"/>
                            <w:r w:rsidRPr="00956035">
                              <w:rPr>
                                <w:rFonts w:cstheme="minorBidi"/>
                                <w:b/>
                                <w:bCs/>
                                <w:sz w:val="20"/>
                                <w:szCs w:val="20"/>
                              </w:rPr>
                              <w:t xml:space="preserve"> Illustration of the NanoTest system showing the configuration for impact testing.</w:t>
                            </w:r>
                            <w:bookmarkEnd w:id="300"/>
                            <w:bookmarkEnd w:id="301"/>
                            <w:bookmarkEnd w:id="302"/>
                            <w:proofErr w:type="gramEnd"/>
                          </w:p>
                          <w:p w:rsidR="003208E6" w:rsidRPr="0001627E" w:rsidRDefault="003208E6" w:rsidP="001D3F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271" o:spid="_x0000_s1037" type="#_x0000_t202" style="position:absolute;margin-left:3.75pt;margin-top:22.45pt;width:386.45pt;height:36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" stroked="f">
                <v:textbox inset="0,0,0,0">
                  <w:txbxContent>
                    <w:p w:rsidR="003208E6" w:rsidRPr="00956035" w:rsidRDefault="003208E6" w:rsidP="001D3F19">
                      <w:pPr>
                        <w:rPr>
                          <w:rFonts w:cstheme="minorBidi"/>
                          <w:b/>
                          <w:bCs/>
                          <w:sz w:val="20"/>
                          <w:szCs w:val="20"/>
                        </w:rPr>
                      </w:pPr>
                      <w:bookmarkStart w:id="322" w:name="_Ref361077696"/>
                      <w:bookmarkStart w:id="323" w:name="_Toc361733596"/>
                      <w:bookmarkStart w:id="324" w:name="_Toc361734239"/>
                      <w:bookmarkStart w:id="325" w:name="_Toc370511635"/>
                      <w:r w:rsidRPr="00956035">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6</w:t>
                      </w:r>
                      <w:r>
                        <w:rPr>
                          <w:rFonts w:cstheme="minorBidi"/>
                          <w:b/>
                          <w:bCs/>
                          <w:sz w:val="20"/>
                          <w:szCs w:val="20"/>
                        </w:rPr>
                        <w:fldChar w:fldCharType="end"/>
                      </w:r>
                      <w:bookmarkEnd w:id="322"/>
                      <w:r w:rsidRPr="00956035">
                        <w:rPr>
                          <w:rFonts w:cstheme="minorBidi"/>
                          <w:b/>
                          <w:bCs/>
                          <w:sz w:val="20"/>
                          <w:szCs w:val="20"/>
                        </w:rPr>
                        <w:t xml:space="preserve"> Illustration of the NanoTest system showing the configuration for impact testing.</w:t>
                      </w:r>
                      <w:bookmarkEnd w:id="323"/>
                      <w:bookmarkEnd w:id="324"/>
                      <w:bookmarkEnd w:id="325"/>
                    </w:p>
                    <w:p w:rsidR="003208E6" w:rsidRPr="0001627E" w:rsidRDefault="003208E6" w:rsidP="001D3F19"/>
                  </w:txbxContent>
                </v:textbox>
                <w10:wrap type="square"/>
              </v:shape>
            </w:pict>
          </mc:Fallback>
        </mc:AlternateContent>
      </w:r>
      <w:r w:rsidR="004631AF" w:rsidRPr="00B013ED">
        <w:rPr>
          <w:rFonts w:eastAsia="Calibri"/>
          <w:noProof/>
          <w:sz w:val="26"/>
          <w:lang w:eastAsia="en-GB"/>
        </w:rPr>
        <w:drawing>
          <wp:anchor distT="0" distB="0" distL="114300" distR="114300" simplePos="0" relativeHeight="251658240" behindDoc="0" locked="0" layoutInCell="1" allowOverlap="1" wp14:anchorId="5165C62F" wp14:editId="4870E7F8">
            <wp:simplePos x="0" y="0"/>
            <wp:positionH relativeFrom="margin">
              <wp:posOffset>50165</wp:posOffset>
            </wp:positionH>
            <wp:positionV relativeFrom="margin">
              <wp:posOffset>1283335</wp:posOffset>
            </wp:positionV>
            <wp:extent cx="4907915" cy="53346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07915" cy="5334635"/>
                    </a:xfrm>
                    <a:prstGeom prst="rect">
                      <a:avLst/>
                    </a:prstGeom>
                    <a:noFill/>
                  </pic:spPr>
                </pic:pic>
              </a:graphicData>
            </a:graphic>
          </wp:anchor>
        </w:drawing>
      </w:r>
      <w:bookmarkEnd w:id="298"/>
    </w:p>
    <w:p w:rsidR="00250F94" w:rsidRPr="00B013ED" w:rsidRDefault="00250F94" w:rsidP="00250F94">
      <w:pPr>
        <w:spacing w:line="480" w:lineRule="auto"/>
        <w:rPr>
          <w:b/>
          <w:bCs/>
          <w:lang w:val="en-US"/>
        </w:rPr>
      </w:pPr>
    </w:p>
    <w:p w:rsidR="004631AF" w:rsidRPr="00B013ED" w:rsidRDefault="004631AF">
      <w:pPr>
        <w:rPr>
          <w:rFonts w:eastAsiaTheme="majorEastAsia"/>
          <w:b/>
          <w:bCs/>
          <w:szCs w:val="26"/>
        </w:rPr>
      </w:pPr>
      <w:bookmarkStart w:id="303" w:name="_Toc359995941"/>
      <w:r w:rsidRPr="00B013ED">
        <w:br w:type="page"/>
      </w:r>
    </w:p>
    <w:p w:rsidR="00250F94" w:rsidRPr="00B013ED" w:rsidRDefault="00250F94" w:rsidP="00ED5EDA">
      <w:pPr>
        <w:pStyle w:val="Heading3"/>
        <w:spacing w:line="480" w:lineRule="auto"/>
      </w:pPr>
      <w:bookmarkStart w:id="304" w:name="_Toc370819238"/>
      <w:r w:rsidRPr="00B013ED">
        <w:lastRenderedPageBreak/>
        <w:t>Calculation of Young’s Modulus of Elasticity</w:t>
      </w:r>
      <w:bookmarkEnd w:id="303"/>
      <w:bookmarkEnd w:id="304"/>
    </w:p>
    <w:p w:rsidR="00FB3CFB" w:rsidRPr="005958D7" w:rsidRDefault="00FB3CFB" w:rsidP="00FB3CFB">
      <w:pPr>
        <w:spacing w:line="480" w:lineRule="auto"/>
        <w:jc w:val="both"/>
        <w:rPr>
          <w:bCs/>
          <w:lang w:val="en-US"/>
        </w:rPr>
      </w:pPr>
      <w:r w:rsidRPr="00B013ED">
        <w:rPr>
          <w:bCs/>
          <w:lang w:val="en-US"/>
        </w:rPr>
        <w:t xml:space="preserve">The value obtained from </w:t>
      </w:r>
      <w:r>
        <w:rPr>
          <w:bCs/>
          <w:lang w:val="en-US"/>
        </w:rPr>
        <w:t>nano-indentation</w:t>
      </w:r>
      <w:r w:rsidRPr="00B013ED">
        <w:rPr>
          <w:bCs/>
          <w:lang w:val="en-US"/>
        </w:rPr>
        <w:t xml:space="preserve"> was used in a formula described by Oliver and Pharr (1992), to calculate the Young’s Modulus of Elasticity from the following equation:</w:t>
      </w:r>
    </w:p>
    <w:p w:rsidR="00250F94" w:rsidRPr="00B013ED" w:rsidRDefault="00250F94" w:rsidP="00250F94">
      <w:pPr>
        <w:spacing w:line="480" w:lineRule="auto"/>
      </w:pPr>
      <w:r w:rsidRPr="00B013ED">
        <w:rPr>
          <w:position w:val="-30"/>
        </w:rPr>
        <w:object w:dxaOrig="193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6.75pt" o:ole="">
            <v:imagedata r:id="rId45" o:title=""/>
          </v:shape>
          <o:OLEObject Type="Embed" ProgID="Equation.3" ShapeID="_x0000_i1025" DrawAspect="Content" ObjectID="_1444562464" r:id="rId46"/>
        </w:object>
      </w:r>
    </w:p>
    <w:p w:rsidR="00250F94" w:rsidRPr="00B013ED" w:rsidRDefault="00250F94" w:rsidP="00250F94">
      <w:pPr>
        <w:spacing w:line="480" w:lineRule="auto"/>
        <w:rPr>
          <w:b/>
          <w:bCs/>
          <w:lang w:val="en-US"/>
        </w:rPr>
      </w:pPr>
      <w:r w:rsidRPr="00B013ED">
        <w:rPr>
          <w:i/>
          <w:iCs/>
          <w:lang w:val="en-US"/>
        </w:rPr>
        <w:t>Em</w:t>
      </w:r>
      <w:r w:rsidRPr="00B013ED">
        <w:rPr>
          <w:b/>
          <w:bCs/>
          <w:lang w:val="en-US"/>
        </w:rPr>
        <w:t>=</w:t>
      </w:r>
      <w:r w:rsidRPr="00B013ED">
        <w:rPr>
          <w:b/>
          <w:bCs/>
          <w:position w:val="-34"/>
          <w:lang w:val="en-US"/>
        </w:rPr>
        <w:object w:dxaOrig="2320" w:dyaOrig="859">
          <v:shape id="_x0000_i1026" type="#_x0000_t75" style="width:116.25pt;height:42.75pt" o:ole="">
            <v:imagedata r:id="rId47" o:title=""/>
          </v:shape>
          <o:OLEObject Type="Embed" ProgID="Equation.3" ShapeID="_x0000_i1026" DrawAspect="Content" ObjectID="_1444562465" r:id="rId48"/>
        </w:object>
      </w:r>
    </w:p>
    <w:p w:rsidR="00FB3CFB" w:rsidRPr="00FB3CFB" w:rsidRDefault="00FB3CFB" w:rsidP="00FB3CFB">
      <w:pPr>
        <w:spacing w:line="480" w:lineRule="auto"/>
        <w:rPr>
          <w:lang w:val="en-US"/>
        </w:rPr>
      </w:pPr>
      <w:r w:rsidRPr="00FB3CFB">
        <w:rPr>
          <w:lang w:val="en-US"/>
        </w:rPr>
        <w:t>E* is the value obtained from nano-indentation.</w:t>
      </w:r>
    </w:p>
    <w:p w:rsidR="00FB3CFB" w:rsidRPr="00FB3CFB" w:rsidRDefault="00FB3CFB" w:rsidP="00FB3CFB">
      <w:pPr>
        <w:spacing w:line="480" w:lineRule="auto"/>
        <w:rPr>
          <w:lang w:val="en-US"/>
        </w:rPr>
      </w:pPr>
      <w:r w:rsidRPr="00FB3CFB">
        <w:rPr>
          <w:lang w:val="en-US"/>
        </w:rPr>
        <w:t>Em this is the modulus of elasticity.</w:t>
      </w:r>
    </w:p>
    <w:p w:rsidR="00FB3CFB" w:rsidRPr="00FB3CFB" w:rsidRDefault="00FB3CFB" w:rsidP="00FB3CFB">
      <w:pPr>
        <w:spacing w:line="480" w:lineRule="auto"/>
        <w:rPr>
          <w:lang w:val="en-US"/>
        </w:rPr>
      </w:pPr>
      <w:r w:rsidRPr="00FB3CFB">
        <w:rPr>
          <w:lang w:val="en-US"/>
        </w:rPr>
        <w:t>Ei this is a constant value=0.07.</w:t>
      </w:r>
    </w:p>
    <w:p w:rsidR="00FB3CFB" w:rsidRPr="00FB3CFB" w:rsidRDefault="00FB3CFB" w:rsidP="00FB3CFB">
      <w:pPr>
        <w:spacing w:line="480" w:lineRule="auto"/>
        <w:rPr>
          <w:lang w:val="en-US"/>
        </w:rPr>
      </w:pPr>
      <w:proofErr w:type="gramStart"/>
      <w:r w:rsidRPr="00FB3CFB">
        <w:rPr>
          <w:lang w:val="en-US"/>
        </w:rPr>
        <w:t>Vi</w:t>
      </w:r>
      <w:proofErr w:type="gramEnd"/>
      <w:r w:rsidRPr="00FB3CFB">
        <w:rPr>
          <w:lang w:val="en-US"/>
        </w:rPr>
        <w:t xml:space="preserve"> this is a constant value=1141.</w:t>
      </w:r>
    </w:p>
    <w:p w:rsidR="00FB3CFB" w:rsidRPr="00FB3CFB" w:rsidRDefault="00FB3CFB" w:rsidP="00FB3CFB">
      <w:pPr>
        <w:spacing w:line="480" w:lineRule="auto"/>
        <w:rPr>
          <w:lang w:val="en-US"/>
        </w:rPr>
      </w:pPr>
      <w:r w:rsidRPr="00FB3CFB">
        <w:rPr>
          <w:lang w:val="en-US"/>
        </w:rPr>
        <w:t xml:space="preserve">Vm this value was obtained from the literature=0.03 </w:t>
      </w:r>
    </w:p>
    <w:p w:rsidR="00250F94" w:rsidRPr="00B013ED" w:rsidRDefault="00250F94" w:rsidP="00250F94">
      <w:pPr>
        <w:spacing w:after="0" w:line="240" w:lineRule="auto"/>
        <w:rPr>
          <w:rFonts w:eastAsia="Calibri"/>
          <w:b/>
          <w:sz w:val="26"/>
        </w:rPr>
      </w:pPr>
      <w:r w:rsidRPr="00B013ED">
        <w:rPr>
          <w:rFonts w:eastAsia="Calibri"/>
          <w:b/>
          <w:sz w:val="26"/>
        </w:rPr>
        <w:br w:type="page"/>
      </w:r>
    </w:p>
    <w:p w:rsidR="004631AF" w:rsidRPr="00B013ED" w:rsidRDefault="004631AF" w:rsidP="002B54A2">
      <w:pPr>
        <w:pStyle w:val="Heading2"/>
      </w:pPr>
      <w:bookmarkStart w:id="305" w:name="_Toc370819239"/>
      <w:r w:rsidRPr="00B013ED">
        <w:lastRenderedPageBreak/>
        <w:t>Statistical analysis</w:t>
      </w:r>
      <w:bookmarkEnd w:id="305"/>
      <w:r w:rsidRPr="00B013ED">
        <w:t xml:space="preserve"> </w:t>
      </w:r>
    </w:p>
    <w:p w:rsidR="00FB3CFB" w:rsidRPr="005958D7" w:rsidRDefault="00FB3CFB" w:rsidP="00FB3CFB">
      <w:pPr>
        <w:spacing w:line="480" w:lineRule="auto"/>
        <w:jc w:val="both"/>
        <w:rPr>
          <w:rFonts w:eastAsia="Calibri"/>
          <w:bCs/>
          <w:sz w:val="26"/>
        </w:rPr>
      </w:pPr>
      <w:bookmarkStart w:id="306" w:name="_Toc226789714"/>
      <w:bookmarkStart w:id="307" w:name="_Toc359995942"/>
      <w:r w:rsidRPr="00B013ED">
        <w:rPr>
          <w:rFonts w:eastAsia="Calibri"/>
          <w:bCs/>
          <w:sz w:val="26"/>
        </w:rPr>
        <w:t xml:space="preserve">The normality of the data was checked using </w:t>
      </w:r>
      <w:r>
        <w:rPr>
          <w:rFonts w:eastAsia="Calibri"/>
          <w:bCs/>
          <w:sz w:val="26"/>
        </w:rPr>
        <w:t xml:space="preserve">the </w:t>
      </w:r>
      <w:r w:rsidRPr="00B013ED">
        <w:rPr>
          <w:rFonts w:eastAsia="Calibri"/>
          <w:bCs/>
          <w:sz w:val="26"/>
        </w:rPr>
        <w:t>Shapiro W</w:t>
      </w:r>
      <w:r>
        <w:rPr>
          <w:rFonts w:eastAsia="Calibri"/>
          <w:bCs/>
          <w:sz w:val="26"/>
        </w:rPr>
        <w:t>i</w:t>
      </w:r>
      <w:r w:rsidRPr="00B013ED">
        <w:rPr>
          <w:rFonts w:eastAsia="Calibri"/>
          <w:bCs/>
          <w:sz w:val="26"/>
        </w:rPr>
        <w:t>lk</w:t>
      </w:r>
      <w:r>
        <w:rPr>
          <w:rFonts w:eastAsia="Calibri"/>
          <w:bCs/>
          <w:sz w:val="26"/>
        </w:rPr>
        <w:t xml:space="preserve"> test</w:t>
      </w:r>
      <w:r w:rsidRPr="00B013ED">
        <w:rPr>
          <w:rFonts w:eastAsia="Calibri"/>
          <w:bCs/>
          <w:sz w:val="26"/>
        </w:rPr>
        <w:t>.  Further analysis was carried out using non</w:t>
      </w:r>
      <w:r>
        <w:rPr>
          <w:rFonts w:eastAsia="Calibri"/>
          <w:bCs/>
          <w:sz w:val="26"/>
        </w:rPr>
        <w:t>-</w:t>
      </w:r>
      <w:r w:rsidRPr="00B013ED">
        <w:rPr>
          <w:rFonts w:eastAsia="Calibri"/>
          <w:bCs/>
          <w:sz w:val="26"/>
        </w:rPr>
        <w:t>parametric Kruskal-Wallis test</w:t>
      </w:r>
      <w:r>
        <w:rPr>
          <w:rFonts w:eastAsia="Calibri"/>
          <w:bCs/>
          <w:sz w:val="26"/>
        </w:rPr>
        <w:t>s</w:t>
      </w:r>
      <w:r w:rsidRPr="00B013ED">
        <w:rPr>
          <w:rFonts w:eastAsia="Calibri"/>
          <w:bCs/>
          <w:sz w:val="26"/>
        </w:rPr>
        <w:t>, using SSPS (version 20) to calculate the median and confidence</w:t>
      </w:r>
      <w:r>
        <w:rPr>
          <w:rFonts w:eastAsia="Calibri"/>
          <w:bCs/>
          <w:sz w:val="26"/>
        </w:rPr>
        <w:t xml:space="preserve"> intervals</w:t>
      </w:r>
      <w:r w:rsidRPr="00B013ED">
        <w:rPr>
          <w:rFonts w:eastAsia="Calibri"/>
          <w:bCs/>
          <w:sz w:val="26"/>
        </w:rPr>
        <w:t>. A p value of (p≤0.5) was accepted as significant.</w:t>
      </w:r>
    </w:p>
    <w:p w:rsidR="00C05DB8" w:rsidRPr="00B013ED" w:rsidRDefault="00C05DB8">
      <w:pPr>
        <w:rPr>
          <w:rFonts w:eastAsiaTheme="majorEastAsia"/>
          <w:b/>
          <w:bCs/>
          <w:sz w:val="32"/>
        </w:rPr>
      </w:pPr>
      <w:r w:rsidRPr="00B013ED">
        <w:br w:type="page"/>
      </w:r>
    </w:p>
    <w:p w:rsidR="00470A84" w:rsidRDefault="002F3F06" w:rsidP="002B54A2">
      <w:pPr>
        <w:pStyle w:val="Heading2"/>
      </w:pPr>
      <w:bookmarkStart w:id="308" w:name="_Toc370819240"/>
      <w:r w:rsidRPr="00B013ED">
        <w:lastRenderedPageBreak/>
        <w:t>Results</w:t>
      </w:r>
      <w:bookmarkEnd w:id="306"/>
      <w:bookmarkEnd w:id="307"/>
      <w:bookmarkEnd w:id="308"/>
    </w:p>
    <w:p w:rsidR="001A76BD" w:rsidRDefault="001A76BD" w:rsidP="005F15FA">
      <w:pPr>
        <w:pStyle w:val="Heading3"/>
        <w:spacing w:line="480" w:lineRule="auto"/>
      </w:pPr>
      <w:bookmarkStart w:id="309" w:name="_Toc370819241"/>
      <w:r>
        <w:t>Distribution of the data- Test of normality</w:t>
      </w:r>
      <w:bookmarkEnd w:id="309"/>
    </w:p>
    <w:p w:rsidR="001A76BD" w:rsidRDefault="001A76BD" w:rsidP="005F15FA">
      <w:pPr>
        <w:pStyle w:val="Heading4"/>
        <w:spacing w:line="480" w:lineRule="auto"/>
      </w:pPr>
      <w:r>
        <w:t>Hardness</w:t>
      </w:r>
    </w:p>
    <w:p w:rsidR="005F15FA" w:rsidRPr="00E645CC" w:rsidRDefault="001A76BD" w:rsidP="00E645CC">
      <w:pPr>
        <w:pStyle w:val="table"/>
        <w:jc w:val="both"/>
        <w:rPr>
          <w:szCs w:val="24"/>
        </w:rPr>
      </w:pPr>
      <w:r w:rsidRPr="00E645CC">
        <w:rPr>
          <w:szCs w:val="24"/>
        </w:rPr>
        <w:t xml:space="preserve"> </w:t>
      </w:r>
      <w:r w:rsidR="00FB3CFB" w:rsidRPr="00E645CC">
        <w:rPr>
          <w:szCs w:val="24"/>
        </w:rPr>
        <w:t>A significant difference between groups was observed using the Shapiro-Wilk test</w:t>
      </w:r>
      <w:r w:rsidR="00FB3CFB" w:rsidRPr="00E645CC">
        <w:rPr>
          <w:rFonts w:ascii="Arial" w:eastAsia="Calibri" w:hAnsi="Arial"/>
          <w:color w:val="000000"/>
          <w:szCs w:val="24"/>
        </w:rPr>
        <w:t xml:space="preserve"> which means </w:t>
      </w:r>
      <w:r w:rsidR="00FB3CFB" w:rsidRPr="00E645CC">
        <w:rPr>
          <w:szCs w:val="24"/>
        </w:rPr>
        <w:t xml:space="preserve">that the data was not normally distributed. </w:t>
      </w:r>
      <w:r w:rsidR="006B31F3" w:rsidRPr="00E645CC">
        <w:rPr>
          <w:szCs w:val="24"/>
        </w:rPr>
        <w:t xml:space="preserve">This is shown in </w:t>
      </w:r>
      <w:r w:rsidR="00F34154" w:rsidRPr="00E645CC">
        <w:rPr>
          <w:szCs w:val="24"/>
        </w:rPr>
        <w:fldChar w:fldCharType="begin"/>
      </w:r>
      <w:r w:rsidR="00F34154" w:rsidRPr="00E645CC">
        <w:rPr>
          <w:szCs w:val="24"/>
        </w:rPr>
        <w:instrText xml:space="preserve"> REF _Ref360798222 \h </w:instrText>
      </w:r>
      <w:r w:rsidR="00FB3CFB" w:rsidRPr="00E645CC">
        <w:rPr>
          <w:szCs w:val="24"/>
        </w:rPr>
        <w:instrText xml:space="preserve"> \* MERGEFORMAT </w:instrText>
      </w:r>
      <w:r w:rsidR="00F34154" w:rsidRPr="00E645CC">
        <w:rPr>
          <w:szCs w:val="24"/>
        </w:rPr>
      </w:r>
      <w:r w:rsidR="00F34154" w:rsidRPr="00E645CC">
        <w:rPr>
          <w:szCs w:val="24"/>
        </w:rPr>
        <w:fldChar w:fldCharType="separate"/>
      </w:r>
      <w:r w:rsidR="00374B77" w:rsidRPr="00374B77">
        <w:rPr>
          <w:rFonts w:cstheme="minorBidi"/>
          <w:szCs w:val="24"/>
        </w:rPr>
        <w:t xml:space="preserve">Table </w:t>
      </w:r>
      <w:r w:rsidR="00374B77" w:rsidRPr="00374B77">
        <w:rPr>
          <w:rFonts w:cstheme="minorBidi"/>
          <w:noProof/>
          <w:szCs w:val="24"/>
          <w:cs/>
        </w:rPr>
        <w:t>‎</w:t>
      </w:r>
      <w:r w:rsidR="00374B77">
        <w:rPr>
          <w:rFonts w:cstheme="minorBidi"/>
          <w:b/>
          <w:bCs w:val="0"/>
          <w:noProof/>
          <w:sz w:val="20"/>
          <w:szCs w:val="20"/>
        </w:rPr>
        <w:t>0.1</w:t>
      </w:r>
      <w:r w:rsidR="00F34154" w:rsidRPr="00E645CC">
        <w:rPr>
          <w:szCs w:val="24"/>
        </w:rPr>
        <w:fldChar w:fldCharType="end"/>
      </w:r>
      <w:r w:rsidRPr="00E645CC">
        <w:rPr>
          <w:szCs w:val="24"/>
        </w:rPr>
        <w:t>and</w:t>
      </w:r>
      <w:r w:rsidR="006B31F3" w:rsidRPr="00E645CC">
        <w:rPr>
          <w:szCs w:val="24"/>
        </w:rPr>
        <w:t xml:space="preserve"> in</w:t>
      </w:r>
      <w:r w:rsidR="00051E3F" w:rsidRPr="00E645CC">
        <w:rPr>
          <w:szCs w:val="24"/>
        </w:rPr>
        <w:t xml:space="preserve"> </w:t>
      </w:r>
      <w:r w:rsidR="00051E3F" w:rsidRPr="00E645CC">
        <w:rPr>
          <w:szCs w:val="24"/>
        </w:rPr>
        <w:fldChar w:fldCharType="begin"/>
      </w:r>
      <w:r w:rsidR="00051E3F" w:rsidRPr="00E645CC">
        <w:rPr>
          <w:szCs w:val="24"/>
        </w:rPr>
        <w:instrText xml:space="preserve"> REF _Ref361077948 \h </w:instrText>
      </w:r>
      <w:r w:rsidR="00FB3CFB" w:rsidRPr="00E645CC">
        <w:rPr>
          <w:szCs w:val="24"/>
        </w:rPr>
        <w:instrText xml:space="preserve"> \* MERGEFORMAT </w:instrText>
      </w:r>
      <w:r w:rsidR="00051E3F" w:rsidRPr="00E645CC">
        <w:rPr>
          <w:szCs w:val="24"/>
        </w:rPr>
      </w:r>
      <w:r w:rsidR="00051E3F" w:rsidRPr="00E645CC">
        <w:rPr>
          <w:szCs w:val="24"/>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sidRPr="00374B77">
        <w:rPr>
          <w:rFonts w:cstheme="minorBidi"/>
          <w:b/>
          <w:noProof/>
          <w:sz w:val="20"/>
          <w:szCs w:val="20"/>
        </w:rPr>
        <w:t>0.7</w:t>
      </w:r>
      <w:r w:rsidR="00051E3F" w:rsidRPr="00E645CC">
        <w:rPr>
          <w:szCs w:val="24"/>
        </w:rPr>
        <w:fldChar w:fldCharType="end"/>
      </w:r>
      <w:r w:rsidR="005F15FA" w:rsidRPr="00E645CC">
        <w:rPr>
          <w:szCs w:val="24"/>
        </w:rPr>
        <w:t xml:space="preserve">. </w:t>
      </w:r>
    </w:p>
    <w:p w:rsidR="005958D7" w:rsidRPr="00FB3CFB" w:rsidRDefault="005958D7" w:rsidP="001D3F19">
      <w:pPr>
        <w:rPr>
          <w:rFonts w:cstheme="minorBidi"/>
          <w:b/>
          <w:bCs/>
          <w:sz w:val="20"/>
          <w:szCs w:val="20"/>
        </w:rPr>
      </w:pPr>
      <w:bookmarkStart w:id="310" w:name="_Ref360798222"/>
      <w:bookmarkStart w:id="311" w:name="_Toc370511727"/>
      <w:proofErr w:type="gramStart"/>
      <w:r w:rsidRPr="00FB3CFB">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0</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1</w:t>
      </w:r>
      <w:r w:rsidR="00E7089D">
        <w:rPr>
          <w:rFonts w:cstheme="minorBidi"/>
          <w:b/>
          <w:bCs/>
          <w:sz w:val="20"/>
          <w:szCs w:val="20"/>
        </w:rPr>
        <w:fldChar w:fldCharType="end"/>
      </w:r>
      <w:bookmarkEnd w:id="310"/>
      <w:r w:rsidRPr="00FB3CFB">
        <w:rPr>
          <w:rFonts w:cstheme="minorBidi"/>
          <w:b/>
          <w:bCs/>
          <w:sz w:val="20"/>
          <w:szCs w:val="20"/>
          <w:lang w:val="en-US"/>
        </w:rPr>
        <w:t xml:space="preserve"> Test for normality using Shpiro-Wilk test of normality for hardness dentine</w:t>
      </w:r>
      <w:bookmarkEnd w:id="311"/>
    </w:p>
    <w:tbl>
      <w:tblPr>
        <w:tblW w:w="8110" w:type="dxa"/>
        <w:tblLayout w:type="fixed"/>
        <w:tblCellMar>
          <w:left w:w="10" w:type="dxa"/>
          <w:right w:w="10" w:type="dxa"/>
        </w:tblCellMar>
        <w:tblLook w:val="0000" w:firstRow="0" w:lastRow="0" w:firstColumn="0" w:lastColumn="0" w:noHBand="0" w:noVBand="0"/>
      </w:tblPr>
      <w:tblGrid>
        <w:gridCol w:w="1078"/>
        <w:gridCol w:w="1032"/>
        <w:gridCol w:w="1000"/>
        <w:gridCol w:w="1000"/>
        <w:gridCol w:w="1000"/>
        <w:gridCol w:w="1000"/>
        <w:gridCol w:w="1000"/>
        <w:gridCol w:w="1000"/>
      </w:tblGrid>
      <w:tr w:rsidR="00C05DB8" w:rsidRPr="00B013ED" w:rsidTr="00400FB2">
        <w:trPr>
          <w:cantSplit/>
        </w:trPr>
        <w:tc>
          <w:tcPr>
            <w:tcW w:w="8110" w:type="dxa"/>
            <w:gridSpan w:val="8"/>
            <w:shd w:val="clear" w:color="auto" w:fill="17365D" w:themeFill="text2" w:themeFillShade="B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Calibri" w:eastAsia="Calibri" w:hAnsi="Calibri" w:cs="Arial"/>
                <w:sz w:val="22"/>
                <w:szCs w:val="22"/>
              </w:rPr>
            </w:pPr>
            <w:r w:rsidRPr="00400FB2">
              <w:rPr>
                <w:rFonts w:ascii="Arial" w:eastAsia="Calibri" w:hAnsi="Arial" w:cs="Arial"/>
                <w:b/>
                <w:bCs/>
                <w:color w:val="FFFFFF" w:themeColor="background1"/>
                <w:sz w:val="18"/>
                <w:szCs w:val="18"/>
              </w:rPr>
              <w:t>Tests of Normality</w:t>
            </w:r>
          </w:p>
        </w:tc>
      </w:tr>
      <w:tr w:rsidR="00C05DB8" w:rsidRPr="00B013ED" w:rsidTr="00061F4B">
        <w:trPr>
          <w:cantSplit/>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C05DB8" w:rsidRPr="00B013ED" w:rsidRDefault="00C05DB8" w:rsidP="00061F4B">
            <w:pPr>
              <w:suppressAutoHyphens/>
              <w:autoSpaceDE w:val="0"/>
              <w:autoSpaceDN w:val="0"/>
              <w:spacing w:after="0" w:line="240" w:lineRule="auto"/>
              <w:textAlignment w:val="baseline"/>
              <w:rPr>
                <w:rFonts w:ascii="Arial" w:eastAsia="Calibri" w:hAnsi="Arial" w:cs="Arial"/>
                <w:color w:val="000000"/>
                <w:sz w:val="18"/>
                <w:szCs w:val="18"/>
              </w:rPr>
            </w:pPr>
          </w:p>
        </w:tc>
        <w:tc>
          <w:tcPr>
            <w:tcW w:w="1032" w:type="dxa"/>
            <w:vMerge w:val="restart"/>
            <w:tcBorders>
              <w:top w:val="single" w:sz="18" w:space="0" w:color="000000"/>
              <w:right w:val="single" w:sz="1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time</w:t>
            </w:r>
          </w:p>
        </w:tc>
        <w:tc>
          <w:tcPr>
            <w:tcW w:w="3000" w:type="dxa"/>
            <w:gridSpan w:val="3"/>
            <w:tcBorders>
              <w:top w:val="single" w:sz="18" w:space="0" w:color="000000"/>
              <w:left w:val="single" w:sz="18" w:space="0" w:color="000000"/>
              <w:bottom w:val="single" w:sz="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Calibri" w:eastAsia="Calibri" w:hAnsi="Calibri" w:cs="Arial"/>
                <w:sz w:val="22"/>
                <w:szCs w:val="22"/>
              </w:rPr>
            </w:pPr>
            <w:r w:rsidRPr="00B013ED">
              <w:rPr>
                <w:rFonts w:ascii="Arial" w:eastAsia="Calibri" w:hAnsi="Arial" w:cs="Arial"/>
                <w:color w:val="000000"/>
                <w:sz w:val="18"/>
                <w:szCs w:val="18"/>
              </w:rPr>
              <w:t>Kolmogorov-Smirnov</w:t>
            </w:r>
            <w:r w:rsidRPr="00B013ED">
              <w:rPr>
                <w:rFonts w:ascii="Arial" w:eastAsia="Calibri" w:hAnsi="Arial" w:cs="Arial"/>
                <w:color w:val="000000"/>
                <w:sz w:val="18"/>
                <w:szCs w:val="18"/>
                <w:vertAlign w:val="superscript"/>
              </w:rPr>
              <w:t>a</w:t>
            </w:r>
          </w:p>
        </w:tc>
        <w:tc>
          <w:tcPr>
            <w:tcW w:w="3000" w:type="dxa"/>
            <w:gridSpan w:val="3"/>
            <w:tcBorders>
              <w:top w:val="single" w:sz="1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Shapiro-Wilk</w:t>
            </w:r>
          </w:p>
        </w:tc>
      </w:tr>
      <w:tr w:rsidR="00C05DB8" w:rsidRPr="00B013ED" w:rsidTr="005F15FA">
        <w:trPr>
          <w:cantSplit/>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C05DB8" w:rsidRPr="00B013ED" w:rsidRDefault="00C05DB8" w:rsidP="00061F4B">
            <w:pPr>
              <w:suppressAutoHyphens/>
              <w:autoSpaceDE w:val="0"/>
              <w:autoSpaceDN w:val="0"/>
              <w:spacing w:after="0" w:line="240" w:lineRule="auto"/>
              <w:textAlignment w:val="baseline"/>
              <w:rPr>
                <w:rFonts w:ascii="Arial" w:eastAsia="Calibri" w:hAnsi="Arial" w:cs="Arial"/>
                <w:color w:val="000000"/>
                <w:sz w:val="18"/>
                <w:szCs w:val="18"/>
              </w:rPr>
            </w:pPr>
          </w:p>
        </w:tc>
        <w:tc>
          <w:tcPr>
            <w:tcW w:w="1032" w:type="dxa"/>
            <w:vMerge/>
            <w:tcBorders>
              <w:top w:val="single" w:sz="18" w:space="0" w:color="000000"/>
              <w:right w:val="single" w:sz="1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240" w:lineRule="auto"/>
              <w:textAlignment w:val="baseline"/>
              <w:rPr>
                <w:rFonts w:ascii="Arial" w:eastAsia="Calibri" w:hAnsi="Arial" w:cs="Arial"/>
                <w:color w:val="000000"/>
                <w:sz w:val="18"/>
                <w:szCs w:val="18"/>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Statistic</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df</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Sig.</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Statistic</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df</w:t>
            </w:r>
          </w:p>
        </w:tc>
        <w:tc>
          <w:tcPr>
            <w:tcW w:w="1000" w:type="dxa"/>
            <w:tcBorders>
              <w:top w:val="single" w:sz="8" w:space="0" w:color="000000"/>
              <w:left w:val="single" w:sz="8" w:space="0" w:color="000000"/>
              <w:bottom w:val="single" w:sz="18" w:space="0" w:color="000000"/>
              <w:right w:val="single" w:sz="18" w:space="0" w:color="000000"/>
            </w:tcBorders>
            <w:shd w:val="clear" w:color="auto" w:fill="FDE9D9" w:themeFill="accent6" w:themeFillTint="33"/>
            <w:tcMar>
              <w:top w:w="0" w:type="dxa"/>
              <w:left w:w="0" w:type="dxa"/>
              <w:bottom w:w="0" w:type="dxa"/>
              <w:right w:w="0" w:type="dxa"/>
            </w:tcMar>
          </w:tcPr>
          <w:p w:rsidR="00C05DB8" w:rsidRPr="005F15FA"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5F15FA">
              <w:rPr>
                <w:rFonts w:ascii="Arial" w:eastAsia="Calibri" w:hAnsi="Arial" w:cs="Arial"/>
                <w:color w:val="000000"/>
                <w:sz w:val="18"/>
                <w:szCs w:val="18"/>
              </w:rPr>
              <w:t>Sig.</w:t>
            </w:r>
          </w:p>
        </w:tc>
      </w:tr>
      <w:tr w:rsidR="00C05DB8" w:rsidRPr="00B013ED" w:rsidTr="005F15FA">
        <w:trPr>
          <w:cantSplit/>
        </w:trPr>
        <w:tc>
          <w:tcPr>
            <w:tcW w:w="1078" w:type="dxa"/>
            <w:vMerge w:val="restart"/>
            <w:tcBorders>
              <w:top w:val="single" w:sz="18" w:space="0" w:color="000000"/>
              <w:left w:val="single" w:sz="18" w:space="0" w:color="000000"/>
              <w:bottom w:val="single" w:sz="1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hardness</w:t>
            </w:r>
          </w:p>
        </w:tc>
        <w:tc>
          <w:tcPr>
            <w:tcW w:w="1032" w:type="dxa"/>
            <w:tcBorders>
              <w:top w:val="single" w:sz="18" w:space="0" w:color="000000"/>
              <w:right w:val="single" w:sz="1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3 Months</w:t>
            </w:r>
          </w:p>
        </w:tc>
        <w:tc>
          <w:tcPr>
            <w:tcW w:w="1000" w:type="dxa"/>
            <w:tcBorders>
              <w:top w:val="single" w:sz="18" w:space="0" w:color="000000"/>
              <w:left w:val="single" w:sz="1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.129</w:t>
            </w:r>
          </w:p>
        </w:tc>
        <w:tc>
          <w:tcPr>
            <w:tcW w:w="1000" w:type="dxa"/>
            <w:tcBorders>
              <w:top w:val="single" w:sz="1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27</w:t>
            </w:r>
          </w:p>
        </w:tc>
        <w:tc>
          <w:tcPr>
            <w:tcW w:w="1000" w:type="dxa"/>
            <w:tcBorders>
              <w:top w:val="single" w:sz="1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.200</w:t>
            </w:r>
            <w:r w:rsidRPr="00B013ED">
              <w:rPr>
                <w:rFonts w:ascii="Arial" w:eastAsia="Calibri" w:hAnsi="Arial" w:cs="Arial"/>
                <w:color w:val="000000"/>
                <w:sz w:val="18"/>
                <w:szCs w:val="18"/>
                <w:vertAlign w:val="superscript"/>
              </w:rPr>
              <w:t>*</w:t>
            </w:r>
          </w:p>
        </w:tc>
        <w:tc>
          <w:tcPr>
            <w:tcW w:w="1000" w:type="dxa"/>
            <w:tcBorders>
              <w:top w:val="single" w:sz="1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.925</w:t>
            </w:r>
          </w:p>
        </w:tc>
        <w:tc>
          <w:tcPr>
            <w:tcW w:w="1000" w:type="dxa"/>
            <w:tcBorders>
              <w:top w:val="single" w:sz="1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27</w:t>
            </w:r>
          </w:p>
        </w:tc>
        <w:tc>
          <w:tcPr>
            <w:tcW w:w="1000" w:type="dxa"/>
            <w:tcBorders>
              <w:top w:val="single" w:sz="18" w:space="0" w:color="000000"/>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C05DB8" w:rsidRPr="005F15FA"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5F15FA">
              <w:rPr>
                <w:rFonts w:ascii="Arial" w:eastAsia="Calibri" w:hAnsi="Arial" w:cs="Arial"/>
                <w:color w:val="000000"/>
                <w:sz w:val="18"/>
                <w:szCs w:val="18"/>
              </w:rPr>
              <w:t>.052</w:t>
            </w:r>
          </w:p>
        </w:tc>
      </w:tr>
      <w:tr w:rsidR="00C05DB8" w:rsidRPr="00B013ED" w:rsidTr="005F15FA">
        <w:trPr>
          <w:cantSplit/>
        </w:trPr>
        <w:tc>
          <w:tcPr>
            <w:tcW w:w="1078" w:type="dxa"/>
            <w:vMerge/>
            <w:tcBorders>
              <w:top w:val="single" w:sz="18" w:space="0" w:color="000000"/>
              <w:left w:val="single" w:sz="18" w:space="0" w:color="000000"/>
              <w:bottom w:val="single" w:sz="1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240" w:lineRule="auto"/>
              <w:textAlignment w:val="baseline"/>
              <w:rPr>
                <w:rFonts w:ascii="Arial" w:eastAsia="Calibri" w:hAnsi="Arial" w:cs="Arial"/>
                <w:color w:val="000000"/>
                <w:sz w:val="18"/>
                <w:szCs w:val="18"/>
              </w:rPr>
            </w:pPr>
          </w:p>
        </w:tc>
        <w:tc>
          <w:tcPr>
            <w:tcW w:w="1032" w:type="dxa"/>
            <w:tcBorders>
              <w:bottom w:val="single" w:sz="18" w:space="0" w:color="000000"/>
              <w:right w:val="single" w:sz="1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8 Months</w:t>
            </w:r>
          </w:p>
        </w:tc>
        <w:tc>
          <w:tcPr>
            <w:tcW w:w="1000" w:type="dxa"/>
            <w:tcBorders>
              <w:left w:val="single" w:sz="18" w:space="0" w:color="000000"/>
              <w:bottom w:val="single" w:sz="1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.311</w:t>
            </w:r>
          </w:p>
        </w:tc>
        <w:tc>
          <w:tcPr>
            <w:tcW w:w="1000" w:type="dxa"/>
            <w:tcBorders>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27</w:t>
            </w:r>
          </w:p>
        </w:tc>
        <w:tc>
          <w:tcPr>
            <w:tcW w:w="1000" w:type="dxa"/>
            <w:tcBorders>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000" w:type="dxa"/>
            <w:tcBorders>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.776</w:t>
            </w:r>
          </w:p>
        </w:tc>
        <w:tc>
          <w:tcPr>
            <w:tcW w:w="1000" w:type="dxa"/>
            <w:tcBorders>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27</w:t>
            </w:r>
          </w:p>
        </w:tc>
        <w:tc>
          <w:tcPr>
            <w:tcW w:w="1000" w:type="dxa"/>
            <w:tcBorders>
              <w:left w:val="single" w:sz="8" w:space="0" w:color="000000"/>
              <w:bottom w:val="single" w:sz="1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C05DB8" w:rsidRPr="005F15FA"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5F15FA">
              <w:rPr>
                <w:rFonts w:ascii="Arial" w:eastAsia="Calibri" w:hAnsi="Arial" w:cs="Arial"/>
                <w:color w:val="000000"/>
                <w:sz w:val="18"/>
                <w:szCs w:val="18"/>
              </w:rPr>
              <w:t>.000</w:t>
            </w:r>
          </w:p>
        </w:tc>
      </w:tr>
      <w:tr w:rsidR="00C05DB8" w:rsidRPr="00B013ED" w:rsidTr="00061F4B">
        <w:trPr>
          <w:cantSplit/>
        </w:trPr>
        <w:tc>
          <w:tcPr>
            <w:tcW w:w="8110" w:type="dxa"/>
            <w:gridSpan w:val="8"/>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textAlignment w:val="baseline"/>
              <w:rPr>
                <w:rFonts w:ascii="Arial" w:eastAsia="Calibri" w:hAnsi="Arial" w:cs="Arial"/>
                <w:color w:val="000000"/>
                <w:sz w:val="18"/>
                <w:szCs w:val="18"/>
              </w:rPr>
            </w:pPr>
            <w:r w:rsidRPr="006335B0">
              <w:rPr>
                <w:rFonts w:ascii="Arial" w:eastAsia="Calibri" w:hAnsi="Arial" w:cs="Arial"/>
                <w:b/>
                <w:bCs/>
                <w:color w:val="000000"/>
                <w:sz w:val="18"/>
                <w:szCs w:val="18"/>
              </w:rPr>
              <w:t xml:space="preserve">*. </w:t>
            </w:r>
            <w:r w:rsidRPr="00B013ED">
              <w:rPr>
                <w:rFonts w:ascii="Arial" w:eastAsia="Calibri" w:hAnsi="Arial" w:cs="Arial"/>
                <w:color w:val="000000"/>
                <w:sz w:val="18"/>
                <w:szCs w:val="18"/>
              </w:rPr>
              <w:t>This is a lower bound of the true significance.</w:t>
            </w:r>
          </w:p>
        </w:tc>
      </w:tr>
      <w:tr w:rsidR="00C05DB8" w:rsidRPr="00B013ED" w:rsidTr="00061F4B">
        <w:trPr>
          <w:cantSplit/>
        </w:trPr>
        <w:tc>
          <w:tcPr>
            <w:tcW w:w="8110" w:type="dxa"/>
            <w:gridSpan w:val="8"/>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textAlignment w:val="baseline"/>
              <w:rPr>
                <w:rFonts w:ascii="Arial" w:eastAsia="Calibri" w:hAnsi="Arial" w:cs="Arial"/>
                <w:color w:val="000000"/>
                <w:sz w:val="18"/>
                <w:szCs w:val="18"/>
              </w:rPr>
            </w:pPr>
            <w:r w:rsidRPr="006335B0">
              <w:rPr>
                <w:rFonts w:ascii="Arial" w:eastAsia="Calibri" w:hAnsi="Arial" w:cs="Arial"/>
                <w:b/>
                <w:bCs/>
                <w:color w:val="000000"/>
                <w:sz w:val="18"/>
                <w:szCs w:val="18"/>
              </w:rPr>
              <w:t>a.</w:t>
            </w:r>
            <w:r w:rsidRPr="00B013ED">
              <w:rPr>
                <w:rFonts w:ascii="Arial" w:eastAsia="Calibri" w:hAnsi="Arial" w:cs="Arial"/>
                <w:color w:val="000000"/>
                <w:sz w:val="18"/>
                <w:szCs w:val="18"/>
              </w:rPr>
              <w:t xml:space="preserve"> Lilliefors Significance Correction</w:t>
            </w:r>
          </w:p>
        </w:tc>
      </w:tr>
    </w:tbl>
    <w:p w:rsidR="00C05DB8" w:rsidRPr="00B013ED" w:rsidRDefault="00787F8C" w:rsidP="00C05DB8">
      <w:pPr>
        <w:rPr>
          <w:szCs w:val="24"/>
        </w:rPr>
      </w:pPr>
      <w:r w:rsidRPr="00B013ED">
        <w:rPr>
          <w:rFonts w:ascii="Times New Roman" w:hAnsi="Times New Roman" w:cs="Times New Roman"/>
          <w:noProof/>
          <w:szCs w:val="24"/>
          <w:lang w:eastAsia="en-GB"/>
        </w:rPr>
        <w:drawing>
          <wp:anchor distT="0" distB="0" distL="114300" distR="114300" simplePos="0" relativeHeight="251736064" behindDoc="0" locked="0" layoutInCell="1" allowOverlap="1" wp14:anchorId="2E7FE857" wp14:editId="7C0123E0">
            <wp:simplePos x="0" y="0"/>
            <wp:positionH relativeFrom="column">
              <wp:posOffset>331470</wp:posOffset>
            </wp:positionH>
            <wp:positionV relativeFrom="paragraph">
              <wp:posOffset>890905</wp:posOffset>
            </wp:positionV>
            <wp:extent cx="4457700" cy="2657475"/>
            <wp:effectExtent l="0" t="0" r="0" b="9525"/>
            <wp:wrapSquare wrapText="bothSides"/>
            <wp:docPr id="263" name="Picture 26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r="11559"/>
                    <a:stretch/>
                  </pic:blipFill>
                  <pic:spPr bwMode="auto">
                    <a:xfrm>
                      <a:off x="0" y="0"/>
                      <a:ext cx="4457700" cy="265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E3F">
        <w:rPr>
          <w:noProof/>
          <w:lang w:eastAsia="en-GB"/>
        </w:rPr>
        <mc:AlternateContent>
          <mc:Choice Requires="wps">
            <w:drawing>
              <wp:anchor distT="0" distB="0" distL="114300" distR="114300" simplePos="0" relativeHeight="251820032" behindDoc="0" locked="0" layoutInCell="1" allowOverlap="1" wp14:anchorId="52CA3326" wp14:editId="32190C80">
                <wp:simplePos x="0" y="0"/>
                <wp:positionH relativeFrom="column">
                  <wp:posOffset>-9525</wp:posOffset>
                </wp:positionH>
                <wp:positionV relativeFrom="paragraph">
                  <wp:posOffset>239395</wp:posOffset>
                </wp:positionV>
                <wp:extent cx="5191125" cy="635"/>
                <wp:effectExtent l="0" t="0" r="9525" b="0"/>
                <wp:wrapSquare wrapText="bothSides"/>
                <wp:docPr id="17" name="Text Box 17"/>
                <wp:cNvGraphicFramePr/>
                <a:graphic xmlns:a="http://schemas.openxmlformats.org/drawingml/2006/main">
                  <a:graphicData uri="http://schemas.microsoft.com/office/word/2010/wordprocessingShape">
                    <wps:wsp>
                      <wps:cNvSpPr txBox="1"/>
                      <wps:spPr>
                        <a:xfrm>
                          <a:off x="0" y="0"/>
                          <a:ext cx="5191125" cy="635"/>
                        </a:xfrm>
                        <a:prstGeom prst="rect">
                          <a:avLst/>
                        </a:prstGeom>
                        <a:solidFill>
                          <a:prstClr val="white"/>
                        </a:solidFill>
                        <a:ln>
                          <a:noFill/>
                        </a:ln>
                        <a:effectLst/>
                      </wps:spPr>
                      <wps:txbx>
                        <w:txbxContent>
                          <w:p w:rsidR="003208E6" w:rsidRPr="00FB3CFB" w:rsidRDefault="003208E6" w:rsidP="001D3F19">
                            <w:pPr>
                              <w:rPr>
                                <w:rFonts w:cstheme="minorBidi"/>
                                <w:b/>
                                <w:bCs/>
                                <w:sz w:val="20"/>
                                <w:szCs w:val="20"/>
                              </w:rPr>
                            </w:pPr>
                            <w:bookmarkStart w:id="312" w:name="_Ref361077948"/>
                            <w:bookmarkStart w:id="313" w:name="_Toc361733597"/>
                            <w:bookmarkStart w:id="314" w:name="_Toc361734240"/>
                            <w:bookmarkStart w:id="315" w:name="_Toc370511636"/>
                            <w:r w:rsidRPr="00FB3CFB">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proofErr w:type="gramStart"/>
                            <w:r>
                              <w:rPr>
                                <w:rFonts w:cstheme="minorBidi"/>
                                <w:b/>
                                <w:bCs/>
                                <w:noProof/>
                                <w:sz w:val="20"/>
                                <w:szCs w:val="20"/>
                              </w:rPr>
                              <w:t>7</w:t>
                            </w:r>
                            <w:r>
                              <w:rPr>
                                <w:rFonts w:cstheme="minorBidi"/>
                                <w:b/>
                                <w:bCs/>
                                <w:sz w:val="20"/>
                                <w:szCs w:val="20"/>
                              </w:rPr>
                              <w:fldChar w:fldCharType="end"/>
                            </w:r>
                            <w:bookmarkEnd w:id="312"/>
                            <w:r w:rsidRPr="00FB3CFB">
                              <w:rPr>
                                <w:rFonts w:cstheme="minorBidi"/>
                                <w:b/>
                                <w:bCs/>
                                <w:sz w:val="20"/>
                                <w:szCs w:val="20"/>
                              </w:rPr>
                              <w:t xml:space="preserve"> Whisker box plot showing that the data for hardness of dentine is not normally distributed</w:t>
                            </w:r>
                            <w:r>
                              <w:rPr>
                                <w:rFonts w:cstheme="minorBidi"/>
                                <w:b/>
                                <w:bCs/>
                                <w:sz w:val="20"/>
                                <w:szCs w:val="20"/>
                              </w:rPr>
                              <w:t>.</w:t>
                            </w:r>
                            <w:bookmarkEnd w:id="313"/>
                            <w:bookmarkEnd w:id="314"/>
                            <w:bookmarkEnd w:id="315"/>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7" o:spid="_x0000_s1038" type="#_x0000_t202" style="position:absolute;margin-left:-.75pt;margin-top:18.85pt;width:408.75pt;height:.0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" stroked="f">
                <v:textbox style="mso-fit-shape-to-text:t" inset="0,0,0,0">
                  <w:txbxContent>
                    <w:p w:rsidR="003208E6" w:rsidRPr="00FB3CFB" w:rsidRDefault="003208E6" w:rsidP="001D3F19">
                      <w:pPr>
                        <w:rPr>
                          <w:rFonts w:cstheme="minorBidi"/>
                          <w:b/>
                          <w:bCs/>
                          <w:sz w:val="20"/>
                          <w:szCs w:val="20"/>
                        </w:rPr>
                      </w:pPr>
                      <w:bookmarkStart w:id="339" w:name="_Ref361077948"/>
                      <w:bookmarkStart w:id="340" w:name="_Toc361733597"/>
                      <w:bookmarkStart w:id="341" w:name="_Toc361734240"/>
                      <w:bookmarkStart w:id="342" w:name="_Toc370511636"/>
                      <w:r w:rsidRPr="00FB3CFB">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7</w:t>
                      </w:r>
                      <w:r>
                        <w:rPr>
                          <w:rFonts w:cstheme="minorBidi"/>
                          <w:b/>
                          <w:bCs/>
                          <w:sz w:val="20"/>
                          <w:szCs w:val="20"/>
                        </w:rPr>
                        <w:fldChar w:fldCharType="end"/>
                      </w:r>
                      <w:bookmarkEnd w:id="339"/>
                      <w:r w:rsidRPr="00FB3CFB">
                        <w:rPr>
                          <w:rFonts w:cstheme="minorBidi"/>
                          <w:b/>
                          <w:bCs/>
                          <w:sz w:val="20"/>
                          <w:szCs w:val="20"/>
                        </w:rPr>
                        <w:t xml:space="preserve"> Whisker box plot showing that the data for hardness of dentine is not normally distributed</w:t>
                      </w:r>
                      <w:r>
                        <w:rPr>
                          <w:rFonts w:cstheme="minorBidi"/>
                          <w:b/>
                          <w:bCs/>
                          <w:sz w:val="20"/>
                          <w:szCs w:val="20"/>
                        </w:rPr>
                        <w:t>.</w:t>
                      </w:r>
                      <w:bookmarkEnd w:id="340"/>
                      <w:bookmarkEnd w:id="341"/>
                      <w:bookmarkEnd w:id="342"/>
                    </w:p>
                  </w:txbxContent>
                </v:textbox>
                <w10:wrap type="square"/>
              </v:shape>
            </w:pict>
          </mc:Fallback>
        </mc:AlternateContent>
      </w:r>
      <w:r w:rsidR="00C05DB8" w:rsidRPr="00B013ED">
        <w:t xml:space="preserve"> </w:t>
      </w:r>
    </w:p>
    <w:p w:rsidR="00C05DB8" w:rsidRPr="00B013ED" w:rsidRDefault="00C05DB8" w:rsidP="00C05DB8">
      <w:pPr>
        <w:spacing w:line="600" w:lineRule="auto"/>
        <w:jc w:val="both"/>
        <w:rPr>
          <w:szCs w:val="24"/>
        </w:rPr>
      </w:pPr>
    </w:p>
    <w:p w:rsidR="00C05DB8" w:rsidRPr="00B013ED" w:rsidRDefault="00C05DB8" w:rsidP="00C05DB8">
      <w:pPr>
        <w:spacing w:line="600" w:lineRule="auto"/>
        <w:jc w:val="both"/>
        <w:rPr>
          <w:szCs w:val="24"/>
        </w:rPr>
      </w:pPr>
    </w:p>
    <w:p w:rsidR="00C05DB8" w:rsidRPr="00B013ED" w:rsidRDefault="00C05DB8" w:rsidP="00C05DB8">
      <w:pPr>
        <w:spacing w:line="600" w:lineRule="auto"/>
        <w:jc w:val="both"/>
        <w:rPr>
          <w:szCs w:val="24"/>
        </w:rPr>
      </w:pPr>
    </w:p>
    <w:p w:rsidR="00C05DB8" w:rsidRPr="00B013ED" w:rsidRDefault="00C05DB8" w:rsidP="00C05DB8">
      <w:pPr>
        <w:spacing w:line="600" w:lineRule="auto"/>
        <w:jc w:val="both"/>
        <w:rPr>
          <w:szCs w:val="24"/>
        </w:rPr>
      </w:pPr>
    </w:p>
    <w:p w:rsidR="00C05DB8" w:rsidRPr="00B013ED" w:rsidRDefault="00C05DB8" w:rsidP="00C05DB8">
      <w:pPr>
        <w:spacing w:line="600" w:lineRule="auto"/>
        <w:jc w:val="both"/>
        <w:rPr>
          <w:szCs w:val="24"/>
        </w:rPr>
      </w:pPr>
    </w:p>
    <w:p w:rsidR="00C05DB8" w:rsidRPr="00B013ED" w:rsidRDefault="005F15FA" w:rsidP="005F15FA">
      <w:pPr>
        <w:rPr>
          <w:szCs w:val="24"/>
        </w:rPr>
      </w:pPr>
      <w:r>
        <w:rPr>
          <w:szCs w:val="24"/>
        </w:rPr>
        <w:br w:type="page"/>
      </w:r>
    </w:p>
    <w:p w:rsidR="005F15FA" w:rsidRPr="005F15FA" w:rsidRDefault="005F15FA" w:rsidP="005F15FA">
      <w:pPr>
        <w:pStyle w:val="Heading4"/>
        <w:spacing w:line="480" w:lineRule="auto"/>
      </w:pPr>
      <w:r w:rsidRPr="005F15FA">
        <w:lastRenderedPageBreak/>
        <w:t>Modulus of elasticity</w:t>
      </w:r>
    </w:p>
    <w:p w:rsidR="00374B77" w:rsidRPr="00E645CC" w:rsidRDefault="005F15FA" w:rsidP="00E645CC">
      <w:pPr>
        <w:pStyle w:val="table"/>
        <w:jc w:val="both"/>
        <w:rPr>
          <w:szCs w:val="24"/>
        </w:rPr>
      </w:pPr>
      <w:r w:rsidRPr="00E645CC">
        <w:rPr>
          <w:szCs w:val="24"/>
        </w:rPr>
        <w:t>It can be seen from</w:t>
      </w:r>
      <w:r w:rsidR="00F34154" w:rsidRPr="00E645CC">
        <w:rPr>
          <w:szCs w:val="24"/>
        </w:rPr>
        <w:t xml:space="preserve"> </w:t>
      </w:r>
      <w:r w:rsidR="00F34154" w:rsidRPr="00E645CC">
        <w:rPr>
          <w:szCs w:val="24"/>
        </w:rPr>
        <w:fldChar w:fldCharType="begin"/>
      </w:r>
      <w:r w:rsidR="00F34154" w:rsidRPr="00E645CC">
        <w:rPr>
          <w:szCs w:val="24"/>
        </w:rPr>
        <w:instrText xml:space="preserve"> REF _Ref360798863 \h </w:instrText>
      </w:r>
      <w:r w:rsidR="00A94DAC" w:rsidRPr="00E645CC">
        <w:rPr>
          <w:szCs w:val="24"/>
        </w:rPr>
        <w:instrText xml:space="preserve"> \* MERGEFORMAT </w:instrText>
      </w:r>
      <w:r w:rsidR="00F34154" w:rsidRPr="00E645CC">
        <w:rPr>
          <w:szCs w:val="24"/>
        </w:rPr>
      </w:r>
      <w:r w:rsidR="00F34154" w:rsidRPr="00E645CC">
        <w:rPr>
          <w:szCs w:val="24"/>
        </w:rPr>
        <w:fldChar w:fldCharType="separate"/>
      </w:r>
      <w:r w:rsidR="00374B77" w:rsidRPr="00374B77">
        <w:rPr>
          <w:rFonts w:cstheme="minorBidi"/>
          <w:szCs w:val="24"/>
        </w:rPr>
        <w:t xml:space="preserve">that </w:t>
      </w:r>
      <w:r w:rsidR="00374B77" w:rsidRPr="00374B77">
        <w:rPr>
          <w:rFonts w:cstheme="minorBidi"/>
          <w:noProof/>
          <w:szCs w:val="24"/>
        </w:rPr>
        <w:t xml:space="preserve">the </w:t>
      </w:r>
      <w:r w:rsidR="00374B77" w:rsidRPr="00E645CC">
        <w:rPr>
          <w:szCs w:val="24"/>
        </w:rPr>
        <w:t xml:space="preserve">data for the modulus of elasticity was not normally distributed. </w:t>
      </w:r>
    </w:p>
    <w:p w:rsidR="00AA344E" w:rsidRPr="00E645CC" w:rsidRDefault="00374B77" w:rsidP="00E645CC">
      <w:pPr>
        <w:pStyle w:val="table"/>
        <w:jc w:val="both"/>
        <w:rPr>
          <w:szCs w:val="24"/>
        </w:rPr>
      </w:pPr>
      <w:proofErr w:type="gramStart"/>
      <w:r w:rsidRPr="00374B77">
        <w:rPr>
          <w:rFonts w:cstheme="minorBidi"/>
          <w:szCs w:val="24"/>
        </w:rPr>
        <w:t xml:space="preserve">Table </w:t>
      </w:r>
      <w:r w:rsidRPr="00374B77">
        <w:rPr>
          <w:rFonts w:cstheme="minorBidi"/>
          <w:noProof/>
          <w:szCs w:val="24"/>
          <w:cs/>
        </w:rPr>
        <w:t>‎</w:t>
      </w:r>
      <w:r>
        <w:rPr>
          <w:rFonts w:cstheme="minorBidi"/>
          <w:b/>
          <w:bCs w:val="0"/>
          <w:noProof/>
          <w:sz w:val="20"/>
          <w:szCs w:val="20"/>
        </w:rPr>
        <w:t>0.2</w:t>
      </w:r>
      <w:r w:rsidR="00F34154" w:rsidRPr="00E645CC">
        <w:rPr>
          <w:szCs w:val="24"/>
        </w:rPr>
        <w:fldChar w:fldCharType="end"/>
      </w:r>
      <w:r w:rsidR="005F15FA" w:rsidRPr="00E645CC">
        <w:rPr>
          <w:szCs w:val="24"/>
        </w:rPr>
        <w:t xml:space="preserve"> and </w:t>
      </w:r>
      <w:r w:rsidR="00F34154" w:rsidRPr="00E645CC">
        <w:rPr>
          <w:szCs w:val="24"/>
        </w:rPr>
        <w:fldChar w:fldCharType="begin"/>
      </w:r>
      <w:r w:rsidR="00F34154" w:rsidRPr="00E645CC">
        <w:rPr>
          <w:szCs w:val="24"/>
        </w:rPr>
        <w:instrText xml:space="preserve"> REF _Ref360798572 \h </w:instrText>
      </w:r>
      <w:r w:rsidR="00F01DD2" w:rsidRPr="00E645CC">
        <w:rPr>
          <w:szCs w:val="24"/>
        </w:rPr>
        <w:instrText xml:space="preserve"> \* MERGEFORMAT </w:instrText>
      </w:r>
      <w:r w:rsidR="00F34154" w:rsidRPr="00E645CC">
        <w:rPr>
          <w:szCs w:val="24"/>
        </w:rPr>
      </w:r>
      <w:r w:rsidR="00F34154" w:rsidRPr="00E645CC">
        <w:rPr>
          <w:szCs w:val="24"/>
        </w:rPr>
        <w:fldChar w:fldCharType="separate"/>
      </w:r>
      <w:r w:rsidRPr="00374B77">
        <w:rPr>
          <w:rFonts w:cstheme="minorBidi"/>
          <w:szCs w:val="24"/>
        </w:rPr>
        <w:t xml:space="preserve">Figure </w:t>
      </w:r>
      <w:r w:rsidRPr="00374B77">
        <w:rPr>
          <w:rFonts w:cstheme="minorBidi"/>
          <w:noProof/>
          <w:szCs w:val="24"/>
          <w:cs/>
        </w:rPr>
        <w:t>‎</w:t>
      </w:r>
      <w:r w:rsidRPr="00374B77">
        <w:rPr>
          <w:rFonts w:cstheme="minorBidi"/>
          <w:b/>
          <w:noProof/>
          <w:sz w:val="20"/>
          <w:szCs w:val="20"/>
        </w:rPr>
        <w:t>0.8</w:t>
      </w:r>
      <w:r w:rsidR="00F34154" w:rsidRPr="00E645CC">
        <w:rPr>
          <w:szCs w:val="24"/>
        </w:rPr>
        <w:fldChar w:fldCharType="end"/>
      </w:r>
      <w:r w:rsidR="00F34154" w:rsidRPr="00E645CC">
        <w:rPr>
          <w:szCs w:val="24"/>
        </w:rPr>
        <w:t xml:space="preserve"> </w:t>
      </w:r>
      <w:bookmarkStart w:id="316" w:name="_Ref360798863"/>
      <w:r w:rsidR="00AA344E" w:rsidRPr="00E645CC">
        <w:rPr>
          <w:szCs w:val="24"/>
        </w:rPr>
        <w:t>that the data for the modulus of elasticity was not normally distributed.</w:t>
      </w:r>
      <w:proofErr w:type="gramEnd"/>
      <w:r w:rsidR="00AA344E" w:rsidRPr="00E645CC">
        <w:rPr>
          <w:szCs w:val="24"/>
        </w:rPr>
        <w:t xml:space="preserve"> </w:t>
      </w:r>
    </w:p>
    <w:p w:rsidR="00F34154" w:rsidRPr="00400FB2" w:rsidRDefault="00F34154" w:rsidP="008827C1">
      <w:pPr>
        <w:spacing w:line="240" w:lineRule="auto"/>
        <w:jc w:val="both"/>
        <w:rPr>
          <w:rFonts w:cstheme="minorBidi"/>
          <w:b/>
          <w:bCs/>
          <w:sz w:val="20"/>
          <w:szCs w:val="20"/>
        </w:rPr>
      </w:pPr>
      <w:bookmarkStart w:id="317" w:name="_Toc370511728"/>
      <w:proofErr w:type="gramStart"/>
      <w:r w:rsidRPr="00400FB2">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0</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2</w:t>
      </w:r>
      <w:r w:rsidR="00E7089D">
        <w:rPr>
          <w:rFonts w:cstheme="minorBidi"/>
          <w:b/>
          <w:bCs/>
          <w:sz w:val="20"/>
          <w:szCs w:val="20"/>
        </w:rPr>
        <w:fldChar w:fldCharType="end"/>
      </w:r>
      <w:bookmarkEnd w:id="316"/>
      <w:r w:rsidRPr="00400FB2">
        <w:rPr>
          <w:rFonts w:cstheme="minorBidi"/>
          <w:b/>
          <w:bCs/>
          <w:sz w:val="20"/>
          <w:szCs w:val="20"/>
        </w:rPr>
        <w:t xml:space="preserve"> Test for normality using Shapiro-Wilk test of normality for modulus of elasticity of dentine</w:t>
      </w:r>
      <w:r w:rsidR="008827C1">
        <w:rPr>
          <w:rFonts w:cstheme="minorBidi"/>
          <w:b/>
          <w:bCs/>
          <w:sz w:val="20"/>
          <w:szCs w:val="20"/>
        </w:rPr>
        <w:t>.</w:t>
      </w:r>
      <w:bookmarkEnd w:id="317"/>
    </w:p>
    <w:tbl>
      <w:tblPr>
        <w:tblW w:w="8723" w:type="dxa"/>
        <w:tblLayout w:type="fixed"/>
        <w:tblCellMar>
          <w:left w:w="10" w:type="dxa"/>
          <w:right w:w="10" w:type="dxa"/>
        </w:tblCellMar>
        <w:tblLook w:val="0000" w:firstRow="0" w:lastRow="0" w:firstColumn="0" w:lastColumn="0" w:noHBand="0" w:noVBand="0"/>
      </w:tblPr>
      <w:tblGrid>
        <w:gridCol w:w="816"/>
        <w:gridCol w:w="1158"/>
        <w:gridCol w:w="1124"/>
        <w:gridCol w:w="1125"/>
        <w:gridCol w:w="1125"/>
        <w:gridCol w:w="1125"/>
        <w:gridCol w:w="1125"/>
        <w:gridCol w:w="1125"/>
      </w:tblGrid>
      <w:tr w:rsidR="00C05DB8" w:rsidRPr="00B013ED" w:rsidTr="00400FB2">
        <w:trPr>
          <w:cantSplit/>
          <w:trHeight w:val="325"/>
        </w:trPr>
        <w:tc>
          <w:tcPr>
            <w:tcW w:w="8723" w:type="dxa"/>
            <w:gridSpan w:val="8"/>
            <w:shd w:val="clear" w:color="auto" w:fill="17365D" w:themeFill="text2" w:themeFillShade="BF"/>
            <w:tcMar>
              <w:top w:w="0" w:type="dxa"/>
              <w:left w:w="0" w:type="dxa"/>
              <w:bottom w:w="0" w:type="dxa"/>
              <w:right w:w="0" w:type="dxa"/>
            </w:tcMar>
          </w:tcPr>
          <w:p w:rsidR="00C05DB8" w:rsidRPr="00400FB2" w:rsidRDefault="00C05DB8" w:rsidP="00061F4B">
            <w:pPr>
              <w:suppressAutoHyphens/>
              <w:autoSpaceDE w:val="0"/>
              <w:autoSpaceDN w:val="0"/>
              <w:spacing w:after="0" w:line="320" w:lineRule="atLeast"/>
              <w:ind w:left="60" w:right="60"/>
              <w:jc w:val="center"/>
              <w:textAlignment w:val="baseline"/>
              <w:rPr>
                <w:rFonts w:ascii="Calibri" w:eastAsia="Calibri" w:hAnsi="Calibri" w:cs="Arial"/>
                <w:color w:val="FFFFFF" w:themeColor="background1"/>
                <w:sz w:val="22"/>
                <w:szCs w:val="22"/>
              </w:rPr>
            </w:pPr>
            <w:r w:rsidRPr="00400FB2">
              <w:rPr>
                <w:rFonts w:ascii="Arial" w:eastAsia="Calibri" w:hAnsi="Arial" w:cs="Arial"/>
                <w:b/>
                <w:bCs/>
                <w:color w:val="FFFFFF" w:themeColor="background1"/>
                <w:sz w:val="18"/>
                <w:szCs w:val="18"/>
              </w:rPr>
              <w:t>Tests of Normality</w:t>
            </w:r>
          </w:p>
        </w:tc>
      </w:tr>
      <w:tr w:rsidR="00C05DB8" w:rsidRPr="00B013ED" w:rsidTr="006179C6">
        <w:trPr>
          <w:cantSplit/>
          <w:trHeight w:val="310"/>
        </w:trPr>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C05DB8" w:rsidRPr="00B013ED" w:rsidRDefault="00C05DB8" w:rsidP="00061F4B">
            <w:pPr>
              <w:suppressAutoHyphens/>
              <w:autoSpaceDE w:val="0"/>
              <w:autoSpaceDN w:val="0"/>
              <w:spacing w:after="0" w:line="240" w:lineRule="auto"/>
              <w:textAlignment w:val="baseline"/>
              <w:rPr>
                <w:rFonts w:ascii="Arial" w:eastAsia="Calibri" w:hAnsi="Arial" w:cs="Arial"/>
                <w:color w:val="000000"/>
                <w:sz w:val="18"/>
                <w:szCs w:val="18"/>
              </w:rPr>
            </w:pPr>
          </w:p>
        </w:tc>
        <w:tc>
          <w:tcPr>
            <w:tcW w:w="1158" w:type="dxa"/>
            <w:vMerge w:val="restart"/>
            <w:tcBorders>
              <w:top w:val="single" w:sz="18" w:space="0" w:color="000000"/>
              <w:right w:val="single" w:sz="1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time</w:t>
            </w:r>
          </w:p>
        </w:tc>
        <w:tc>
          <w:tcPr>
            <w:tcW w:w="3374" w:type="dxa"/>
            <w:gridSpan w:val="3"/>
            <w:tcBorders>
              <w:top w:val="single" w:sz="18" w:space="0" w:color="000000"/>
              <w:left w:val="single" w:sz="18" w:space="0" w:color="000000"/>
              <w:bottom w:val="single" w:sz="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Calibri" w:eastAsia="Calibri" w:hAnsi="Calibri" w:cs="Arial"/>
                <w:sz w:val="22"/>
                <w:szCs w:val="22"/>
              </w:rPr>
            </w:pPr>
            <w:r w:rsidRPr="00B013ED">
              <w:rPr>
                <w:rFonts w:ascii="Arial" w:eastAsia="Calibri" w:hAnsi="Arial" w:cs="Arial"/>
                <w:color w:val="000000"/>
                <w:sz w:val="18"/>
                <w:szCs w:val="18"/>
              </w:rPr>
              <w:t>Kolmogorov-Smirnov</w:t>
            </w:r>
            <w:r w:rsidRPr="00B013ED">
              <w:rPr>
                <w:rFonts w:ascii="Arial" w:eastAsia="Calibri" w:hAnsi="Arial" w:cs="Arial"/>
                <w:color w:val="000000"/>
                <w:sz w:val="18"/>
                <w:szCs w:val="18"/>
                <w:vertAlign w:val="superscript"/>
              </w:rPr>
              <w:t>a</w:t>
            </w:r>
          </w:p>
        </w:tc>
        <w:tc>
          <w:tcPr>
            <w:tcW w:w="3375" w:type="dxa"/>
            <w:gridSpan w:val="3"/>
            <w:tcBorders>
              <w:top w:val="single" w:sz="1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Shapiro-Wilk</w:t>
            </w:r>
          </w:p>
        </w:tc>
      </w:tr>
      <w:tr w:rsidR="00C05DB8" w:rsidRPr="00B013ED" w:rsidTr="006179C6">
        <w:trPr>
          <w:cantSplit/>
          <w:trHeight w:val="310"/>
        </w:trPr>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C05DB8" w:rsidRPr="00B013ED" w:rsidRDefault="00C05DB8" w:rsidP="00061F4B">
            <w:pPr>
              <w:suppressAutoHyphens/>
              <w:autoSpaceDE w:val="0"/>
              <w:autoSpaceDN w:val="0"/>
              <w:spacing w:after="0" w:line="240" w:lineRule="auto"/>
              <w:textAlignment w:val="baseline"/>
              <w:rPr>
                <w:rFonts w:ascii="Arial" w:eastAsia="Calibri" w:hAnsi="Arial" w:cs="Arial"/>
                <w:color w:val="000000"/>
                <w:sz w:val="18"/>
                <w:szCs w:val="18"/>
              </w:rPr>
            </w:pPr>
          </w:p>
        </w:tc>
        <w:tc>
          <w:tcPr>
            <w:tcW w:w="1158" w:type="dxa"/>
            <w:vMerge/>
            <w:tcBorders>
              <w:top w:val="single" w:sz="18" w:space="0" w:color="000000"/>
              <w:right w:val="single" w:sz="1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240" w:lineRule="auto"/>
              <w:textAlignment w:val="baseline"/>
              <w:rPr>
                <w:rFonts w:ascii="Arial" w:eastAsia="Calibri" w:hAnsi="Arial" w:cs="Arial"/>
                <w:color w:val="000000"/>
                <w:sz w:val="18"/>
                <w:szCs w:val="18"/>
              </w:rPr>
            </w:pPr>
          </w:p>
        </w:tc>
        <w:tc>
          <w:tcPr>
            <w:tcW w:w="1124" w:type="dxa"/>
            <w:tcBorders>
              <w:top w:val="single" w:sz="8" w:space="0" w:color="000000"/>
              <w:left w:val="single" w:sz="18" w:space="0" w:color="000000"/>
              <w:bottom w:val="single" w:sz="1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Statistic</w:t>
            </w:r>
          </w:p>
        </w:tc>
        <w:tc>
          <w:tcPr>
            <w:tcW w:w="1125" w:type="dxa"/>
            <w:tcBorders>
              <w:top w:val="single" w:sz="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df</w:t>
            </w:r>
          </w:p>
        </w:tc>
        <w:tc>
          <w:tcPr>
            <w:tcW w:w="1125" w:type="dxa"/>
            <w:tcBorders>
              <w:top w:val="single" w:sz="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Sig.</w:t>
            </w:r>
          </w:p>
        </w:tc>
        <w:tc>
          <w:tcPr>
            <w:tcW w:w="1125" w:type="dxa"/>
            <w:tcBorders>
              <w:top w:val="single" w:sz="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Statistic</w:t>
            </w:r>
          </w:p>
        </w:tc>
        <w:tc>
          <w:tcPr>
            <w:tcW w:w="1125" w:type="dxa"/>
            <w:tcBorders>
              <w:top w:val="single" w:sz="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df</w:t>
            </w:r>
          </w:p>
        </w:tc>
        <w:tc>
          <w:tcPr>
            <w:tcW w:w="1125" w:type="dxa"/>
            <w:tcBorders>
              <w:top w:val="single" w:sz="8" w:space="0" w:color="000000"/>
              <w:left w:val="single" w:sz="8" w:space="0" w:color="000000"/>
              <w:bottom w:val="single" w:sz="18" w:space="0" w:color="000000"/>
              <w:right w:val="single" w:sz="18" w:space="0" w:color="000000"/>
            </w:tcBorders>
            <w:shd w:val="clear" w:color="auto" w:fill="FDE9D9" w:themeFill="accent6" w:themeFillTint="33"/>
            <w:tcMar>
              <w:top w:w="0" w:type="dxa"/>
              <w:left w:w="0" w:type="dxa"/>
              <w:bottom w:w="0" w:type="dxa"/>
              <w:right w:w="0" w:type="dxa"/>
            </w:tcMar>
          </w:tcPr>
          <w:p w:rsidR="00C05DB8" w:rsidRPr="00B013ED" w:rsidRDefault="00C05DB8" w:rsidP="00061F4B">
            <w:pPr>
              <w:suppressAutoHyphens/>
              <w:autoSpaceDE w:val="0"/>
              <w:autoSpaceDN w:val="0"/>
              <w:spacing w:after="0" w:line="320" w:lineRule="atLeast"/>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Sig.</w:t>
            </w:r>
          </w:p>
        </w:tc>
      </w:tr>
      <w:tr w:rsidR="00C05DB8" w:rsidRPr="00B013ED" w:rsidTr="006179C6">
        <w:trPr>
          <w:cantSplit/>
          <w:trHeight w:val="325"/>
        </w:trPr>
        <w:tc>
          <w:tcPr>
            <w:tcW w:w="816" w:type="dxa"/>
            <w:vMerge w:val="restart"/>
            <w:tcBorders>
              <w:top w:val="single" w:sz="18" w:space="0" w:color="000000"/>
              <w:left w:val="single" w:sz="18" w:space="0" w:color="000000"/>
              <w:bottom w:val="single" w:sz="1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MOD</w:t>
            </w:r>
          </w:p>
        </w:tc>
        <w:tc>
          <w:tcPr>
            <w:tcW w:w="1158" w:type="dxa"/>
            <w:tcBorders>
              <w:top w:val="single" w:sz="18" w:space="0" w:color="000000"/>
              <w:right w:val="single" w:sz="1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3 Months</w:t>
            </w:r>
          </w:p>
        </w:tc>
        <w:tc>
          <w:tcPr>
            <w:tcW w:w="1124" w:type="dxa"/>
            <w:tcBorders>
              <w:top w:val="single" w:sz="18" w:space="0" w:color="000000"/>
              <w:left w:val="single" w:sz="1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.083</w:t>
            </w:r>
          </w:p>
        </w:tc>
        <w:tc>
          <w:tcPr>
            <w:tcW w:w="1125" w:type="dxa"/>
            <w:tcBorders>
              <w:top w:val="single" w:sz="1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27</w:t>
            </w:r>
          </w:p>
        </w:tc>
        <w:tc>
          <w:tcPr>
            <w:tcW w:w="1125" w:type="dxa"/>
            <w:tcBorders>
              <w:top w:val="single" w:sz="1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.200</w:t>
            </w:r>
            <w:r w:rsidRPr="00B013ED">
              <w:rPr>
                <w:rFonts w:ascii="Arial" w:eastAsia="Calibri" w:hAnsi="Arial" w:cs="Arial"/>
                <w:color w:val="000000"/>
                <w:sz w:val="18"/>
                <w:szCs w:val="18"/>
                <w:vertAlign w:val="superscript"/>
              </w:rPr>
              <w:t>*</w:t>
            </w:r>
          </w:p>
        </w:tc>
        <w:tc>
          <w:tcPr>
            <w:tcW w:w="1125" w:type="dxa"/>
            <w:tcBorders>
              <w:top w:val="single" w:sz="1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.986</w:t>
            </w:r>
          </w:p>
        </w:tc>
        <w:tc>
          <w:tcPr>
            <w:tcW w:w="1125" w:type="dxa"/>
            <w:tcBorders>
              <w:top w:val="single" w:sz="1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27</w:t>
            </w:r>
          </w:p>
        </w:tc>
        <w:tc>
          <w:tcPr>
            <w:tcW w:w="1125" w:type="dxa"/>
            <w:tcBorders>
              <w:top w:val="single" w:sz="18" w:space="0" w:color="000000"/>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.967</w:t>
            </w:r>
          </w:p>
        </w:tc>
      </w:tr>
      <w:tr w:rsidR="00C05DB8" w:rsidRPr="00B013ED" w:rsidTr="006179C6">
        <w:trPr>
          <w:cantSplit/>
          <w:trHeight w:val="142"/>
        </w:trPr>
        <w:tc>
          <w:tcPr>
            <w:tcW w:w="816" w:type="dxa"/>
            <w:vMerge/>
            <w:tcBorders>
              <w:top w:val="single" w:sz="18" w:space="0" w:color="000000"/>
              <w:left w:val="single" w:sz="18" w:space="0" w:color="000000"/>
              <w:bottom w:val="single" w:sz="1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240" w:lineRule="auto"/>
              <w:textAlignment w:val="baseline"/>
              <w:rPr>
                <w:rFonts w:ascii="Arial" w:eastAsia="Calibri" w:hAnsi="Arial" w:cs="Arial"/>
                <w:color w:val="000000"/>
                <w:sz w:val="18"/>
                <w:szCs w:val="18"/>
              </w:rPr>
            </w:pPr>
          </w:p>
        </w:tc>
        <w:tc>
          <w:tcPr>
            <w:tcW w:w="1158" w:type="dxa"/>
            <w:tcBorders>
              <w:bottom w:val="single" w:sz="18" w:space="0" w:color="000000"/>
              <w:right w:val="single" w:sz="1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8 Months</w:t>
            </w:r>
          </w:p>
        </w:tc>
        <w:tc>
          <w:tcPr>
            <w:tcW w:w="1124" w:type="dxa"/>
            <w:tcBorders>
              <w:left w:val="single" w:sz="18" w:space="0" w:color="000000"/>
              <w:bottom w:val="single" w:sz="1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.150</w:t>
            </w:r>
          </w:p>
        </w:tc>
        <w:tc>
          <w:tcPr>
            <w:tcW w:w="1125" w:type="dxa"/>
            <w:tcBorders>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27</w:t>
            </w:r>
          </w:p>
        </w:tc>
        <w:tc>
          <w:tcPr>
            <w:tcW w:w="1125" w:type="dxa"/>
            <w:tcBorders>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.125</w:t>
            </w:r>
          </w:p>
        </w:tc>
        <w:tc>
          <w:tcPr>
            <w:tcW w:w="1125" w:type="dxa"/>
            <w:tcBorders>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.904</w:t>
            </w:r>
          </w:p>
        </w:tc>
        <w:tc>
          <w:tcPr>
            <w:tcW w:w="1125" w:type="dxa"/>
            <w:tcBorders>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27</w:t>
            </w:r>
          </w:p>
        </w:tc>
        <w:tc>
          <w:tcPr>
            <w:tcW w:w="1125" w:type="dxa"/>
            <w:tcBorders>
              <w:left w:val="single" w:sz="8" w:space="0" w:color="000000"/>
              <w:bottom w:val="single" w:sz="1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C05DB8" w:rsidRPr="00B013ED" w:rsidRDefault="00C05DB8" w:rsidP="00061F4B">
            <w:pPr>
              <w:suppressAutoHyphens/>
              <w:autoSpaceDE w:val="0"/>
              <w:autoSpaceDN w:val="0"/>
              <w:spacing w:after="0" w:line="320" w:lineRule="atLeast"/>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.016</w:t>
            </w:r>
          </w:p>
        </w:tc>
      </w:tr>
      <w:tr w:rsidR="00C05DB8" w:rsidRPr="00B013ED" w:rsidTr="006179C6">
        <w:trPr>
          <w:cantSplit/>
          <w:trHeight w:val="635"/>
        </w:trPr>
        <w:tc>
          <w:tcPr>
            <w:tcW w:w="8723" w:type="dxa"/>
            <w:gridSpan w:val="8"/>
            <w:shd w:val="clear" w:color="auto" w:fill="FFFFFF"/>
            <w:tcMar>
              <w:top w:w="0" w:type="dxa"/>
              <w:left w:w="0" w:type="dxa"/>
              <w:bottom w:w="0" w:type="dxa"/>
              <w:right w:w="0" w:type="dxa"/>
            </w:tcMar>
          </w:tcPr>
          <w:p w:rsidR="006335B0" w:rsidRDefault="006335B0" w:rsidP="00061F4B">
            <w:pPr>
              <w:suppressAutoHyphens/>
              <w:autoSpaceDE w:val="0"/>
              <w:autoSpaceDN w:val="0"/>
              <w:spacing w:after="0" w:line="320" w:lineRule="atLeast"/>
              <w:ind w:left="60" w:right="60"/>
              <w:textAlignment w:val="baseline"/>
              <w:rPr>
                <w:rFonts w:ascii="Arial" w:eastAsia="Calibri" w:hAnsi="Arial" w:cs="Arial"/>
                <w:color w:val="000000"/>
                <w:sz w:val="18"/>
                <w:szCs w:val="18"/>
              </w:rPr>
            </w:pPr>
            <w:r w:rsidRPr="006335B0">
              <w:rPr>
                <w:rFonts w:ascii="Arial" w:eastAsia="Calibri" w:hAnsi="Arial" w:cs="Arial"/>
                <w:b/>
                <w:bCs/>
                <w:color w:val="000000"/>
                <w:sz w:val="18"/>
                <w:szCs w:val="18"/>
              </w:rPr>
              <w:t>MOD</w:t>
            </w:r>
            <w:r>
              <w:rPr>
                <w:rFonts w:ascii="Arial" w:eastAsia="Calibri" w:hAnsi="Arial" w:cs="Arial"/>
                <w:color w:val="000000"/>
                <w:sz w:val="18"/>
                <w:szCs w:val="18"/>
              </w:rPr>
              <w:t xml:space="preserve"> Modulus of elasticity</w:t>
            </w:r>
          </w:p>
          <w:p w:rsidR="006335B0" w:rsidRPr="00B013ED" w:rsidRDefault="00C05DB8" w:rsidP="006335B0">
            <w:pPr>
              <w:suppressAutoHyphens/>
              <w:autoSpaceDE w:val="0"/>
              <w:autoSpaceDN w:val="0"/>
              <w:spacing w:after="0" w:line="320" w:lineRule="atLeast"/>
              <w:ind w:left="60" w:right="60"/>
              <w:textAlignment w:val="baseline"/>
              <w:rPr>
                <w:rFonts w:ascii="Arial" w:eastAsia="Calibri" w:hAnsi="Arial" w:cs="Arial"/>
                <w:color w:val="000000"/>
                <w:sz w:val="18"/>
                <w:szCs w:val="18"/>
              </w:rPr>
            </w:pPr>
            <w:r w:rsidRPr="006335B0">
              <w:rPr>
                <w:rFonts w:ascii="Arial" w:eastAsia="Calibri" w:hAnsi="Arial" w:cs="Arial"/>
                <w:b/>
                <w:bCs/>
                <w:color w:val="000000"/>
                <w:sz w:val="18"/>
                <w:szCs w:val="18"/>
              </w:rPr>
              <w:t xml:space="preserve">*. </w:t>
            </w:r>
            <w:r w:rsidRPr="00B013ED">
              <w:rPr>
                <w:rFonts w:ascii="Arial" w:eastAsia="Calibri" w:hAnsi="Arial" w:cs="Arial"/>
                <w:color w:val="000000"/>
                <w:sz w:val="18"/>
                <w:szCs w:val="18"/>
              </w:rPr>
              <w:t>This is a lower bound of the true significance.</w:t>
            </w:r>
          </w:p>
        </w:tc>
      </w:tr>
      <w:tr w:rsidR="00C05DB8" w:rsidRPr="00B013ED" w:rsidTr="006179C6">
        <w:trPr>
          <w:cantSplit/>
          <w:trHeight w:val="310"/>
        </w:trPr>
        <w:tc>
          <w:tcPr>
            <w:tcW w:w="8723" w:type="dxa"/>
            <w:gridSpan w:val="8"/>
            <w:shd w:val="clear" w:color="auto" w:fill="FFFFFF"/>
            <w:tcMar>
              <w:top w:w="0" w:type="dxa"/>
              <w:left w:w="0" w:type="dxa"/>
              <w:bottom w:w="0" w:type="dxa"/>
              <w:right w:w="0" w:type="dxa"/>
            </w:tcMar>
          </w:tcPr>
          <w:p w:rsidR="00C05DB8" w:rsidRPr="00B013ED" w:rsidRDefault="00B84A85" w:rsidP="00061F4B">
            <w:pPr>
              <w:suppressAutoHyphens/>
              <w:autoSpaceDE w:val="0"/>
              <w:autoSpaceDN w:val="0"/>
              <w:spacing w:after="0" w:line="320" w:lineRule="atLeast"/>
              <w:ind w:left="60" w:right="60"/>
              <w:textAlignment w:val="baseline"/>
              <w:rPr>
                <w:rFonts w:ascii="Arial" w:eastAsia="Calibri" w:hAnsi="Arial" w:cs="Arial"/>
                <w:color w:val="000000"/>
                <w:sz w:val="18"/>
                <w:szCs w:val="18"/>
              </w:rPr>
            </w:pPr>
            <w:r>
              <w:rPr>
                <w:noProof/>
                <w:lang w:eastAsia="en-GB"/>
              </w:rPr>
              <mc:AlternateContent>
                <mc:Choice Requires="wps">
                  <w:drawing>
                    <wp:anchor distT="0" distB="0" distL="114300" distR="114300" simplePos="0" relativeHeight="251776000" behindDoc="0" locked="0" layoutInCell="1" allowOverlap="1" wp14:anchorId="06016039" wp14:editId="7DD51663">
                      <wp:simplePos x="0" y="0"/>
                      <wp:positionH relativeFrom="column">
                        <wp:posOffset>18415</wp:posOffset>
                      </wp:positionH>
                      <wp:positionV relativeFrom="paragraph">
                        <wp:posOffset>460375</wp:posOffset>
                      </wp:positionV>
                      <wp:extent cx="5248275" cy="457200"/>
                      <wp:effectExtent l="0" t="0" r="9525" b="0"/>
                      <wp:wrapSquare wrapText="bothSides"/>
                      <wp:docPr id="274" name="Text Box 274"/>
                      <wp:cNvGraphicFramePr/>
                      <a:graphic xmlns:a="http://schemas.openxmlformats.org/drawingml/2006/main">
                        <a:graphicData uri="http://schemas.microsoft.com/office/word/2010/wordprocessingShape">
                          <wps:wsp>
                            <wps:cNvSpPr txBox="1"/>
                            <wps:spPr>
                              <a:xfrm>
                                <a:off x="0" y="0"/>
                                <a:ext cx="5248275" cy="457200"/>
                              </a:xfrm>
                              <a:prstGeom prst="rect">
                                <a:avLst/>
                              </a:prstGeom>
                              <a:solidFill>
                                <a:prstClr val="white"/>
                              </a:solidFill>
                              <a:ln>
                                <a:noFill/>
                              </a:ln>
                              <a:effectLst/>
                            </wps:spPr>
                            <wps:txbx>
                              <w:txbxContent>
                                <w:p w:rsidR="003208E6" w:rsidRPr="008827C1" w:rsidRDefault="003208E6" w:rsidP="001D3F19">
                                  <w:pPr>
                                    <w:rPr>
                                      <w:rFonts w:cstheme="minorBidi"/>
                                      <w:b/>
                                      <w:bCs/>
                                      <w:sz w:val="20"/>
                                      <w:szCs w:val="20"/>
                                    </w:rPr>
                                  </w:pPr>
                                  <w:bookmarkStart w:id="318" w:name="_Ref360798572"/>
                                  <w:bookmarkStart w:id="319" w:name="_Toc361733598"/>
                                  <w:bookmarkStart w:id="320" w:name="_Toc361734241"/>
                                  <w:bookmarkStart w:id="321" w:name="_Toc370511637"/>
                                  <w:r w:rsidRPr="008827C1">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proofErr w:type="gramStart"/>
                                  <w:r>
                                    <w:rPr>
                                      <w:rFonts w:cstheme="minorBidi"/>
                                      <w:b/>
                                      <w:bCs/>
                                      <w:noProof/>
                                      <w:sz w:val="20"/>
                                      <w:szCs w:val="20"/>
                                    </w:rPr>
                                    <w:t>8</w:t>
                                  </w:r>
                                  <w:r>
                                    <w:rPr>
                                      <w:rFonts w:cstheme="minorBidi"/>
                                      <w:b/>
                                      <w:bCs/>
                                      <w:sz w:val="20"/>
                                      <w:szCs w:val="20"/>
                                    </w:rPr>
                                    <w:fldChar w:fldCharType="end"/>
                                  </w:r>
                                  <w:bookmarkEnd w:id="318"/>
                                  <w:r w:rsidRPr="008827C1">
                                    <w:rPr>
                                      <w:rFonts w:cstheme="minorBidi"/>
                                      <w:b/>
                                      <w:bCs/>
                                      <w:sz w:val="20"/>
                                      <w:szCs w:val="20"/>
                                    </w:rPr>
                                    <w:t xml:space="preserve"> Whisker box plot</w:t>
                                  </w:r>
                                  <w:r w:rsidRPr="008827C1" w:rsidDel="00136555">
                                    <w:rPr>
                                      <w:rFonts w:cstheme="minorBidi"/>
                                      <w:b/>
                                      <w:bCs/>
                                      <w:sz w:val="20"/>
                                      <w:szCs w:val="20"/>
                                    </w:rPr>
                                    <w:t xml:space="preserve"> </w:t>
                                  </w:r>
                                  <w:r w:rsidRPr="008827C1">
                                    <w:rPr>
                                      <w:rFonts w:cstheme="minorBidi"/>
                                      <w:b/>
                                      <w:bCs/>
                                      <w:sz w:val="20"/>
                                      <w:szCs w:val="20"/>
                                    </w:rPr>
                                    <w:t>showing that the data for hardness of dentine is not normally distributed</w:t>
                                  </w:r>
                                  <w:r>
                                    <w:rPr>
                                      <w:rFonts w:cstheme="minorBidi"/>
                                      <w:b/>
                                      <w:bCs/>
                                      <w:sz w:val="20"/>
                                      <w:szCs w:val="20"/>
                                    </w:rPr>
                                    <w:t>.</w:t>
                                  </w:r>
                                  <w:bookmarkEnd w:id="319"/>
                                  <w:bookmarkEnd w:id="320"/>
                                  <w:bookmarkEnd w:id="321"/>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4" o:spid="_x0000_s1039" type="#_x0000_t202" style="position:absolute;left:0;text-align:left;margin-left:1.45pt;margin-top:36.25pt;width:413.25pt;height:36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" stroked="f">
                      <v:textbox inset="0,0,0,0">
                        <w:txbxContent>
                          <w:p w:rsidR="003208E6" w:rsidRPr="008827C1" w:rsidRDefault="003208E6" w:rsidP="001D3F19">
                            <w:pPr>
                              <w:rPr>
                                <w:rFonts w:cstheme="minorBidi"/>
                                <w:b/>
                                <w:bCs/>
                                <w:sz w:val="20"/>
                                <w:szCs w:val="20"/>
                              </w:rPr>
                            </w:pPr>
                            <w:bookmarkStart w:id="349" w:name="_Ref360798572"/>
                            <w:bookmarkStart w:id="350" w:name="_Toc361733598"/>
                            <w:bookmarkStart w:id="351" w:name="_Toc361734241"/>
                            <w:bookmarkStart w:id="352" w:name="_Toc370511637"/>
                            <w:r w:rsidRPr="008827C1">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8</w:t>
                            </w:r>
                            <w:r>
                              <w:rPr>
                                <w:rFonts w:cstheme="minorBidi"/>
                                <w:b/>
                                <w:bCs/>
                                <w:sz w:val="20"/>
                                <w:szCs w:val="20"/>
                              </w:rPr>
                              <w:fldChar w:fldCharType="end"/>
                            </w:r>
                            <w:bookmarkEnd w:id="349"/>
                            <w:r w:rsidRPr="008827C1">
                              <w:rPr>
                                <w:rFonts w:cstheme="minorBidi"/>
                                <w:b/>
                                <w:bCs/>
                                <w:sz w:val="20"/>
                                <w:szCs w:val="20"/>
                              </w:rPr>
                              <w:t xml:space="preserve"> Whisker box plot</w:t>
                            </w:r>
                            <w:r w:rsidRPr="008827C1" w:rsidDel="00136555">
                              <w:rPr>
                                <w:rFonts w:cstheme="minorBidi"/>
                                <w:b/>
                                <w:bCs/>
                                <w:sz w:val="20"/>
                                <w:szCs w:val="20"/>
                              </w:rPr>
                              <w:t xml:space="preserve"> </w:t>
                            </w:r>
                            <w:r w:rsidRPr="008827C1">
                              <w:rPr>
                                <w:rFonts w:cstheme="minorBidi"/>
                                <w:b/>
                                <w:bCs/>
                                <w:sz w:val="20"/>
                                <w:szCs w:val="20"/>
                              </w:rPr>
                              <w:t>showing that the data for hardness of dentine is not normally distributed</w:t>
                            </w:r>
                            <w:r>
                              <w:rPr>
                                <w:rFonts w:cstheme="minorBidi"/>
                                <w:b/>
                                <w:bCs/>
                                <w:sz w:val="20"/>
                                <w:szCs w:val="20"/>
                              </w:rPr>
                              <w:t>.</w:t>
                            </w:r>
                            <w:bookmarkEnd w:id="350"/>
                            <w:bookmarkEnd w:id="351"/>
                            <w:bookmarkEnd w:id="352"/>
                          </w:p>
                        </w:txbxContent>
                      </v:textbox>
                      <w10:wrap type="square"/>
                    </v:shape>
                  </w:pict>
                </mc:Fallback>
              </mc:AlternateContent>
            </w:r>
            <w:r w:rsidR="00C05DB8" w:rsidRPr="006335B0">
              <w:rPr>
                <w:rFonts w:ascii="Arial" w:eastAsia="Calibri" w:hAnsi="Arial" w:cs="Arial"/>
                <w:b/>
                <w:bCs/>
                <w:color w:val="000000"/>
                <w:sz w:val="18"/>
                <w:szCs w:val="18"/>
              </w:rPr>
              <w:t>a</w:t>
            </w:r>
            <w:r w:rsidR="00C05DB8" w:rsidRPr="00B013ED">
              <w:rPr>
                <w:rFonts w:ascii="Arial" w:eastAsia="Calibri" w:hAnsi="Arial" w:cs="Arial"/>
                <w:color w:val="000000"/>
                <w:sz w:val="18"/>
                <w:szCs w:val="18"/>
              </w:rPr>
              <w:t>. Lilliefors Significance Correction</w:t>
            </w:r>
          </w:p>
        </w:tc>
      </w:tr>
    </w:tbl>
    <w:p w:rsidR="00B84A85" w:rsidRPr="00B84A85" w:rsidRDefault="00B84A85" w:rsidP="00B84A85">
      <w:r w:rsidRPr="00B013ED">
        <w:rPr>
          <w:rFonts w:ascii="Times New Roman" w:hAnsi="Times New Roman" w:cs="Times New Roman"/>
          <w:noProof/>
          <w:szCs w:val="24"/>
          <w:lang w:eastAsia="en-GB"/>
        </w:rPr>
        <w:drawing>
          <wp:anchor distT="0" distB="0" distL="114300" distR="114300" simplePos="0" relativeHeight="251853824" behindDoc="0" locked="0" layoutInCell="1" allowOverlap="1" wp14:anchorId="72C8D031" wp14:editId="1CE7EE26">
            <wp:simplePos x="0" y="0"/>
            <wp:positionH relativeFrom="column">
              <wp:posOffset>321945</wp:posOffset>
            </wp:positionH>
            <wp:positionV relativeFrom="paragraph">
              <wp:posOffset>23495</wp:posOffset>
            </wp:positionV>
            <wp:extent cx="4743450" cy="3105150"/>
            <wp:effectExtent l="0" t="0" r="0" b="0"/>
            <wp:wrapSquare wrapText="bothSides"/>
            <wp:docPr id="259" name="Picture 25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r="11628"/>
                    <a:stretch/>
                  </pic:blipFill>
                  <pic:spPr bwMode="auto">
                    <a:xfrm>
                      <a:off x="0" y="0"/>
                      <a:ext cx="4743450" cy="310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35B0" w:rsidRPr="00F37B35" w:rsidRDefault="00F37B35" w:rsidP="006335B0">
      <w:pPr>
        <w:suppressAutoHyphens/>
        <w:autoSpaceDE w:val="0"/>
        <w:autoSpaceDN w:val="0"/>
        <w:spacing w:after="0" w:line="320" w:lineRule="atLeast"/>
        <w:ind w:right="60"/>
        <w:textAlignment w:val="baseline"/>
        <w:rPr>
          <w:rFonts w:ascii="Arial" w:eastAsia="Calibri" w:hAnsi="Arial" w:cs="Arial"/>
          <w:color w:val="000000"/>
          <w:sz w:val="22"/>
          <w:szCs w:val="22"/>
        </w:rPr>
      </w:pPr>
      <w:r>
        <w:rPr>
          <w:rFonts w:ascii="Arial" w:eastAsia="Calibri" w:hAnsi="Arial" w:cs="Arial"/>
          <w:b/>
          <w:bCs/>
          <w:color w:val="000000"/>
          <w:sz w:val="22"/>
          <w:szCs w:val="22"/>
        </w:rPr>
        <w:t>(</w:t>
      </w:r>
      <w:r w:rsidR="006335B0" w:rsidRPr="00F37B35">
        <w:rPr>
          <w:rFonts w:ascii="Arial" w:eastAsia="Calibri" w:hAnsi="Arial" w:cs="Arial"/>
          <w:b/>
          <w:bCs/>
          <w:color w:val="000000"/>
          <w:sz w:val="22"/>
          <w:szCs w:val="22"/>
        </w:rPr>
        <w:t>MOD</w:t>
      </w:r>
      <w:r>
        <w:rPr>
          <w:rFonts w:ascii="Arial" w:eastAsia="Calibri" w:hAnsi="Arial" w:cs="Arial"/>
          <w:b/>
          <w:bCs/>
          <w:color w:val="000000"/>
          <w:sz w:val="22"/>
          <w:szCs w:val="22"/>
        </w:rPr>
        <w:t>)</w:t>
      </w:r>
      <w:r w:rsidR="00AA344E">
        <w:rPr>
          <w:rFonts w:ascii="Arial" w:eastAsia="Calibri" w:hAnsi="Arial" w:cs="Arial"/>
          <w:b/>
          <w:bCs/>
          <w:color w:val="000000"/>
          <w:sz w:val="22"/>
          <w:szCs w:val="22"/>
        </w:rPr>
        <w:t>=</w:t>
      </w:r>
      <w:r w:rsidR="006335B0" w:rsidRPr="00F37B35">
        <w:rPr>
          <w:rFonts w:ascii="Arial" w:eastAsia="Calibri" w:hAnsi="Arial" w:cs="Arial"/>
          <w:color w:val="000000"/>
          <w:sz w:val="22"/>
          <w:szCs w:val="22"/>
        </w:rPr>
        <w:t xml:space="preserve"> Modulus of elasticity</w:t>
      </w:r>
    </w:p>
    <w:p w:rsidR="00D46B38" w:rsidRDefault="00D46B38">
      <w:pPr>
        <w:rPr>
          <w:lang w:val="en-US"/>
        </w:rPr>
      </w:pPr>
    </w:p>
    <w:p w:rsidR="006335B0" w:rsidRPr="00453A5B" w:rsidRDefault="006335B0" w:rsidP="00453A5B">
      <w:pPr>
        <w:rPr>
          <w:lang w:val="en-US"/>
        </w:rPr>
      </w:pPr>
    </w:p>
    <w:p w:rsidR="002F3F06" w:rsidRPr="00B013ED" w:rsidRDefault="002F3F06" w:rsidP="008827C1">
      <w:pPr>
        <w:pStyle w:val="Heading3"/>
        <w:spacing w:line="480" w:lineRule="auto"/>
      </w:pPr>
      <w:bookmarkStart w:id="322" w:name="_Toc180862568"/>
      <w:bookmarkStart w:id="323" w:name="_Toc180862637"/>
      <w:bookmarkStart w:id="324" w:name="_Toc182295503"/>
      <w:bookmarkStart w:id="325" w:name="_Toc226789715"/>
      <w:bookmarkStart w:id="326" w:name="_Toc359995943"/>
      <w:bookmarkStart w:id="327" w:name="_Toc370819242"/>
      <w:r w:rsidRPr="00B013ED">
        <w:lastRenderedPageBreak/>
        <w:t xml:space="preserve">Hardness </w:t>
      </w:r>
      <w:bookmarkEnd w:id="322"/>
      <w:bookmarkEnd w:id="323"/>
      <w:bookmarkEnd w:id="324"/>
      <w:bookmarkEnd w:id="325"/>
      <w:bookmarkEnd w:id="326"/>
      <w:r w:rsidR="008827C1" w:rsidRPr="00B013ED">
        <w:t>of dentine and Young’s Modulus of Elasticity after three months of application of NSCH and MTA</w:t>
      </w:r>
      <w:bookmarkEnd w:id="327"/>
    </w:p>
    <w:p w:rsidR="00B354AA" w:rsidRPr="00B013ED" w:rsidRDefault="00B354AA" w:rsidP="00453A5B">
      <w:pPr>
        <w:pStyle w:val="Heading4"/>
        <w:spacing w:line="480" w:lineRule="auto"/>
      </w:pPr>
      <w:r w:rsidRPr="00B013ED">
        <w:t>Hardness</w:t>
      </w:r>
    </w:p>
    <w:p w:rsidR="008827C1" w:rsidRPr="00F60391" w:rsidRDefault="00742A10" w:rsidP="00533E59">
      <w:pPr>
        <w:pStyle w:val="table"/>
        <w:jc w:val="both"/>
        <w:rPr>
          <w:noProof/>
          <w:szCs w:val="24"/>
        </w:rPr>
      </w:pPr>
      <w:r w:rsidRPr="00F60391">
        <w:rPr>
          <w:szCs w:val="24"/>
          <w:lang w:val="en-US"/>
        </w:rPr>
        <w:t>The results are presented in</w:t>
      </w:r>
      <w:r w:rsidR="00F34154" w:rsidRPr="00F60391">
        <w:rPr>
          <w:szCs w:val="24"/>
          <w:lang w:val="en-US"/>
        </w:rPr>
        <w:fldChar w:fldCharType="begin"/>
      </w:r>
      <w:r w:rsidR="00F34154" w:rsidRPr="00F60391">
        <w:rPr>
          <w:szCs w:val="24"/>
          <w:lang w:val="en-US"/>
        </w:rPr>
        <w:instrText xml:space="preserve"> REF _Ref360798238 \h </w:instrText>
      </w:r>
      <w:r w:rsidR="008827C1" w:rsidRPr="00F60391">
        <w:rPr>
          <w:szCs w:val="24"/>
          <w:lang w:val="en-US"/>
        </w:rPr>
        <w:instrText xml:space="preserve"> \* MERGEFORMAT </w:instrText>
      </w:r>
      <w:r w:rsidR="00F34154" w:rsidRPr="00F60391">
        <w:rPr>
          <w:szCs w:val="24"/>
          <w:lang w:val="en-US"/>
        </w:rPr>
      </w:r>
      <w:r w:rsidR="00F34154" w:rsidRPr="00F60391">
        <w:rPr>
          <w:szCs w:val="24"/>
          <w:lang w:val="en-US"/>
        </w:rPr>
        <w:fldChar w:fldCharType="separate"/>
      </w:r>
      <w:r w:rsidR="00374B77" w:rsidRPr="00374B77">
        <w:rPr>
          <w:szCs w:val="24"/>
        </w:rPr>
        <w:t xml:space="preserve">Table </w:t>
      </w:r>
      <w:r w:rsidR="00374B77" w:rsidRPr="00374B77">
        <w:rPr>
          <w:noProof/>
          <w:szCs w:val="24"/>
          <w:cs/>
        </w:rPr>
        <w:t>‎</w:t>
      </w:r>
      <w:r w:rsidR="00374B77">
        <w:rPr>
          <w:rFonts w:cstheme="minorBidi"/>
          <w:b/>
          <w:bCs w:val="0"/>
          <w:noProof/>
          <w:sz w:val="20"/>
          <w:szCs w:val="20"/>
        </w:rPr>
        <w:t>0.3</w:t>
      </w:r>
      <w:r w:rsidR="00F34154" w:rsidRPr="00F60391">
        <w:rPr>
          <w:szCs w:val="24"/>
          <w:lang w:val="en-US"/>
        </w:rPr>
        <w:fldChar w:fldCharType="end"/>
      </w:r>
      <w:r w:rsidR="006814C0" w:rsidRPr="00F60391">
        <w:rPr>
          <w:szCs w:val="24"/>
          <w:lang w:val="en-US"/>
        </w:rPr>
        <w:t xml:space="preserve"> </w:t>
      </w:r>
      <w:r w:rsidRPr="00F60391">
        <w:rPr>
          <w:szCs w:val="24"/>
          <w:lang w:val="en-US"/>
        </w:rPr>
        <w:t>and</w:t>
      </w:r>
      <w:r w:rsidR="00F34154" w:rsidRPr="00F60391">
        <w:rPr>
          <w:szCs w:val="24"/>
          <w:lang w:val="en-US"/>
        </w:rPr>
        <w:t xml:space="preserve"> </w:t>
      </w:r>
      <w:r w:rsidR="00F34154" w:rsidRPr="00F60391">
        <w:rPr>
          <w:rFonts w:cstheme="minorBidi"/>
          <w:szCs w:val="24"/>
          <w:lang w:val="en-US"/>
        </w:rPr>
        <w:fldChar w:fldCharType="begin"/>
      </w:r>
      <w:r w:rsidR="00F34154" w:rsidRPr="00F60391">
        <w:rPr>
          <w:szCs w:val="24"/>
          <w:lang w:val="en-US"/>
        </w:rPr>
        <w:instrText xml:space="preserve"> REF _Ref360798401 \h </w:instrText>
      </w:r>
      <w:r w:rsidR="00F34154" w:rsidRPr="00F60391">
        <w:rPr>
          <w:rFonts w:cstheme="minorBidi"/>
          <w:szCs w:val="24"/>
          <w:lang w:val="en-US"/>
        </w:rPr>
        <w:instrText xml:space="preserve"> \* MERGEFORMAT </w:instrText>
      </w:r>
      <w:r w:rsidR="00F34154" w:rsidRPr="00F60391">
        <w:rPr>
          <w:rFonts w:cstheme="minorBidi"/>
          <w:szCs w:val="24"/>
          <w:lang w:val="en-US"/>
        </w:rPr>
      </w:r>
      <w:r w:rsidR="00F34154" w:rsidRPr="00F60391">
        <w:rPr>
          <w:rFonts w:cstheme="minorBidi"/>
          <w:szCs w:val="24"/>
          <w:lang w:val="en-US"/>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sidRPr="00374B77">
        <w:rPr>
          <w:rFonts w:cstheme="minorBidi"/>
          <w:b/>
          <w:noProof/>
          <w:sz w:val="20"/>
          <w:szCs w:val="20"/>
        </w:rPr>
        <w:t>0.9</w:t>
      </w:r>
      <w:r w:rsidR="00F34154" w:rsidRPr="00F60391">
        <w:rPr>
          <w:rFonts w:cstheme="minorBidi"/>
          <w:szCs w:val="24"/>
          <w:lang w:val="en-US"/>
        </w:rPr>
        <w:fldChar w:fldCharType="end"/>
      </w:r>
      <w:r w:rsidRPr="00F60391">
        <w:rPr>
          <w:rFonts w:cstheme="minorBidi"/>
          <w:szCs w:val="24"/>
          <w:lang w:val="en-US"/>
        </w:rPr>
        <w:t>.</w:t>
      </w:r>
      <w:r w:rsidRPr="00F60391">
        <w:rPr>
          <w:szCs w:val="24"/>
          <w:lang w:val="en-US"/>
        </w:rPr>
        <w:t xml:space="preserve"> </w:t>
      </w:r>
      <w:r w:rsidR="008827C1" w:rsidRPr="00F60391">
        <w:rPr>
          <w:szCs w:val="24"/>
          <w:lang w:val="en-US"/>
        </w:rPr>
        <w:t>The highest mean hardness was 0.61 Giga Pascal (</w:t>
      </w:r>
      <w:proofErr w:type="gramStart"/>
      <w:r w:rsidR="008827C1" w:rsidRPr="00F60391">
        <w:rPr>
          <w:szCs w:val="24"/>
          <w:lang w:val="en-US"/>
        </w:rPr>
        <w:t>GPa</w:t>
      </w:r>
      <w:proofErr w:type="gramEnd"/>
      <w:r w:rsidR="008827C1" w:rsidRPr="00F60391">
        <w:rPr>
          <w:szCs w:val="24"/>
          <w:lang w:val="en-US"/>
        </w:rPr>
        <w:t xml:space="preserve">), for control slabs followed by NSCH (0.34 GPa) with the lowest value for MTA group (0.31 GPa). There was a significant difference in the hardness of dentine of both the experimental groups compared with the control group after three months of calcium hydroxide and mineral trioxide aggregate application (p&lt;0.01). </w:t>
      </w:r>
    </w:p>
    <w:p w:rsidR="008827C1" w:rsidRPr="00F60391" w:rsidRDefault="008827C1" w:rsidP="00533E59">
      <w:pPr>
        <w:pStyle w:val="table"/>
        <w:jc w:val="both"/>
        <w:rPr>
          <w:szCs w:val="24"/>
          <w:lang w:val="en-US"/>
        </w:rPr>
      </w:pPr>
      <w:r w:rsidRPr="00F60391">
        <w:rPr>
          <w:szCs w:val="24"/>
          <w:lang w:val="en-US"/>
        </w:rPr>
        <w:t xml:space="preserve">It can also been seen that although the mean hardness values for the MTA group were lower than that of NSCH, the results did not reach statistical significance. </w:t>
      </w:r>
    </w:p>
    <w:p w:rsidR="00A74835" w:rsidRDefault="00742A10" w:rsidP="008827C1">
      <w:pPr>
        <w:spacing w:line="480" w:lineRule="auto"/>
      </w:pPr>
      <w:r>
        <w:br w:type="page"/>
      </w:r>
      <w:bookmarkStart w:id="328" w:name="_Ref360437656"/>
      <w:bookmarkStart w:id="329" w:name="_Toc360367430"/>
      <w:bookmarkStart w:id="330" w:name="_Toc360367340"/>
    </w:p>
    <w:p w:rsidR="00F34154" w:rsidRPr="008827C1" w:rsidRDefault="00F34154" w:rsidP="001D3F19">
      <w:pPr>
        <w:rPr>
          <w:rFonts w:cstheme="minorBidi"/>
          <w:b/>
          <w:bCs/>
          <w:sz w:val="20"/>
          <w:szCs w:val="20"/>
        </w:rPr>
      </w:pPr>
      <w:bookmarkStart w:id="331" w:name="_Ref360798238"/>
      <w:bookmarkStart w:id="332" w:name="_Toc370511729"/>
      <w:bookmarkEnd w:id="328"/>
      <w:bookmarkEnd w:id="329"/>
      <w:bookmarkEnd w:id="330"/>
      <w:proofErr w:type="gramStart"/>
      <w:r w:rsidRPr="008827C1">
        <w:rPr>
          <w:rFonts w:cstheme="minorBidi"/>
          <w:b/>
          <w:bCs/>
          <w:sz w:val="20"/>
          <w:szCs w:val="20"/>
        </w:rPr>
        <w:lastRenderedPageBreak/>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0</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3</w:t>
      </w:r>
      <w:r w:rsidR="00E7089D">
        <w:rPr>
          <w:rFonts w:cstheme="minorBidi"/>
          <w:b/>
          <w:bCs/>
          <w:sz w:val="20"/>
          <w:szCs w:val="20"/>
        </w:rPr>
        <w:fldChar w:fldCharType="end"/>
      </w:r>
      <w:bookmarkEnd w:id="331"/>
      <w:r w:rsidRPr="008827C1">
        <w:rPr>
          <w:rFonts w:cstheme="minorBidi"/>
          <w:b/>
          <w:bCs/>
          <w:sz w:val="20"/>
          <w:szCs w:val="20"/>
        </w:rPr>
        <w:t xml:space="preserve"> Hardness of dentine slabs as evaluated with nanoindentation after three months of application of NSCH and MTA compared with control slabs.</w:t>
      </w:r>
      <w:bookmarkEnd w:id="332"/>
    </w:p>
    <w:tbl>
      <w:tblPr>
        <w:tblStyle w:val="TableGrid"/>
        <w:tblW w:w="0" w:type="auto"/>
        <w:jc w:val="center"/>
        <w:tblLook w:val="04A0" w:firstRow="1" w:lastRow="0" w:firstColumn="1" w:lastColumn="0" w:noHBand="0" w:noVBand="1"/>
      </w:tblPr>
      <w:tblGrid>
        <w:gridCol w:w="2139"/>
        <w:gridCol w:w="2141"/>
        <w:gridCol w:w="2138"/>
        <w:gridCol w:w="2138"/>
      </w:tblGrid>
      <w:tr w:rsidR="00A74835" w:rsidRPr="00ED5EDA" w:rsidTr="00345F61">
        <w:trPr>
          <w:trHeight w:val="478"/>
          <w:jc w:val="center"/>
        </w:trPr>
        <w:tc>
          <w:tcPr>
            <w:tcW w:w="2181" w:type="dxa"/>
            <w:shd w:val="clear" w:color="auto" w:fill="17365D" w:themeFill="text2" w:themeFillShade="BF"/>
            <w:vAlign w:val="center"/>
          </w:tcPr>
          <w:p w:rsidR="00A74835" w:rsidRPr="00ED5EDA" w:rsidRDefault="00A74835" w:rsidP="00D95E32">
            <w:pPr>
              <w:jc w:val="center"/>
              <w:rPr>
                <w:rFonts w:cstheme="minorBidi"/>
                <w:b/>
                <w:bCs/>
                <w:sz w:val="20"/>
              </w:rPr>
            </w:pPr>
            <w:bookmarkStart w:id="333" w:name="_Toc360367431"/>
            <w:r w:rsidRPr="00ED5EDA">
              <w:rPr>
                <w:rFonts w:cstheme="minorBidi"/>
                <w:b/>
                <w:bCs/>
                <w:sz w:val="20"/>
              </w:rPr>
              <w:t>SLAB</w:t>
            </w:r>
          </w:p>
        </w:tc>
        <w:tc>
          <w:tcPr>
            <w:tcW w:w="2181" w:type="dxa"/>
            <w:shd w:val="clear" w:color="auto" w:fill="17365D" w:themeFill="text2" w:themeFillShade="BF"/>
            <w:vAlign w:val="center"/>
          </w:tcPr>
          <w:p w:rsidR="00A74835" w:rsidRPr="00ED5EDA" w:rsidRDefault="00A74835" w:rsidP="00D95E32">
            <w:pPr>
              <w:jc w:val="center"/>
              <w:rPr>
                <w:rFonts w:cstheme="minorBidi"/>
                <w:b/>
                <w:bCs/>
                <w:sz w:val="20"/>
              </w:rPr>
            </w:pPr>
            <w:r w:rsidRPr="00ED5EDA">
              <w:rPr>
                <w:rFonts w:cstheme="minorBidi"/>
                <w:b/>
                <w:bCs/>
                <w:sz w:val="20"/>
              </w:rPr>
              <w:t>Control (Gpa)</w:t>
            </w:r>
          </w:p>
        </w:tc>
        <w:tc>
          <w:tcPr>
            <w:tcW w:w="2181" w:type="dxa"/>
            <w:shd w:val="clear" w:color="auto" w:fill="17365D" w:themeFill="text2" w:themeFillShade="BF"/>
            <w:vAlign w:val="center"/>
          </w:tcPr>
          <w:p w:rsidR="00A74835" w:rsidRPr="00ED5EDA" w:rsidRDefault="00A74835" w:rsidP="00D95E32">
            <w:pPr>
              <w:jc w:val="center"/>
              <w:rPr>
                <w:rFonts w:cstheme="minorBidi"/>
                <w:b/>
                <w:bCs/>
                <w:sz w:val="20"/>
              </w:rPr>
            </w:pPr>
            <w:r w:rsidRPr="00ED5EDA">
              <w:rPr>
                <w:rFonts w:cstheme="minorBidi"/>
                <w:b/>
                <w:bCs/>
                <w:sz w:val="20"/>
              </w:rPr>
              <w:t>NSCH (Gpa)</w:t>
            </w:r>
          </w:p>
        </w:tc>
        <w:tc>
          <w:tcPr>
            <w:tcW w:w="2181" w:type="dxa"/>
            <w:shd w:val="clear" w:color="auto" w:fill="17365D" w:themeFill="text2" w:themeFillShade="BF"/>
            <w:vAlign w:val="center"/>
          </w:tcPr>
          <w:p w:rsidR="00A74835" w:rsidRPr="00ED5EDA" w:rsidRDefault="00A74835" w:rsidP="00D95E32">
            <w:pPr>
              <w:jc w:val="center"/>
              <w:rPr>
                <w:rFonts w:cstheme="minorBidi"/>
                <w:b/>
                <w:bCs/>
                <w:sz w:val="20"/>
              </w:rPr>
            </w:pPr>
            <w:r w:rsidRPr="00ED5EDA">
              <w:rPr>
                <w:rFonts w:cstheme="minorBidi"/>
                <w:b/>
                <w:bCs/>
                <w:sz w:val="20"/>
              </w:rPr>
              <w:t>MTA (Gpa)</w:t>
            </w:r>
          </w:p>
        </w:tc>
      </w:tr>
      <w:tr w:rsidR="00A74835" w:rsidRPr="00ED5EDA" w:rsidTr="004A2211">
        <w:trPr>
          <w:trHeight w:val="445"/>
          <w:jc w:val="center"/>
        </w:trPr>
        <w:tc>
          <w:tcPr>
            <w:tcW w:w="2181" w:type="dxa"/>
            <w:shd w:val="clear" w:color="auto" w:fill="F2F2F2" w:themeFill="background1" w:themeFillShade="F2"/>
            <w:vAlign w:val="center"/>
          </w:tcPr>
          <w:p w:rsidR="00A74835" w:rsidRPr="00ED5EDA" w:rsidRDefault="00A74835" w:rsidP="00D95E32">
            <w:pPr>
              <w:jc w:val="center"/>
              <w:rPr>
                <w:rFonts w:cstheme="minorBidi"/>
                <w:b/>
                <w:bCs/>
                <w:sz w:val="20"/>
              </w:rPr>
            </w:pPr>
            <w:r w:rsidRPr="00ED5EDA">
              <w:rPr>
                <w:rFonts w:cstheme="minorBidi"/>
                <w:b/>
                <w:bCs/>
                <w:sz w:val="20"/>
              </w:rPr>
              <w:t>1</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0.65</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0.38</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0.18</w:t>
            </w:r>
          </w:p>
        </w:tc>
      </w:tr>
      <w:tr w:rsidR="00A74835" w:rsidRPr="00ED5EDA" w:rsidTr="004A2211">
        <w:trPr>
          <w:trHeight w:val="445"/>
          <w:jc w:val="center"/>
        </w:trPr>
        <w:tc>
          <w:tcPr>
            <w:tcW w:w="2181" w:type="dxa"/>
            <w:shd w:val="clear" w:color="auto" w:fill="F2F2F2" w:themeFill="background1" w:themeFillShade="F2"/>
            <w:vAlign w:val="center"/>
          </w:tcPr>
          <w:p w:rsidR="00A74835" w:rsidRPr="00ED5EDA" w:rsidRDefault="00A74835" w:rsidP="00D95E32">
            <w:pPr>
              <w:jc w:val="center"/>
              <w:rPr>
                <w:rFonts w:cstheme="minorBidi"/>
                <w:b/>
                <w:bCs/>
                <w:sz w:val="20"/>
              </w:rPr>
            </w:pPr>
            <w:r w:rsidRPr="00ED5EDA">
              <w:rPr>
                <w:rFonts w:cstheme="minorBidi"/>
                <w:b/>
                <w:bCs/>
                <w:sz w:val="20"/>
              </w:rPr>
              <w:t>2</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0.59</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0.2</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0.46</w:t>
            </w:r>
          </w:p>
        </w:tc>
      </w:tr>
      <w:tr w:rsidR="00A74835" w:rsidRPr="00ED5EDA" w:rsidTr="004A2211">
        <w:trPr>
          <w:trHeight w:val="457"/>
          <w:jc w:val="center"/>
        </w:trPr>
        <w:tc>
          <w:tcPr>
            <w:tcW w:w="2181" w:type="dxa"/>
            <w:shd w:val="clear" w:color="auto" w:fill="F2F2F2" w:themeFill="background1" w:themeFillShade="F2"/>
            <w:vAlign w:val="center"/>
          </w:tcPr>
          <w:p w:rsidR="00A74835" w:rsidRPr="00ED5EDA" w:rsidRDefault="00A74835" w:rsidP="00D95E32">
            <w:pPr>
              <w:jc w:val="center"/>
              <w:rPr>
                <w:rFonts w:cstheme="minorBidi"/>
                <w:b/>
                <w:bCs/>
                <w:sz w:val="20"/>
              </w:rPr>
            </w:pPr>
            <w:r w:rsidRPr="00ED5EDA">
              <w:rPr>
                <w:rFonts w:cstheme="minorBidi"/>
                <w:b/>
                <w:bCs/>
                <w:sz w:val="20"/>
              </w:rPr>
              <w:t>3</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0.7</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0.42</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0.24</w:t>
            </w:r>
          </w:p>
        </w:tc>
      </w:tr>
      <w:tr w:rsidR="00A74835" w:rsidRPr="00ED5EDA" w:rsidTr="004A2211">
        <w:trPr>
          <w:trHeight w:val="445"/>
          <w:jc w:val="center"/>
        </w:trPr>
        <w:tc>
          <w:tcPr>
            <w:tcW w:w="2181" w:type="dxa"/>
            <w:shd w:val="clear" w:color="auto" w:fill="F2F2F2" w:themeFill="background1" w:themeFillShade="F2"/>
            <w:vAlign w:val="center"/>
          </w:tcPr>
          <w:p w:rsidR="00A74835" w:rsidRPr="00ED5EDA" w:rsidRDefault="00A74835" w:rsidP="00D95E32">
            <w:pPr>
              <w:jc w:val="center"/>
              <w:rPr>
                <w:rFonts w:cstheme="minorBidi"/>
                <w:b/>
                <w:bCs/>
                <w:sz w:val="20"/>
              </w:rPr>
            </w:pPr>
            <w:r w:rsidRPr="00ED5EDA">
              <w:rPr>
                <w:rFonts w:cstheme="minorBidi"/>
                <w:b/>
                <w:bCs/>
                <w:sz w:val="20"/>
              </w:rPr>
              <w:t>4</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0.68</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0.31</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0.57</w:t>
            </w:r>
          </w:p>
        </w:tc>
      </w:tr>
      <w:tr w:rsidR="00A74835" w:rsidRPr="00ED5EDA" w:rsidTr="004A2211">
        <w:trPr>
          <w:trHeight w:val="445"/>
          <w:jc w:val="center"/>
        </w:trPr>
        <w:tc>
          <w:tcPr>
            <w:tcW w:w="2181" w:type="dxa"/>
            <w:shd w:val="clear" w:color="auto" w:fill="F2F2F2" w:themeFill="background1" w:themeFillShade="F2"/>
            <w:vAlign w:val="center"/>
          </w:tcPr>
          <w:p w:rsidR="00A74835" w:rsidRPr="00ED5EDA" w:rsidRDefault="00A74835" w:rsidP="00D95E32">
            <w:pPr>
              <w:jc w:val="center"/>
              <w:rPr>
                <w:rFonts w:cstheme="minorBidi"/>
                <w:b/>
                <w:bCs/>
                <w:sz w:val="20"/>
              </w:rPr>
            </w:pPr>
            <w:r w:rsidRPr="00ED5EDA">
              <w:rPr>
                <w:rFonts w:cstheme="minorBidi"/>
                <w:b/>
                <w:bCs/>
                <w:sz w:val="20"/>
              </w:rPr>
              <w:t>5</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0.71</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0.28</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0.3</w:t>
            </w:r>
          </w:p>
        </w:tc>
      </w:tr>
      <w:tr w:rsidR="00A74835" w:rsidRPr="00ED5EDA" w:rsidTr="004A2211">
        <w:trPr>
          <w:trHeight w:val="445"/>
          <w:jc w:val="center"/>
        </w:trPr>
        <w:tc>
          <w:tcPr>
            <w:tcW w:w="2181" w:type="dxa"/>
            <w:shd w:val="clear" w:color="auto" w:fill="F2F2F2" w:themeFill="background1" w:themeFillShade="F2"/>
            <w:vAlign w:val="center"/>
          </w:tcPr>
          <w:p w:rsidR="00A74835" w:rsidRPr="00ED5EDA" w:rsidRDefault="00A74835" w:rsidP="00D95E32">
            <w:pPr>
              <w:jc w:val="center"/>
              <w:rPr>
                <w:rFonts w:cstheme="minorBidi"/>
                <w:b/>
                <w:bCs/>
                <w:sz w:val="20"/>
              </w:rPr>
            </w:pPr>
            <w:r w:rsidRPr="00ED5EDA">
              <w:rPr>
                <w:rFonts w:cstheme="minorBidi"/>
                <w:b/>
                <w:bCs/>
                <w:sz w:val="20"/>
              </w:rPr>
              <w:t>6</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0.55</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0.37</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0.29</w:t>
            </w:r>
          </w:p>
        </w:tc>
      </w:tr>
      <w:tr w:rsidR="00A74835" w:rsidRPr="00ED5EDA" w:rsidTr="004A2211">
        <w:trPr>
          <w:trHeight w:val="457"/>
          <w:jc w:val="center"/>
        </w:trPr>
        <w:tc>
          <w:tcPr>
            <w:tcW w:w="2181" w:type="dxa"/>
            <w:shd w:val="clear" w:color="auto" w:fill="F2F2F2" w:themeFill="background1" w:themeFillShade="F2"/>
            <w:vAlign w:val="center"/>
          </w:tcPr>
          <w:p w:rsidR="00A74835" w:rsidRPr="00ED5EDA" w:rsidRDefault="00A74835" w:rsidP="00D95E32">
            <w:pPr>
              <w:jc w:val="center"/>
              <w:rPr>
                <w:rFonts w:cstheme="minorBidi"/>
                <w:b/>
                <w:bCs/>
                <w:sz w:val="20"/>
              </w:rPr>
            </w:pPr>
            <w:r w:rsidRPr="00ED5EDA">
              <w:rPr>
                <w:rFonts w:cstheme="minorBidi"/>
                <w:b/>
                <w:bCs/>
                <w:sz w:val="20"/>
              </w:rPr>
              <w:t>7</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0.72</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0.38</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0.32</w:t>
            </w:r>
          </w:p>
        </w:tc>
      </w:tr>
      <w:tr w:rsidR="00A74835" w:rsidRPr="00ED5EDA" w:rsidTr="004A2211">
        <w:trPr>
          <w:trHeight w:val="445"/>
          <w:jc w:val="center"/>
        </w:trPr>
        <w:tc>
          <w:tcPr>
            <w:tcW w:w="2181" w:type="dxa"/>
            <w:shd w:val="clear" w:color="auto" w:fill="F2F2F2" w:themeFill="background1" w:themeFillShade="F2"/>
            <w:vAlign w:val="center"/>
          </w:tcPr>
          <w:p w:rsidR="00A74835" w:rsidRPr="00ED5EDA" w:rsidRDefault="00A74835" w:rsidP="00D95E32">
            <w:pPr>
              <w:jc w:val="center"/>
              <w:rPr>
                <w:rFonts w:cstheme="minorBidi"/>
                <w:b/>
                <w:bCs/>
                <w:sz w:val="20"/>
              </w:rPr>
            </w:pPr>
            <w:r w:rsidRPr="00ED5EDA">
              <w:rPr>
                <w:rFonts w:cstheme="minorBidi"/>
                <w:b/>
                <w:bCs/>
                <w:sz w:val="20"/>
              </w:rPr>
              <w:t>8</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0.43</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0.3</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0.21</w:t>
            </w:r>
          </w:p>
        </w:tc>
      </w:tr>
      <w:tr w:rsidR="00A74835" w:rsidRPr="00ED5EDA" w:rsidTr="004A2211">
        <w:trPr>
          <w:trHeight w:val="445"/>
          <w:jc w:val="center"/>
        </w:trPr>
        <w:tc>
          <w:tcPr>
            <w:tcW w:w="2181" w:type="dxa"/>
            <w:shd w:val="clear" w:color="auto" w:fill="F2F2F2" w:themeFill="background1" w:themeFillShade="F2"/>
            <w:vAlign w:val="center"/>
          </w:tcPr>
          <w:p w:rsidR="00A74835" w:rsidRPr="00ED5EDA" w:rsidRDefault="00A74835" w:rsidP="00D95E32">
            <w:pPr>
              <w:jc w:val="center"/>
              <w:rPr>
                <w:rFonts w:cstheme="minorBidi"/>
                <w:b/>
                <w:bCs/>
                <w:sz w:val="20"/>
              </w:rPr>
            </w:pPr>
            <w:r w:rsidRPr="00ED5EDA">
              <w:rPr>
                <w:rFonts w:cstheme="minorBidi"/>
                <w:b/>
                <w:bCs/>
                <w:sz w:val="20"/>
              </w:rPr>
              <w:t>9</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0.5</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0.39</w:t>
            </w:r>
          </w:p>
        </w:tc>
        <w:tc>
          <w:tcPr>
            <w:tcW w:w="2181"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0.23</w:t>
            </w:r>
          </w:p>
        </w:tc>
      </w:tr>
      <w:tr w:rsidR="00A74835" w:rsidRPr="00ED5EDA" w:rsidTr="00345F61">
        <w:trPr>
          <w:trHeight w:val="457"/>
          <w:jc w:val="center"/>
        </w:trPr>
        <w:tc>
          <w:tcPr>
            <w:tcW w:w="2181" w:type="dxa"/>
            <w:shd w:val="clear" w:color="auto" w:fill="FDE9D9" w:themeFill="accent6" w:themeFillTint="33"/>
            <w:vAlign w:val="center"/>
          </w:tcPr>
          <w:p w:rsidR="00A74835" w:rsidRPr="00ED5EDA" w:rsidRDefault="00A74835" w:rsidP="00D95E32">
            <w:pPr>
              <w:jc w:val="center"/>
              <w:rPr>
                <w:rFonts w:cstheme="minorBidi"/>
                <w:b/>
                <w:bCs/>
                <w:sz w:val="20"/>
              </w:rPr>
            </w:pPr>
            <w:r w:rsidRPr="00ED5EDA">
              <w:rPr>
                <w:rFonts w:cstheme="minorBidi"/>
                <w:b/>
                <w:bCs/>
                <w:sz w:val="20"/>
              </w:rPr>
              <w:t>Mean</w:t>
            </w:r>
          </w:p>
        </w:tc>
        <w:tc>
          <w:tcPr>
            <w:tcW w:w="2181" w:type="dxa"/>
            <w:shd w:val="clear" w:color="auto" w:fill="FDE9D9" w:themeFill="accent6" w:themeFillTint="33"/>
            <w:vAlign w:val="center"/>
          </w:tcPr>
          <w:p w:rsidR="00A74835" w:rsidRPr="00ED5EDA" w:rsidRDefault="00A74835" w:rsidP="00D95E32">
            <w:pPr>
              <w:jc w:val="center"/>
              <w:rPr>
                <w:rFonts w:cstheme="minorBidi"/>
                <w:b/>
                <w:bCs/>
                <w:sz w:val="20"/>
              </w:rPr>
            </w:pPr>
            <w:r w:rsidRPr="00ED5EDA">
              <w:rPr>
                <w:rFonts w:cstheme="minorBidi"/>
                <w:b/>
                <w:bCs/>
                <w:sz w:val="20"/>
              </w:rPr>
              <w:t>0.6144</w:t>
            </w:r>
          </w:p>
        </w:tc>
        <w:tc>
          <w:tcPr>
            <w:tcW w:w="2181" w:type="dxa"/>
            <w:shd w:val="clear" w:color="auto" w:fill="FDE9D9" w:themeFill="accent6" w:themeFillTint="33"/>
            <w:vAlign w:val="center"/>
          </w:tcPr>
          <w:p w:rsidR="00A74835" w:rsidRPr="00ED5EDA" w:rsidRDefault="00A74835" w:rsidP="00D95E32">
            <w:pPr>
              <w:jc w:val="center"/>
              <w:rPr>
                <w:rFonts w:cstheme="minorBidi"/>
                <w:b/>
                <w:bCs/>
                <w:sz w:val="20"/>
              </w:rPr>
            </w:pPr>
            <w:r w:rsidRPr="00ED5EDA">
              <w:rPr>
                <w:rFonts w:cstheme="minorBidi"/>
                <w:b/>
                <w:bCs/>
                <w:sz w:val="20"/>
              </w:rPr>
              <w:t>0.3367</w:t>
            </w:r>
          </w:p>
        </w:tc>
        <w:tc>
          <w:tcPr>
            <w:tcW w:w="2181" w:type="dxa"/>
            <w:shd w:val="clear" w:color="auto" w:fill="FDE9D9" w:themeFill="accent6" w:themeFillTint="33"/>
            <w:vAlign w:val="center"/>
          </w:tcPr>
          <w:p w:rsidR="00A74835" w:rsidRPr="00ED5EDA" w:rsidRDefault="00A74835" w:rsidP="00D95E32">
            <w:pPr>
              <w:jc w:val="center"/>
              <w:rPr>
                <w:rFonts w:cstheme="minorBidi"/>
                <w:b/>
                <w:bCs/>
                <w:sz w:val="20"/>
              </w:rPr>
            </w:pPr>
            <w:r w:rsidRPr="00ED5EDA">
              <w:rPr>
                <w:rFonts w:cstheme="minorBidi"/>
                <w:b/>
                <w:bCs/>
                <w:sz w:val="20"/>
              </w:rPr>
              <w:t>0.3111</w:t>
            </w:r>
          </w:p>
        </w:tc>
      </w:tr>
      <w:tr w:rsidR="00A74835" w:rsidRPr="00ED5EDA" w:rsidTr="00345F61">
        <w:trPr>
          <w:trHeight w:val="445"/>
          <w:jc w:val="center"/>
        </w:trPr>
        <w:tc>
          <w:tcPr>
            <w:tcW w:w="2181" w:type="dxa"/>
            <w:shd w:val="clear" w:color="auto" w:fill="FDE9D9" w:themeFill="accent6" w:themeFillTint="33"/>
            <w:vAlign w:val="center"/>
          </w:tcPr>
          <w:p w:rsidR="00A74835" w:rsidRPr="00ED5EDA" w:rsidRDefault="00A74835" w:rsidP="00D95E32">
            <w:pPr>
              <w:jc w:val="center"/>
              <w:rPr>
                <w:rFonts w:cstheme="minorBidi"/>
                <w:b/>
                <w:bCs/>
                <w:sz w:val="20"/>
              </w:rPr>
            </w:pPr>
            <w:r w:rsidRPr="00ED5EDA">
              <w:rPr>
                <w:rFonts w:cstheme="minorBidi"/>
                <w:b/>
                <w:bCs/>
                <w:sz w:val="20"/>
              </w:rPr>
              <w:t>Median</w:t>
            </w:r>
          </w:p>
        </w:tc>
        <w:tc>
          <w:tcPr>
            <w:tcW w:w="2181" w:type="dxa"/>
            <w:shd w:val="clear" w:color="auto" w:fill="FDE9D9" w:themeFill="accent6" w:themeFillTint="33"/>
            <w:vAlign w:val="center"/>
          </w:tcPr>
          <w:p w:rsidR="00A74835" w:rsidRPr="00ED5EDA" w:rsidRDefault="00A74835" w:rsidP="00D95E32">
            <w:pPr>
              <w:jc w:val="center"/>
              <w:rPr>
                <w:rFonts w:cstheme="minorBidi"/>
                <w:b/>
                <w:bCs/>
                <w:sz w:val="20"/>
              </w:rPr>
            </w:pPr>
            <w:r w:rsidRPr="00ED5EDA">
              <w:rPr>
                <w:rFonts w:cstheme="minorBidi"/>
                <w:b/>
                <w:bCs/>
                <w:sz w:val="20"/>
              </w:rPr>
              <w:t>0.65</w:t>
            </w:r>
          </w:p>
        </w:tc>
        <w:tc>
          <w:tcPr>
            <w:tcW w:w="2181" w:type="dxa"/>
            <w:shd w:val="clear" w:color="auto" w:fill="FDE9D9" w:themeFill="accent6" w:themeFillTint="33"/>
            <w:vAlign w:val="center"/>
          </w:tcPr>
          <w:p w:rsidR="00A74835" w:rsidRPr="00ED5EDA" w:rsidRDefault="00A74835" w:rsidP="00D95E32">
            <w:pPr>
              <w:jc w:val="center"/>
              <w:rPr>
                <w:rFonts w:cstheme="minorBidi"/>
                <w:b/>
                <w:bCs/>
                <w:sz w:val="20"/>
              </w:rPr>
            </w:pPr>
            <w:r w:rsidRPr="00ED5EDA">
              <w:rPr>
                <w:rFonts w:cstheme="minorBidi"/>
                <w:b/>
                <w:bCs/>
                <w:sz w:val="20"/>
              </w:rPr>
              <w:t>0.37</w:t>
            </w:r>
          </w:p>
        </w:tc>
        <w:tc>
          <w:tcPr>
            <w:tcW w:w="2181" w:type="dxa"/>
            <w:shd w:val="clear" w:color="auto" w:fill="FDE9D9" w:themeFill="accent6" w:themeFillTint="33"/>
            <w:vAlign w:val="center"/>
          </w:tcPr>
          <w:p w:rsidR="00A74835" w:rsidRPr="00ED5EDA" w:rsidRDefault="00A74835" w:rsidP="00D95E32">
            <w:pPr>
              <w:jc w:val="center"/>
              <w:rPr>
                <w:rFonts w:cstheme="minorBidi"/>
                <w:b/>
                <w:bCs/>
                <w:sz w:val="20"/>
              </w:rPr>
            </w:pPr>
            <w:r w:rsidRPr="00ED5EDA">
              <w:rPr>
                <w:rFonts w:cstheme="minorBidi"/>
                <w:b/>
                <w:bCs/>
                <w:sz w:val="20"/>
              </w:rPr>
              <w:t>0.29</w:t>
            </w:r>
          </w:p>
        </w:tc>
      </w:tr>
      <w:tr w:rsidR="00A74835" w:rsidRPr="00ED5EDA" w:rsidTr="00345F61">
        <w:trPr>
          <w:trHeight w:val="457"/>
          <w:jc w:val="center"/>
        </w:trPr>
        <w:tc>
          <w:tcPr>
            <w:tcW w:w="2181" w:type="dxa"/>
            <w:shd w:val="clear" w:color="auto" w:fill="FDE9D9" w:themeFill="accent6" w:themeFillTint="33"/>
            <w:vAlign w:val="center"/>
          </w:tcPr>
          <w:p w:rsidR="00A74835" w:rsidRPr="00ED5EDA" w:rsidRDefault="00A74835" w:rsidP="00D95E32">
            <w:pPr>
              <w:jc w:val="center"/>
              <w:rPr>
                <w:rFonts w:cstheme="minorBidi"/>
                <w:b/>
                <w:bCs/>
                <w:sz w:val="20"/>
              </w:rPr>
            </w:pPr>
            <w:r w:rsidRPr="00ED5EDA">
              <w:rPr>
                <w:rFonts w:cstheme="minorBidi"/>
                <w:b/>
                <w:bCs/>
                <w:sz w:val="20"/>
              </w:rPr>
              <w:t>SD</w:t>
            </w:r>
          </w:p>
        </w:tc>
        <w:tc>
          <w:tcPr>
            <w:tcW w:w="2181" w:type="dxa"/>
            <w:shd w:val="clear" w:color="auto" w:fill="FDE9D9" w:themeFill="accent6" w:themeFillTint="33"/>
            <w:vAlign w:val="center"/>
          </w:tcPr>
          <w:p w:rsidR="00A74835" w:rsidRPr="00ED5EDA" w:rsidRDefault="00A74835" w:rsidP="00D95E32">
            <w:pPr>
              <w:jc w:val="center"/>
              <w:rPr>
                <w:rFonts w:cstheme="minorBidi"/>
                <w:b/>
                <w:bCs/>
                <w:sz w:val="20"/>
              </w:rPr>
            </w:pPr>
            <w:r w:rsidRPr="00ED5EDA">
              <w:rPr>
                <w:rFonts w:cstheme="minorBidi"/>
                <w:b/>
                <w:bCs/>
                <w:sz w:val="20"/>
              </w:rPr>
              <w:t>0.1061</w:t>
            </w:r>
          </w:p>
        </w:tc>
        <w:tc>
          <w:tcPr>
            <w:tcW w:w="2181" w:type="dxa"/>
            <w:shd w:val="clear" w:color="auto" w:fill="FDE9D9" w:themeFill="accent6" w:themeFillTint="33"/>
            <w:vAlign w:val="center"/>
          </w:tcPr>
          <w:p w:rsidR="00A74835" w:rsidRPr="00ED5EDA" w:rsidRDefault="00A74835" w:rsidP="00D95E32">
            <w:pPr>
              <w:jc w:val="center"/>
              <w:rPr>
                <w:rFonts w:cstheme="minorBidi"/>
                <w:b/>
                <w:bCs/>
                <w:sz w:val="20"/>
              </w:rPr>
            </w:pPr>
            <w:r w:rsidRPr="00ED5EDA">
              <w:rPr>
                <w:rFonts w:cstheme="minorBidi"/>
                <w:b/>
                <w:bCs/>
                <w:sz w:val="20"/>
              </w:rPr>
              <w:t>0.0071</w:t>
            </w:r>
          </w:p>
        </w:tc>
        <w:tc>
          <w:tcPr>
            <w:tcW w:w="2181" w:type="dxa"/>
            <w:shd w:val="clear" w:color="auto" w:fill="FDE9D9" w:themeFill="accent6" w:themeFillTint="33"/>
            <w:vAlign w:val="center"/>
          </w:tcPr>
          <w:p w:rsidR="00A74835" w:rsidRPr="00ED5EDA" w:rsidRDefault="00A74835" w:rsidP="00D95E32">
            <w:pPr>
              <w:jc w:val="center"/>
              <w:rPr>
                <w:rFonts w:cstheme="minorBidi"/>
                <w:b/>
                <w:bCs/>
                <w:sz w:val="20"/>
              </w:rPr>
            </w:pPr>
            <w:r w:rsidRPr="00ED5EDA">
              <w:rPr>
                <w:rFonts w:cstheme="minorBidi"/>
                <w:b/>
                <w:bCs/>
                <w:sz w:val="20"/>
              </w:rPr>
              <w:t>0.0354</w:t>
            </w:r>
          </w:p>
        </w:tc>
      </w:tr>
    </w:tbl>
    <w:p w:rsidR="00742A10" w:rsidRPr="00A74835" w:rsidRDefault="00F34154" w:rsidP="00A74835">
      <w:pPr>
        <w:spacing w:after="0" w:line="240" w:lineRule="auto"/>
        <w:rPr>
          <w:rFonts w:ascii="Arial" w:hAnsi="Arial" w:cs="Arial"/>
          <w:color w:val="000000"/>
          <w:sz w:val="18"/>
          <w:szCs w:val="18"/>
          <w:lang w:val="en-US"/>
        </w:rPr>
      </w:pPr>
      <w:r>
        <w:rPr>
          <w:noProof/>
          <w:lang w:eastAsia="en-GB"/>
        </w:rPr>
        <mc:AlternateContent>
          <mc:Choice Requires="wps">
            <w:drawing>
              <wp:anchor distT="0" distB="0" distL="114300" distR="114300" simplePos="0" relativeHeight="251773952" behindDoc="0" locked="0" layoutInCell="1" allowOverlap="1" wp14:anchorId="08A7F582" wp14:editId="2E823D91">
                <wp:simplePos x="0" y="0"/>
                <wp:positionH relativeFrom="column">
                  <wp:posOffset>114300</wp:posOffset>
                </wp:positionH>
                <wp:positionV relativeFrom="paragraph">
                  <wp:posOffset>390525</wp:posOffset>
                </wp:positionV>
                <wp:extent cx="5553075" cy="457200"/>
                <wp:effectExtent l="0" t="0" r="9525" b="0"/>
                <wp:wrapSquare wrapText="bothSides"/>
                <wp:docPr id="273" name="Text Box 273"/>
                <wp:cNvGraphicFramePr/>
                <a:graphic xmlns:a="http://schemas.openxmlformats.org/drawingml/2006/main">
                  <a:graphicData uri="http://schemas.microsoft.com/office/word/2010/wordprocessingShape">
                    <wps:wsp>
                      <wps:cNvSpPr txBox="1"/>
                      <wps:spPr>
                        <a:xfrm>
                          <a:off x="0" y="0"/>
                          <a:ext cx="5553075" cy="457200"/>
                        </a:xfrm>
                        <a:prstGeom prst="rect">
                          <a:avLst/>
                        </a:prstGeom>
                        <a:solidFill>
                          <a:prstClr val="white"/>
                        </a:solidFill>
                        <a:ln>
                          <a:noFill/>
                        </a:ln>
                        <a:effectLst/>
                      </wps:spPr>
                      <wps:txbx>
                        <w:txbxContent>
                          <w:p w:rsidR="003208E6" w:rsidRPr="00F34154" w:rsidRDefault="003208E6" w:rsidP="00F34154">
                            <w:pPr>
                              <w:rPr>
                                <w:rFonts w:eastAsia="Times New Roman" w:cstheme="minorBidi"/>
                                <w:b/>
                                <w:bCs/>
                                <w:sz w:val="20"/>
                                <w:szCs w:val="20"/>
                                <w:lang w:eastAsia="zh-CN"/>
                              </w:rPr>
                            </w:pPr>
                            <w:bookmarkStart w:id="334" w:name="_Ref360798401"/>
                            <w:bookmarkStart w:id="335" w:name="_Toc361733599"/>
                            <w:bookmarkStart w:id="336" w:name="_Toc361734242"/>
                            <w:bookmarkStart w:id="337" w:name="_Toc370511638"/>
                            <w:r w:rsidRPr="00F34154">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9</w:t>
                            </w:r>
                            <w:r>
                              <w:rPr>
                                <w:rFonts w:cstheme="minorBidi"/>
                                <w:b/>
                                <w:bCs/>
                                <w:sz w:val="20"/>
                                <w:szCs w:val="20"/>
                              </w:rPr>
                              <w:fldChar w:fldCharType="end"/>
                            </w:r>
                            <w:bookmarkEnd w:id="334"/>
                            <w:r w:rsidRPr="00F34154">
                              <w:rPr>
                                <w:rFonts w:cstheme="minorBidi"/>
                                <w:b/>
                                <w:bCs/>
                                <w:sz w:val="20"/>
                                <w:szCs w:val="20"/>
                              </w:rPr>
                              <w:t xml:space="preserve"> Whisker box</w:t>
                            </w:r>
                            <w:r w:rsidRPr="00F34154">
                              <w:rPr>
                                <w:rFonts w:eastAsia="Calibri" w:cstheme="minorBidi"/>
                                <w:b/>
                                <w:bCs/>
                                <w:color w:val="000000"/>
                                <w:sz w:val="20"/>
                                <w:szCs w:val="20"/>
                              </w:rPr>
                              <w:t xml:space="preserve"> plot</w:t>
                            </w:r>
                            <w:r w:rsidRPr="00F34154" w:rsidDel="00136555">
                              <w:rPr>
                                <w:rFonts w:eastAsia="Calibri" w:cstheme="minorBidi"/>
                                <w:b/>
                                <w:bCs/>
                                <w:color w:val="000000"/>
                                <w:sz w:val="20"/>
                                <w:szCs w:val="20"/>
                              </w:rPr>
                              <w:t xml:space="preserve"> </w:t>
                            </w:r>
                            <w:r w:rsidRPr="00F34154">
                              <w:rPr>
                                <w:rFonts w:cstheme="minorBidi"/>
                                <w:b/>
                                <w:bCs/>
                                <w:sz w:val="20"/>
                                <w:szCs w:val="20"/>
                              </w:rPr>
                              <w:t>represents the effect of NSCH and MTA on dentine slabs hardness after three months compared to control group.</w:t>
                            </w:r>
                            <w:bookmarkEnd w:id="335"/>
                            <w:bookmarkEnd w:id="336"/>
                            <w:bookmarkEnd w:id="337"/>
                            <w:r w:rsidRPr="00F34154">
                              <w:rPr>
                                <w:rFonts w:cstheme="minorBidi"/>
                                <w:b/>
                                <w:bCs/>
                                <w:sz w:val="20"/>
                                <w:szCs w:val="20"/>
                              </w:rPr>
                              <w:t xml:space="preserve"> </w:t>
                            </w:r>
                          </w:p>
                          <w:p w:rsidR="003208E6" w:rsidRPr="00871FB8" w:rsidRDefault="003208E6" w:rsidP="001D3F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040" type="#_x0000_t202" style="position:absolute;margin-left:9pt;margin-top:30.75pt;width:437.25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" stroked="f">
                <v:textbox inset="0,0,0,0">
                  <w:txbxContent>
                    <w:p w:rsidR="003208E6" w:rsidRPr="00F34154" w:rsidRDefault="003208E6" w:rsidP="00F34154">
                      <w:pPr>
                        <w:rPr>
                          <w:rFonts w:eastAsia="Times New Roman" w:cstheme="minorBidi"/>
                          <w:b/>
                          <w:bCs/>
                          <w:sz w:val="20"/>
                          <w:szCs w:val="20"/>
                          <w:lang w:eastAsia="zh-CN"/>
                        </w:rPr>
                      </w:pPr>
                      <w:bookmarkStart w:id="369" w:name="_Ref360798401"/>
                      <w:bookmarkStart w:id="370" w:name="_Toc361733599"/>
                      <w:bookmarkStart w:id="371" w:name="_Toc361734242"/>
                      <w:bookmarkStart w:id="372" w:name="_Toc370511638"/>
                      <w:r w:rsidRPr="00F34154">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0</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9</w:t>
                      </w:r>
                      <w:r>
                        <w:rPr>
                          <w:rFonts w:cstheme="minorBidi"/>
                          <w:b/>
                          <w:bCs/>
                          <w:sz w:val="20"/>
                          <w:szCs w:val="20"/>
                        </w:rPr>
                        <w:fldChar w:fldCharType="end"/>
                      </w:r>
                      <w:bookmarkEnd w:id="369"/>
                      <w:r w:rsidRPr="00F34154">
                        <w:rPr>
                          <w:rFonts w:cstheme="minorBidi"/>
                          <w:b/>
                          <w:bCs/>
                          <w:sz w:val="20"/>
                          <w:szCs w:val="20"/>
                        </w:rPr>
                        <w:t xml:space="preserve"> Whisker box</w:t>
                      </w:r>
                      <w:r w:rsidRPr="00F34154">
                        <w:rPr>
                          <w:rFonts w:eastAsia="Calibri" w:cstheme="minorBidi"/>
                          <w:b/>
                          <w:bCs/>
                          <w:color w:val="000000"/>
                          <w:sz w:val="20"/>
                          <w:szCs w:val="20"/>
                        </w:rPr>
                        <w:t xml:space="preserve"> plot</w:t>
                      </w:r>
                      <w:r w:rsidRPr="00F34154" w:rsidDel="00136555">
                        <w:rPr>
                          <w:rFonts w:eastAsia="Calibri" w:cstheme="minorBidi"/>
                          <w:b/>
                          <w:bCs/>
                          <w:color w:val="000000"/>
                          <w:sz w:val="20"/>
                          <w:szCs w:val="20"/>
                        </w:rPr>
                        <w:t xml:space="preserve"> </w:t>
                      </w:r>
                      <w:r w:rsidRPr="00F34154">
                        <w:rPr>
                          <w:rFonts w:cstheme="minorBidi"/>
                          <w:b/>
                          <w:bCs/>
                          <w:sz w:val="20"/>
                          <w:szCs w:val="20"/>
                        </w:rPr>
                        <w:t>represents the effect of NSCH and MTA on dentine slabs hardness after three months compared to control group.</w:t>
                      </w:r>
                      <w:bookmarkEnd w:id="370"/>
                      <w:bookmarkEnd w:id="371"/>
                      <w:bookmarkEnd w:id="372"/>
                      <w:r w:rsidRPr="00F34154">
                        <w:rPr>
                          <w:rFonts w:cstheme="minorBidi"/>
                          <w:b/>
                          <w:bCs/>
                          <w:sz w:val="20"/>
                          <w:szCs w:val="20"/>
                        </w:rPr>
                        <w:t xml:space="preserve"> </w:t>
                      </w:r>
                    </w:p>
                    <w:p w:rsidR="003208E6" w:rsidRPr="00871FB8" w:rsidRDefault="003208E6" w:rsidP="001D3F19"/>
                  </w:txbxContent>
                </v:textbox>
                <w10:wrap type="square"/>
              </v:shape>
            </w:pict>
          </mc:Fallback>
        </mc:AlternateContent>
      </w:r>
      <w:r w:rsidR="00A74835" w:rsidRPr="00A74835">
        <w:rPr>
          <w:rFonts w:ascii="Arial" w:hAnsi="Arial" w:cs="Arial"/>
          <w:b/>
          <w:bCs/>
          <w:color w:val="000000"/>
          <w:sz w:val="20"/>
          <w:szCs w:val="20"/>
        </w:rPr>
        <w:t>(</w:t>
      </w:r>
      <w:proofErr w:type="gramStart"/>
      <w:r w:rsidR="00A74835" w:rsidRPr="00A74835">
        <w:rPr>
          <w:rFonts w:ascii="Arial" w:hAnsi="Arial" w:cs="Arial"/>
          <w:b/>
          <w:bCs/>
          <w:color w:val="000000"/>
          <w:sz w:val="18"/>
          <w:szCs w:val="18"/>
        </w:rPr>
        <w:t>Gpa</w:t>
      </w:r>
      <w:proofErr w:type="gramEnd"/>
      <w:r w:rsidR="00A74835" w:rsidRPr="00A74835">
        <w:rPr>
          <w:rFonts w:ascii="Arial" w:hAnsi="Arial" w:cs="Arial"/>
          <w:b/>
          <w:bCs/>
          <w:color w:val="000000"/>
          <w:sz w:val="18"/>
          <w:szCs w:val="18"/>
        </w:rPr>
        <w:t>)</w:t>
      </w:r>
      <w:r w:rsidR="00A74835" w:rsidRPr="00B013ED">
        <w:rPr>
          <w:rFonts w:ascii="Arial" w:hAnsi="Arial" w:cs="Arial"/>
          <w:color w:val="000000"/>
          <w:sz w:val="18"/>
          <w:szCs w:val="18"/>
        </w:rPr>
        <w:t xml:space="preserve"> is Giga Pascal.</w:t>
      </w:r>
    </w:p>
    <w:p w:rsidR="00A74835" w:rsidRDefault="00345F61" w:rsidP="00A74835">
      <w:pPr>
        <w:rPr>
          <w:lang w:eastAsia="zh-CN"/>
        </w:rPr>
      </w:pPr>
      <w:bookmarkStart w:id="338" w:name="_Toc359995947"/>
      <w:bookmarkEnd w:id="333"/>
      <w:r w:rsidRPr="00B013ED">
        <w:rPr>
          <w:rFonts w:ascii="Times New Roman" w:hAnsi="Times New Roman" w:cs="Times New Roman"/>
          <w:noProof/>
          <w:lang w:eastAsia="en-GB"/>
        </w:rPr>
        <w:drawing>
          <wp:anchor distT="0" distB="0" distL="114300" distR="114300" simplePos="0" relativeHeight="251665408" behindDoc="0" locked="0" layoutInCell="1" allowOverlap="1" wp14:anchorId="5580A623" wp14:editId="43726AFA">
            <wp:simplePos x="0" y="0"/>
            <wp:positionH relativeFrom="margin">
              <wp:posOffset>660400</wp:posOffset>
            </wp:positionH>
            <wp:positionV relativeFrom="margin">
              <wp:posOffset>5266055</wp:posOffset>
            </wp:positionV>
            <wp:extent cx="4083050" cy="32397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83050" cy="3239770"/>
                    </a:xfrm>
                    <a:prstGeom prst="rect">
                      <a:avLst/>
                    </a:prstGeom>
                    <a:noFill/>
                  </pic:spPr>
                </pic:pic>
              </a:graphicData>
            </a:graphic>
            <wp14:sizeRelH relativeFrom="page">
              <wp14:pctWidth>0</wp14:pctWidth>
            </wp14:sizeRelH>
            <wp14:sizeRelV relativeFrom="page">
              <wp14:pctHeight>0</wp14:pctHeight>
            </wp14:sizeRelV>
          </wp:anchor>
        </w:drawing>
      </w:r>
      <w:bookmarkEnd w:id="338"/>
    </w:p>
    <w:p w:rsidR="00A74835" w:rsidRDefault="00A74835" w:rsidP="00A74835">
      <w:pPr>
        <w:rPr>
          <w:lang w:eastAsia="zh-CN"/>
        </w:rPr>
      </w:pPr>
    </w:p>
    <w:p w:rsidR="00A74835" w:rsidRDefault="00A74835" w:rsidP="00A74835">
      <w:pPr>
        <w:rPr>
          <w:lang w:eastAsia="zh-CN"/>
        </w:rPr>
      </w:pPr>
    </w:p>
    <w:p w:rsidR="00A74835" w:rsidRDefault="00A74835" w:rsidP="00A74835">
      <w:pPr>
        <w:rPr>
          <w:lang w:eastAsia="zh-CN"/>
        </w:rPr>
      </w:pPr>
    </w:p>
    <w:p w:rsidR="00A74835" w:rsidRPr="00A74835" w:rsidRDefault="00A74835" w:rsidP="00A74835">
      <w:pPr>
        <w:rPr>
          <w:lang w:eastAsia="zh-CN"/>
        </w:rPr>
      </w:pPr>
    </w:p>
    <w:p w:rsidR="006B31F3" w:rsidRPr="006B31F3" w:rsidRDefault="00F85D8B" w:rsidP="00787F8C">
      <w:pPr>
        <w:rPr>
          <w:rFonts w:eastAsia="Calibri"/>
          <w:b/>
          <w:color w:val="FF0000"/>
        </w:rPr>
      </w:pPr>
      <w:r w:rsidRPr="00B013ED">
        <w:rPr>
          <w:rFonts w:eastAsia="Calibri"/>
          <w:b/>
        </w:rPr>
        <w:br w:type="page"/>
      </w:r>
    </w:p>
    <w:p w:rsidR="004F5D7E" w:rsidRPr="008827C1" w:rsidRDefault="004F5D7E" w:rsidP="008827C1">
      <w:pPr>
        <w:rPr>
          <w:rFonts w:cstheme="minorBidi"/>
          <w:b/>
          <w:bCs/>
          <w:sz w:val="20"/>
          <w:szCs w:val="20"/>
        </w:rPr>
      </w:pPr>
      <w:bookmarkStart w:id="339" w:name="_Toc370511730"/>
      <w:proofErr w:type="gramStart"/>
      <w:r w:rsidRPr="008827C1">
        <w:rPr>
          <w:rFonts w:cstheme="minorBidi"/>
          <w:b/>
          <w:bCs/>
          <w:sz w:val="20"/>
          <w:szCs w:val="20"/>
        </w:rPr>
        <w:lastRenderedPageBreak/>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0</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4</w:t>
      </w:r>
      <w:r w:rsidR="00E7089D">
        <w:rPr>
          <w:rFonts w:cstheme="minorBidi"/>
          <w:b/>
          <w:bCs/>
          <w:sz w:val="20"/>
          <w:szCs w:val="20"/>
        </w:rPr>
        <w:fldChar w:fldCharType="end"/>
      </w:r>
      <w:r w:rsidRPr="008827C1">
        <w:rPr>
          <w:rFonts w:cstheme="minorBidi"/>
          <w:b/>
          <w:bCs/>
          <w:sz w:val="20"/>
          <w:szCs w:val="20"/>
        </w:rPr>
        <w:t xml:space="preserve"> </w:t>
      </w:r>
      <w:r w:rsidR="008827C1" w:rsidRPr="008827C1">
        <w:rPr>
          <w:b/>
          <w:bCs/>
          <w:sz w:val="20"/>
          <w:szCs w:val="20"/>
        </w:rPr>
        <w:t>Statistical analysis of the harndness data after three months for the experimental and control groups using</w:t>
      </w:r>
      <w:r w:rsidR="008827C1" w:rsidRPr="008827C1">
        <w:rPr>
          <w:rFonts w:eastAsia="Calibri"/>
          <w:b/>
          <w:bCs/>
          <w:sz w:val="20"/>
          <w:szCs w:val="20"/>
        </w:rPr>
        <w:t xml:space="preserve"> non-parametric </w:t>
      </w:r>
      <w:r w:rsidR="008827C1" w:rsidRPr="008827C1">
        <w:rPr>
          <w:b/>
          <w:bCs/>
          <w:sz w:val="20"/>
          <w:szCs w:val="20"/>
        </w:rPr>
        <w:t>Mann-Whitney and Wilcoxon tests</w:t>
      </w:r>
      <w:r w:rsidR="008827C1">
        <w:rPr>
          <w:b/>
          <w:bCs/>
          <w:sz w:val="20"/>
          <w:szCs w:val="20"/>
        </w:rPr>
        <w:t>.</w:t>
      </w:r>
      <w:bookmarkEnd w:id="339"/>
    </w:p>
    <w:tbl>
      <w:tblPr>
        <w:tblW w:w="8684" w:type="dxa"/>
        <w:tblCellMar>
          <w:left w:w="10" w:type="dxa"/>
          <w:right w:w="10" w:type="dxa"/>
        </w:tblCellMar>
        <w:tblLook w:val="0000" w:firstRow="0" w:lastRow="0" w:firstColumn="0" w:lastColumn="0" w:noHBand="0" w:noVBand="0"/>
      </w:tblPr>
      <w:tblGrid>
        <w:gridCol w:w="1826"/>
        <w:gridCol w:w="582"/>
        <w:gridCol w:w="1447"/>
        <w:gridCol w:w="1734"/>
        <w:gridCol w:w="1850"/>
        <w:gridCol w:w="1219"/>
        <w:gridCol w:w="26"/>
      </w:tblGrid>
      <w:tr w:rsidR="004B1EC8" w:rsidRPr="004B1EC8" w:rsidTr="004B1EC8">
        <w:trPr>
          <w:trHeight w:val="390"/>
        </w:trPr>
        <w:tc>
          <w:tcPr>
            <w:tcW w:w="865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EC8" w:rsidRPr="004B1EC8" w:rsidRDefault="004B1EC8" w:rsidP="004B1EC8">
            <w:pPr>
              <w:suppressAutoHyphens/>
              <w:autoSpaceDE w:val="0"/>
              <w:autoSpaceDN w:val="0"/>
              <w:spacing w:after="0" w:line="240" w:lineRule="auto"/>
              <w:ind w:left="108"/>
              <w:jc w:val="center"/>
              <w:textAlignment w:val="baseline"/>
              <w:rPr>
                <w:rFonts w:ascii="Arial" w:eastAsia="Calibri" w:hAnsi="Arial"/>
                <w:b/>
                <w:bCs/>
                <w:color w:val="000000"/>
                <w:sz w:val="26"/>
                <w:szCs w:val="26"/>
              </w:rPr>
            </w:pPr>
            <w:r w:rsidRPr="004B1EC8">
              <w:rPr>
                <w:rFonts w:ascii="Arial" w:eastAsia="Calibri" w:hAnsi="Arial"/>
                <w:b/>
                <w:bCs/>
                <w:color w:val="000000"/>
                <w:sz w:val="26"/>
                <w:szCs w:val="26"/>
              </w:rPr>
              <w:t>Three months</w:t>
            </w:r>
          </w:p>
        </w:tc>
        <w:tc>
          <w:tcPr>
            <w:tcW w:w="26" w:type="dxa"/>
            <w:vAlign w:val="center"/>
          </w:tcPr>
          <w:p w:rsidR="004B1EC8" w:rsidRPr="004B1EC8" w:rsidRDefault="004B1EC8" w:rsidP="004B1EC8">
            <w:pPr>
              <w:suppressAutoHyphens/>
              <w:autoSpaceDE w:val="0"/>
              <w:autoSpaceDN w:val="0"/>
              <w:spacing w:after="0" w:line="240" w:lineRule="auto"/>
              <w:ind w:left="108"/>
              <w:jc w:val="center"/>
              <w:textAlignment w:val="baseline"/>
              <w:rPr>
                <w:rFonts w:ascii="Arial" w:eastAsia="Calibri" w:hAnsi="Arial"/>
                <w:b/>
                <w:bCs/>
                <w:color w:val="000000"/>
                <w:sz w:val="26"/>
                <w:szCs w:val="26"/>
              </w:rPr>
            </w:pPr>
          </w:p>
        </w:tc>
      </w:tr>
      <w:tr w:rsidR="004B1EC8" w:rsidRPr="004B1EC8" w:rsidTr="004B1EC8">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Treatment</w:t>
            </w:r>
          </w:p>
        </w:tc>
        <w:tc>
          <w:tcPr>
            <w:tcW w:w="582"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N</w:t>
            </w:r>
          </w:p>
        </w:tc>
        <w:tc>
          <w:tcPr>
            <w:tcW w:w="1447"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Mean Rank</w:t>
            </w:r>
          </w:p>
        </w:tc>
        <w:tc>
          <w:tcPr>
            <w:tcW w:w="1734"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Sum of Ranks</w:t>
            </w:r>
          </w:p>
        </w:tc>
        <w:tc>
          <w:tcPr>
            <w:tcW w:w="1850"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4B1EC8" w:rsidRPr="004B1EC8" w:rsidRDefault="004B1EC8" w:rsidP="004B1EC8">
            <w:pPr>
              <w:suppressAutoHyphens/>
              <w:autoSpaceDN w:val="0"/>
              <w:spacing w:after="0" w:line="240" w:lineRule="auto"/>
              <w:jc w:val="center"/>
              <w:rPr>
                <w:rFonts w:ascii="Arial" w:eastAsia="Calibri" w:hAnsi="Arial" w:cs="Arial"/>
                <w:b/>
                <w:sz w:val="20"/>
                <w:szCs w:val="20"/>
              </w:rPr>
            </w:pPr>
            <w:r w:rsidRPr="004B1EC8">
              <w:rPr>
                <w:rFonts w:ascii="Arial" w:eastAsia="Calibri" w:hAnsi="Arial" w:cs="Arial"/>
                <w:b/>
                <w:sz w:val="20"/>
                <w:szCs w:val="20"/>
              </w:rPr>
              <w:t>Stat -test</w:t>
            </w:r>
          </w:p>
        </w:tc>
        <w:tc>
          <w:tcPr>
            <w:tcW w:w="1219"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4B1EC8" w:rsidRPr="004B1EC8" w:rsidRDefault="004B1EC8" w:rsidP="004B1EC8">
            <w:pPr>
              <w:suppressAutoHyphens/>
              <w:autoSpaceDN w:val="0"/>
              <w:spacing w:after="0" w:line="240" w:lineRule="auto"/>
              <w:jc w:val="center"/>
              <w:rPr>
                <w:rFonts w:ascii="Arial" w:eastAsia="Calibri" w:hAnsi="Arial" w:cs="Arial"/>
                <w:b/>
                <w:sz w:val="20"/>
                <w:szCs w:val="20"/>
              </w:rPr>
            </w:pPr>
            <w:r w:rsidRPr="004B1EC8">
              <w:rPr>
                <w:rFonts w:ascii="Arial" w:eastAsia="Calibri" w:hAnsi="Arial" w:cs="Arial"/>
                <w:b/>
                <w:sz w:val="20"/>
                <w:szCs w:val="20"/>
              </w:rPr>
              <w:t>Hardness</w:t>
            </w:r>
          </w:p>
        </w:tc>
        <w:tc>
          <w:tcPr>
            <w:tcW w:w="26" w:type="dxa"/>
            <w:shd w:val="clear" w:color="auto" w:fill="auto"/>
            <w:tcMar>
              <w:top w:w="0" w:type="dxa"/>
              <w:left w:w="10" w:type="dxa"/>
              <w:bottom w:w="0" w:type="dxa"/>
              <w:right w:w="10" w:type="dxa"/>
            </w:tcMar>
            <w:vAlign w:val="center"/>
          </w:tcPr>
          <w:p w:rsidR="004B1EC8" w:rsidRPr="004B1EC8" w:rsidRDefault="004B1EC8" w:rsidP="004B1EC8">
            <w:pPr>
              <w:suppressAutoHyphens/>
              <w:autoSpaceDN w:val="0"/>
              <w:spacing w:after="0" w:line="240" w:lineRule="auto"/>
              <w:jc w:val="center"/>
              <w:rPr>
                <w:rFonts w:ascii="Arial" w:eastAsia="Calibri" w:hAnsi="Arial" w:cs="Arial"/>
                <w:b/>
                <w:sz w:val="20"/>
                <w:szCs w:val="20"/>
              </w:rPr>
            </w:pPr>
          </w:p>
        </w:tc>
      </w:tr>
      <w:tr w:rsidR="004B1EC8" w:rsidRPr="004B1EC8" w:rsidTr="004B1EC8">
        <w:trPr>
          <w:trHeight w:val="533"/>
        </w:trPr>
        <w:tc>
          <w:tcPr>
            <w:tcW w:w="1826"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control gr</w:t>
            </w:r>
          </w:p>
        </w:tc>
        <w:tc>
          <w:tcPr>
            <w:tcW w:w="582"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14.00</w:t>
            </w:r>
          </w:p>
        </w:tc>
        <w:tc>
          <w:tcPr>
            <w:tcW w:w="1734"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126.00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Mann-Whitney U</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0.000</w:t>
            </w:r>
          </w:p>
        </w:tc>
      </w:tr>
      <w:tr w:rsidR="004B1EC8" w:rsidRPr="004B1EC8" w:rsidTr="004B1EC8">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NSCH gr</w:t>
            </w:r>
          </w:p>
        </w:tc>
        <w:tc>
          <w:tcPr>
            <w:tcW w:w="582"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5.00</w:t>
            </w:r>
          </w:p>
        </w:tc>
        <w:tc>
          <w:tcPr>
            <w:tcW w:w="1734"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45.00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Wilcoxon W</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45.000</w:t>
            </w:r>
          </w:p>
        </w:tc>
      </w:tr>
      <w:tr w:rsidR="004B1EC8" w:rsidRPr="004B1EC8" w:rsidTr="004B1EC8">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Total</w:t>
            </w:r>
          </w:p>
        </w:tc>
        <w:tc>
          <w:tcPr>
            <w:tcW w:w="582"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18</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p>
        </w:tc>
        <w:tc>
          <w:tcPr>
            <w:tcW w:w="185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4B1EC8" w:rsidRPr="004B1EC8" w:rsidRDefault="004B1EC8" w:rsidP="004B1EC8">
            <w:pPr>
              <w:suppressAutoHyphens/>
              <w:autoSpaceDN w:val="0"/>
              <w:spacing w:after="0" w:line="240" w:lineRule="auto"/>
              <w:jc w:val="center"/>
              <w:rPr>
                <w:rFonts w:ascii="Arial" w:eastAsia="Calibri" w:hAnsi="Arial"/>
              </w:rPr>
            </w:pPr>
            <w:r w:rsidRPr="004B1EC8">
              <w:rPr>
                <w:rFonts w:ascii="Arial" w:eastAsia="SimSun" w:hAnsi="Arial" w:cs="Arial"/>
                <w:b/>
                <w:color w:val="000000"/>
                <w:sz w:val="20"/>
                <w:szCs w:val="20"/>
                <w:lang w:eastAsia="zh-CN"/>
              </w:rPr>
              <w:t>. Sig</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4B1EC8" w:rsidRPr="004B1EC8" w:rsidRDefault="004B1EC8" w:rsidP="004B1EC8">
            <w:pPr>
              <w:suppressAutoHyphens/>
              <w:autoSpaceDN w:val="0"/>
              <w:spacing w:after="0" w:line="240" w:lineRule="auto"/>
              <w:jc w:val="center"/>
              <w:rPr>
                <w:rFonts w:ascii="Arial" w:eastAsia="Calibri" w:hAnsi="Arial"/>
              </w:rPr>
            </w:pPr>
            <w:r w:rsidRPr="004B1EC8">
              <w:rPr>
                <w:rFonts w:ascii="Arial" w:eastAsia="SimSun" w:hAnsi="Arial" w:cs="Arial"/>
                <w:b/>
                <w:color w:val="000000"/>
                <w:sz w:val="20"/>
                <w:szCs w:val="20"/>
                <w:lang w:eastAsia="zh-CN"/>
              </w:rPr>
              <w:t>0.000</w:t>
            </w:r>
          </w:p>
        </w:tc>
      </w:tr>
      <w:tr w:rsidR="004B1EC8" w:rsidRPr="004B1EC8" w:rsidTr="004B1EC8">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control gr</w:t>
            </w:r>
          </w:p>
        </w:tc>
        <w:tc>
          <w:tcPr>
            <w:tcW w:w="582"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13.56</w:t>
            </w:r>
          </w:p>
        </w:tc>
        <w:tc>
          <w:tcPr>
            <w:tcW w:w="1734"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122.00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Mann-Whitney U</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4.000</w:t>
            </w:r>
          </w:p>
        </w:tc>
      </w:tr>
      <w:tr w:rsidR="004B1EC8" w:rsidRPr="004B1EC8" w:rsidTr="004B1EC8">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MTA gr</w:t>
            </w:r>
          </w:p>
        </w:tc>
        <w:tc>
          <w:tcPr>
            <w:tcW w:w="582"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5.44</w:t>
            </w:r>
          </w:p>
        </w:tc>
        <w:tc>
          <w:tcPr>
            <w:tcW w:w="1734"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49.00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Wilcoxon W</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49.000</w:t>
            </w:r>
          </w:p>
        </w:tc>
      </w:tr>
      <w:tr w:rsidR="004B1EC8" w:rsidRPr="004B1EC8" w:rsidTr="004B1EC8">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Total</w:t>
            </w:r>
          </w:p>
        </w:tc>
        <w:tc>
          <w:tcPr>
            <w:tcW w:w="582"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18</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p>
        </w:tc>
        <w:tc>
          <w:tcPr>
            <w:tcW w:w="185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4B1EC8" w:rsidRPr="004B1EC8" w:rsidRDefault="004B1EC8" w:rsidP="004B1EC8">
            <w:pPr>
              <w:suppressAutoHyphens/>
              <w:autoSpaceDN w:val="0"/>
              <w:spacing w:after="0" w:line="240" w:lineRule="auto"/>
              <w:jc w:val="center"/>
              <w:rPr>
                <w:rFonts w:ascii="Arial" w:eastAsia="Calibri" w:hAnsi="Arial" w:cs="Arial"/>
                <w:b/>
                <w:sz w:val="20"/>
                <w:szCs w:val="20"/>
              </w:rPr>
            </w:pPr>
            <w:r w:rsidRPr="004B1EC8">
              <w:rPr>
                <w:rFonts w:ascii="Arial" w:eastAsia="Calibri" w:hAnsi="Arial" w:cs="Arial"/>
                <w:b/>
                <w:sz w:val="20"/>
                <w:szCs w:val="20"/>
              </w:rPr>
              <w:t>Sig</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4B1EC8" w:rsidRPr="004B1EC8" w:rsidRDefault="004B1EC8" w:rsidP="004B1EC8">
            <w:pPr>
              <w:suppressAutoHyphens/>
              <w:autoSpaceDN w:val="0"/>
              <w:spacing w:after="0" w:line="240" w:lineRule="auto"/>
              <w:jc w:val="center"/>
              <w:rPr>
                <w:rFonts w:ascii="Arial" w:eastAsia="Calibri" w:hAnsi="Arial" w:cs="Arial"/>
                <w:b/>
                <w:sz w:val="20"/>
                <w:szCs w:val="20"/>
              </w:rPr>
            </w:pPr>
            <w:r w:rsidRPr="004B1EC8">
              <w:rPr>
                <w:rFonts w:ascii="Arial" w:eastAsia="Calibri" w:hAnsi="Arial" w:cs="Arial"/>
                <w:b/>
                <w:sz w:val="20"/>
                <w:szCs w:val="20"/>
              </w:rPr>
              <w:t>0.001</w:t>
            </w:r>
          </w:p>
        </w:tc>
      </w:tr>
      <w:tr w:rsidR="004B1EC8" w:rsidRPr="004B1EC8" w:rsidTr="004B1EC8">
        <w:trPr>
          <w:trHeight w:val="533"/>
        </w:trPr>
        <w:tc>
          <w:tcPr>
            <w:tcW w:w="1826"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NSCH gr</w:t>
            </w:r>
          </w:p>
        </w:tc>
        <w:tc>
          <w:tcPr>
            <w:tcW w:w="582"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10.72</w:t>
            </w:r>
          </w:p>
        </w:tc>
        <w:tc>
          <w:tcPr>
            <w:tcW w:w="1734"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96.50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Mann-Whitney U</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29.500</w:t>
            </w:r>
          </w:p>
        </w:tc>
      </w:tr>
      <w:tr w:rsidR="004B1EC8" w:rsidRPr="004B1EC8" w:rsidTr="004B1EC8">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MTA gr</w:t>
            </w:r>
          </w:p>
        </w:tc>
        <w:tc>
          <w:tcPr>
            <w:tcW w:w="582"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8.28</w:t>
            </w:r>
          </w:p>
        </w:tc>
        <w:tc>
          <w:tcPr>
            <w:tcW w:w="1734"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74.50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Wilcoxon W</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74.500</w:t>
            </w:r>
          </w:p>
        </w:tc>
      </w:tr>
      <w:tr w:rsidR="004B1EC8" w:rsidRPr="004B1EC8" w:rsidTr="004B1EC8">
        <w:trPr>
          <w:trHeight w:val="533"/>
        </w:trPr>
        <w:tc>
          <w:tcPr>
            <w:tcW w:w="1826"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Total</w:t>
            </w:r>
          </w:p>
        </w:tc>
        <w:tc>
          <w:tcPr>
            <w:tcW w:w="582"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18</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p>
        </w:tc>
        <w:tc>
          <w:tcPr>
            <w:tcW w:w="185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4B1EC8" w:rsidRPr="004B1EC8" w:rsidRDefault="004B1EC8" w:rsidP="004B1EC8">
            <w:pPr>
              <w:suppressAutoHyphens/>
              <w:autoSpaceDN w:val="0"/>
              <w:jc w:val="center"/>
              <w:textAlignment w:val="baseline"/>
              <w:rPr>
                <w:rFonts w:ascii="Arial" w:eastAsia="Calibri" w:hAnsi="Arial" w:cs="Arial"/>
                <w:b/>
                <w:sz w:val="20"/>
                <w:szCs w:val="20"/>
              </w:rPr>
            </w:pPr>
            <w:r w:rsidRPr="004B1EC8">
              <w:rPr>
                <w:rFonts w:ascii="Arial" w:eastAsia="Calibri" w:hAnsi="Arial" w:cs="Arial"/>
                <w:b/>
                <w:sz w:val="20"/>
                <w:szCs w:val="20"/>
              </w:rPr>
              <w:t>. Sig</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4B1EC8" w:rsidRPr="004B1EC8" w:rsidRDefault="004B1EC8" w:rsidP="004B1EC8">
            <w:pPr>
              <w:suppressAutoHyphens/>
              <w:autoSpaceDN w:val="0"/>
              <w:spacing w:after="0" w:line="240" w:lineRule="auto"/>
              <w:jc w:val="center"/>
              <w:rPr>
                <w:rFonts w:ascii="Arial" w:eastAsia="Calibri" w:hAnsi="Arial" w:cs="Arial"/>
                <w:b/>
                <w:sz w:val="20"/>
                <w:szCs w:val="20"/>
              </w:rPr>
            </w:pPr>
            <w:r w:rsidRPr="004B1EC8">
              <w:rPr>
                <w:rFonts w:ascii="Arial" w:eastAsia="Calibri" w:hAnsi="Arial" w:cs="Arial"/>
                <w:b/>
                <w:sz w:val="20"/>
                <w:szCs w:val="20"/>
              </w:rPr>
              <w:t>0.331</w:t>
            </w:r>
          </w:p>
        </w:tc>
      </w:tr>
    </w:tbl>
    <w:p w:rsidR="006B31F3" w:rsidRPr="00B013ED" w:rsidRDefault="006B31F3">
      <w:pPr>
        <w:rPr>
          <w:rFonts w:eastAsia="Calibri"/>
          <w:b/>
        </w:rPr>
      </w:pPr>
    </w:p>
    <w:p w:rsidR="002F3F06" w:rsidRPr="00B013ED" w:rsidRDefault="002F3F06" w:rsidP="00A74835">
      <w:pPr>
        <w:pStyle w:val="Heading4"/>
        <w:spacing w:line="480" w:lineRule="auto"/>
        <w:rPr>
          <w:rFonts w:eastAsia="Calibri"/>
        </w:rPr>
      </w:pPr>
      <w:r w:rsidRPr="00B013ED">
        <w:rPr>
          <w:rFonts w:eastAsia="Calibri"/>
        </w:rPr>
        <w:t>Modulus of elasticity</w:t>
      </w:r>
    </w:p>
    <w:p w:rsidR="00374B77" w:rsidRPr="00374B77" w:rsidRDefault="00CD6F04" w:rsidP="00374B77">
      <w:pPr>
        <w:spacing w:line="480" w:lineRule="auto"/>
        <w:jc w:val="both"/>
        <w:rPr>
          <w:rFonts w:cstheme="minorBidi"/>
          <w:noProof/>
          <w:szCs w:val="24"/>
        </w:rPr>
      </w:pPr>
      <w:r w:rsidRPr="008B0C79">
        <w:rPr>
          <w:rFonts w:cstheme="minorBidi"/>
          <w:szCs w:val="24"/>
          <w:lang w:val="en-US"/>
        </w:rPr>
        <w:t xml:space="preserve">The results are presented in. </w:t>
      </w:r>
      <w:r w:rsidR="005D2722" w:rsidRPr="008B0C79">
        <w:rPr>
          <w:rFonts w:cstheme="minorBidi"/>
          <w:szCs w:val="24"/>
          <w:lang w:val="en-US"/>
        </w:rPr>
        <w:fldChar w:fldCharType="begin"/>
      </w:r>
      <w:r w:rsidR="005D2722" w:rsidRPr="008B0C79">
        <w:rPr>
          <w:rFonts w:cstheme="minorBidi"/>
          <w:szCs w:val="24"/>
          <w:lang w:val="en-US"/>
        </w:rPr>
        <w:instrText xml:space="preserve"> REF _Ref361078829 \h </w:instrText>
      </w:r>
      <w:r w:rsidR="008B0C79" w:rsidRPr="008B0C79">
        <w:rPr>
          <w:rFonts w:cstheme="minorBidi"/>
          <w:szCs w:val="24"/>
          <w:lang w:val="en-US"/>
        </w:rPr>
        <w:instrText xml:space="preserve"> \* MERGEFORMAT </w:instrText>
      </w:r>
      <w:r w:rsidR="005D2722" w:rsidRPr="008B0C79">
        <w:rPr>
          <w:rFonts w:cstheme="minorBidi"/>
          <w:szCs w:val="24"/>
          <w:lang w:val="en-US"/>
        </w:rPr>
      </w:r>
      <w:r w:rsidR="005D2722" w:rsidRPr="008B0C79">
        <w:rPr>
          <w:rFonts w:cstheme="minorBidi"/>
          <w:szCs w:val="24"/>
          <w:lang w:val="en-US"/>
        </w:rPr>
        <w:fldChar w:fldCharType="separate"/>
      </w:r>
      <w:r w:rsidR="00374B77" w:rsidRPr="00374B77">
        <w:rPr>
          <w:rFonts w:cstheme="minorBidi"/>
          <w:szCs w:val="24"/>
        </w:rPr>
        <w:t xml:space="preserve">Table </w:t>
      </w:r>
      <w:r w:rsidR="00374B77" w:rsidRPr="00374B77">
        <w:rPr>
          <w:rFonts w:cstheme="minorBidi"/>
          <w:noProof/>
          <w:szCs w:val="24"/>
          <w:cs/>
        </w:rPr>
        <w:t>‎</w:t>
      </w:r>
      <w:r w:rsidR="00374B77">
        <w:rPr>
          <w:rFonts w:cstheme="minorBidi"/>
          <w:b/>
          <w:bCs/>
          <w:noProof/>
          <w:sz w:val="20"/>
          <w:szCs w:val="20"/>
        </w:rPr>
        <w:t>0.5</w:t>
      </w:r>
      <w:r w:rsidR="005D2722" w:rsidRPr="008B0C79">
        <w:rPr>
          <w:rFonts w:cstheme="minorBidi"/>
          <w:szCs w:val="24"/>
          <w:lang w:val="en-US"/>
        </w:rPr>
        <w:fldChar w:fldCharType="end"/>
      </w:r>
      <w:r w:rsidR="005D2722" w:rsidRPr="008B0C79">
        <w:rPr>
          <w:rFonts w:cstheme="minorBidi"/>
          <w:szCs w:val="24"/>
          <w:lang w:val="en-US"/>
        </w:rPr>
        <w:t xml:space="preserve"> </w:t>
      </w:r>
      <w:r w:rsidRPr="008B0C79">
        <w:rPr>
          <w:rFonts w:cstheme="minorBidi"/>
          <w:szCs w:val="24"/>
          <w:lang w:val="en-US"/>
        </w:rPr>
        <w:t xml:space="preserve">and </w:t>
      </w:r>
      <w:r w:rsidRPr="008B0C79">
        <w:rPr>
          <w:rFonts w:cstheme="minorBidi"/>
          <w:szCs w:val="24"/>
          <w:lang w:val="en-US"/>
        </w:rPr>
        <w:fldChar w:fldCharType="begin"/>
      </w:r>
      <w:r w:rsidRPr="008B0C79">
        <w:rPr>
          <w:rFonts w:cstheme="minorBidi"/>
          <w:szCs w:val="24"/>
          <w:lang w:val="en-US"/>
        </w:rPr>
        <w:instrText xml:space="preserve"> REF _Ref360439579 \h </w:instrText>
      </w:r>
      <w:r w:rsidR="00CF61BF" w:rsidRPr="008B0C79">
        <w:rPr>
          <w:rFonts w:cstheme="minorBidi"/>
          <w:szCs w:val="24"/>
          <w:lang w:val="en-US"/>
        </w:rPr>
        <w:instrText xml:space="preserve"> \* MERGEFORMAT </w:instrText>
      </w:r>
      <w:r w:rsidRPr="008B0C79">
        <w:rPr>
          <w:rFonts w:cstheme="minorBidi"/>
          <w:szCs w:val="24"/>
          <w:lang w:val="en-US"/>
        </w:rPr>
      </w:r>
      <w:r w:rsidRPr="008B0C79">
        <w:rPr>
          <w:rFonts w:cstheme="minorBidi"/>
          <w:szCs w:val="24"/>
          <w:lang w:val="en-US"/>
        </w:rPr>
        <w:fldChar w:fldCharType="separate"/>
      </w:r>
    </w:p>
    <w:p w:rsidR="00AE1540" w:rsidRPr="008B0C79" w:rsidRDefault="00374B77" w:rsidP="008B0C79">
      <w:pPr>
        <w:spacing w:line="480" w:lineRule="auto"/>
        <w:jc w:val="both"/>
        <w:rPr>
          <w:rFonts w:cstheme="minorBidi"/>
          <w:noProof/>
          <w:szCs w:val="24"/>
        </w:rPr>
      </w:pPr>
      <w:r w:rsidRPr="00374B77">
        <w:rPr>
          <w:rFonts w:cstheme="minorBidi"/>
          <w:noProof/>
          <w:szCs w:val="24"/>
        </w:rPr>
        <w:t xml:space="preserve">Figure </w:t>
      </w:r>
      <w:r w:rsidRPr="00374B77">
        <w:rPr>
          <w:rFonts w:cstheme="minorBidi"/>
          <w:noProof/>
          <w:szCs w:val="24"/>
          <w:cs/>
        </w:rPr>
        <w:t>‎</w:t>
      </w:r>
      <w:r>
        <w:rPr>
          <w:rFonts w:cstheme="minorBidi"/>
          <w:b/>
          <w:bCs/>
          <w:noProof/>
          <w:sz w:val="20"/>
          <w:szCs w:val="20"/>
        </w:rPr>
        <w:t>0.10</w:t>
      </w:r>
      <w:r w:rsidR="00CD6F04" w:rsidRPr="008B0C79">
        <w:rPr>
          <w:rFonts w:cstheme="minorBidi"/>
          <w:szCs w:val="24"/>
          <w:lang w:val="en-US"/>
        </w:rPr>
        <w:fldChar w:fldCharType="end"/>
      </w:r>
      <w:r w:rsidR="00CD6F04" w:rsidRPr="008B0C79">
        <w:rPr>
          <w:rFonts w:cstheme="minorBidi"/>
          <w:szCs w:val="24"/>
          <w:lang w:val="en-US"/>
        </w:rPr>
        <w:t xml:space="preserve">. </w:t>
      </w:r>
      <w:bookmarkStart w:id="340" w:name="_Ref360439462"/>
      <w:bookmarkStart w:id="341" w:name="_Toc360367432"/>
      <w:r w:rsidR="00AE1540" w:rsidRPr="008B0C79">
        <w:rPr>
          <w:rFonts w:cstheme="minorBidi"/>
          <w:szCs w:val="24"/>
          <w:lang w:val="en-US"/>
        </w:rPr>
        <w:t xml:space="preserve">The mean modulus of elasticity of control slabs was 22.56 </w:t>
      </w:r>
      <w:proofErr w:type="gramStart"/>
      <w:r w:rsidR="00AE1540" w:rsidRPr="008B0C79">
        <w:rPr>
          <w:rFonts w:cstheme="minorBidi"/>
          <w:szCs w:val="24"/>
          <w:lang w:val="en-US"/>
        </w:rPr>
        <w:t>GPa</w:t>
      </w:r>
      <w:proofErr w:type="gramEnd"/>
      <w:r w:rsidR="00AE1540" w:rsidRPr="008B0C79">
        <w:rPr>
          <w:rFonts w:cstheme="minorBidi"/>
          <w:szCs w:val="24"/>
          <w:lang w:val="en-US"/>
        </w:rPr>
        <w:t xml:space="preserve"> compared with 18.73 GPa in for NSCH and 17.53 for the MTA group.</w:t>
      </w:r>
    </w:p>
    <w:p w:rsidR="00AE1540" w:rsidRPr="008B0C79" w:rsidRDefault="00AE1540" w:rsidP="00AE1540">
      <w:pPr>
        <w:spacing w:line="480" w:lineRule="auto"/>
        <w:jc w:val="both"/>
        <w:rPr>
          <w:szCs w:val="24"/>
          <w:lang w:val="en-US"/>
        </w:rPr>
      </w:pPr>
      <w:r w:rsidRPr="008B0C79">
        <w:rPr>
          <w:szCs w:val="24"/>
          <w:lang w:val="en-US"/>
        </w:rPr>
        <w:t xml:space="preserve">The difference in the mean of modulus of elasticity between both the experimental groups and control group was statistically significant (p&lt;0.01).   However there was no significant difference between the NSCH and the MTA group. </w:t>
      </w:r>
    </w:p>
    <w:p w:rsidR="00D95E32" w:rsidRDefault="00D95E32" w:rsidP="00AE1540">
      <w:pPr>
        <w:spacing w:line="480" w:lineRule="auto"/>
        <w:jc w:val="both"/>
        <w:rPr>
          <w:rFonts w:ascii="Arial" w:eastAsia="Times New Roman" w:hAnsi="Arial" w:cs="Arial"/>
          <w:b/>
          <w:sz w:val="20"/>
          <w:szCs w:val="24"/>
          <w:lang w:val="en-US" w:eastAsia="zh-CN"/>
        </w:rPr>
      </w:pPr>
      <w:r>
        <w:rPr>
          <w:bCs/>
          <w:lang w:val="en-US"/>
        </w:rPr>
        <w:br w:type="page"/>
      </w:r>
    </w:p>
    <w:p w:rsidR="005D2722" w:rsidRPr="00BA4B49" w:rsidRDefault="005D2722" w:rsidP="001D3F19">
      <w:pPr>
        <w:rPr>
          <w:rFonts w:cstheme="minorBidi"/>
          <w:b/>
          <w:bCs/>
          <w:sz w:val="20"/>
          <w:szCs w:val="20"/>
        </w:rPr>
      </w:pPr>
      <w:bookmarkStart w:id="342" w:name="_Ref361078829"/>
      <w:bookmarkStart w:id="343" w:name="_Toc370511731"/>
      <w:bookmarkEnd w:id="340"/>
      <w:bookmarkEnd w:id="341"/>
      <w:proofErr w:type="gramStart"/>
      <w:r w:rsidRPr="00BA4B49">
        <w:rPr>
          <w:rFonts w:cstheme="minorBidi"/>
          <w:b/>
          <w:bCs/>
          <w:sz w:val="20"/>
          <w:szCs w:val="20"/>
        </w:rPr>
        <w:lastRenderedPageBreak/>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0</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5</w:t>
      </w:r>
      <w:r w:rsidR="00E7089D">
        <w:rPr>
          <w:rFonts w:cstheme="minorBidi"/>
          <w:b/>
          <w:bCs/>
          <w:sz w:val="20"/>
          <w:szCs w:val="20"/>
        </w:rPr>
        <w:fldChar w:fldCharType="end"/>
      </w:r>
      <w:bookmarkEnd w:id="342"/>
      <w:r w:rsidRPr="00BA4B49">
        <w:rPr>
          <w:rFonts w:cstheme="minorBidi"/>
          <w:b/>
          <w:bCs/>
          <w:sz w:val="20"/>
          <w:szCs w:val="20"/>
        </w:rPr>
        <w:t xml:space="preserve"> Modulus of elasticity of dentine slabs as evaluated with nanoindentation after three months of application of NSCH and MTA compared with control slabs.</w:t>
      </w:r>
      <w:bookmarkEnd w:id="343"/>
    </w:p>
    <w:tbl>
      <w:tblPr>
        <w:tblStyle w:val="TableGrid"/>
        <w:tblW w:w="0" w:type="auto"/>
        <w:jc w:val="center"/>
        <w:tblLook w:val="04A0" w:firstRow="1" w:lastRow="0" w:firstColumn="1" w:lastColumn="0" w:noHBand="0" w:noVBand="1"/>
      </w:tblPr>
      <w:tblGrid>
        <w:gridCol w:w="2143"/>
        <w:gridCol w:w="2145"/>
        <w:gridCol w:w="2135"/>
        <w:gridCol w:w="2133"/>
      </w:tblGrid>
      <w:tr w:rsidR="00A74835" w:rsidRPr="00A33A0E" w:rsidTr="00A33A0E">
        <w:trPr>
          <w:trHeight w:val="527"/>
          <w:jc w:val="center"/>
        </w:trPr>
        <w:tc>
          <w:tcPr>
            <w:tcW w:w="2229" w:type="dxa"/>
            <w:shd w:val="clear" w:color="auto" w:fill="17365D" w:themeFill="text2" w:themeFillShade="BF"/>
            <w:vAlign w:val="center"/>
          </w:tcPr>
          <w:p w:rsidR="00A74835" w:rsidRPr="00A33A0E" w:rsidRDefault="00A74835" w:rsidP="00D95E32">
            <w:pPr>
              <w:jc w:val="center"/>
              <w:rPr>
                <w:rFonts w:cstheme="minorBidi"/>
                <w:b/>
                <w:bCs/>
                <w:sz w:val="20"/>
              </w:rPr>
            </w:pPr>
            <w:r w:rsidRPr="00A33A0E">
              <w:rPr>
                <w:rFonts w:cstheme="minorBidi"/>
                <w:b/>
                <w:bCs/>
                <w:sz w:val="20"/>
              </w:rPr>
              <w:t>SLAB</w:t>
            </w:r>
          </w:p>
        </w:tc>
        <w:tc>
          <w:tcPr>
            <w:tcW w:w="2229" w:type="dxa"/>
            <w:shd w:val="clear" w:color="auto" w:fill="17365D" w:themeFill="text2" w:themeFillShade="BF"/>
            <w:vAlign w:val="center"/>
          </w:tcPr>
          <w:p w:rsidR="00A74835" w:rsidRPr="00A33A0E" w:rsidRDefault="00A74835" w:rsidP="00D95E32">
            <w:pPr>
              <w:jc w:val="center"/>
              <w:rPr>
                <w:rFonts w:cstheme="minorBidi"/>
                <w:b/>
                <w:bCs/>
                <w:sz w:val="20"/>
              </w:rPr>
            </w:pPr>
            <w:r w:rsidRPr="00A33A0E">
              <w:rPr>
                <w:rFonts w:cstheme="minorBidi"/>
                <w:b/>
                <w:bCs/>
                <w:sz w:val="20"/>
              </w:rPr>
              <w:t>Control (Gpa)</w:t>
            </w:r>
          </w:p>
        </w:tc>
        <w:tc>
          <w:tcPr>
            <w:tcW w:w="2229" w:type="dxa"/>
            <w:shd w:val="clear" w:color="auto" w:fill="17365D" w:themeFill="text2" w:themeFillShade="BF"/>
            <w:vAlign w:val="center"/>
          </w:tcPr>
          <w:p w:rsidR="00A74835" w:rsidRPr="00A33A0E" w:rsidRDefault="00A74835" w:rsidP="00D95E32">
            <w:pPr>
              <w:jc w:val="center"/>
              <w:rPr>
                <w:rFonts w:cstheme="minorBidi"/>
                <w:b/>
                <w:bCs/>
                <w:sz w:val="20"/>
              </w:rPr>
            </w:pPr>
            <w:r w:rsidRPr="00A33A0E">
              <w:rPr>
                <w:rFonts w:cstheme="minorBidi"/>
                <w:b/>
                <w:bCs/>
                <w:sz w:val="20"/>
              </w:rPr>
              <w:t>NSCH (Gpa)</w:t>
            </w:r>
          </w:p>
        </w:tc>
        <w:tc>
          <w:tcPr>
            <w:tcW w:w="2229" w:type="dxa"/>
            <w:shd w:val="clear" w:color="auto" w:fill="17365D" w:themeFill="text2" w:themeFillShade="BF"/>
            <w:vAlign w:val="center"/>
          </w:tcPr>
          <w:p w:rsidR="00A74835" w:rsidRPr="00A33A0E" w:rsidRDefault="00A74835" w:rsidP="00D95E32">
            <w:pPr>
              <w:jc w:val="center"/>
              <w:rPr>
                <w:rFonts w:cstheme="minorBidi"/>
                <w:b/>
                <w:bCs/>
                <w:sz w:val="20"/>
              </w:rPr>
            </w:pPr>
            <w:r w:rsidRPr="00A33A0E">
              <w:rPr>
                <w:rFonts w:cstheme="minorBidi"/>
                <w:b/>
                <w:bCs/>
                <w:sz w:val="20"/>
              </w:rPr>
              <w:t>MTA (Gpa)</w:t>
            </w:r>
          </w:p>
        </w:tc>
      </w:tr>
      <w:tr w:rsidR="00A74835" w:rsidRPr="00A33A0E" w:rsidTr="004A2211">
        <w:trPr>
          <w:trHeight w:val="489"/>
          <w:jc w:val="center"/>
        </w:trPr>
        <w:tc>
          <w:tcPr>
            <w:tcW w:w="2229" w:type="dxa"/>
            <w:shd w:val="clear" w:color="auto" w:fill="F2F2F2" w:themeFill="background1" w:themeFillShade="F2"/>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1</w:t>
            </w:r>
          </w:p>
        </w:tc>
        <w:tc>
          <w:tcPr>
            <w:tcW w:w="2229"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24.55</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16.64</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12.14</w:t>
            </w:r>
          </w:p>
        </w:tc>
      </w:tr>
      <w:tr w:rsidR="00A74835" w:rsidRPr="00A33A0E" w:rsidTr="004A2211">
        <w:trPr>
          <w:trHeight w:val="489"/>
          <w:jc w:val="center"/>
        </w:trPr>
        <w:tc>
          <w:tcPr>
            <w:tcW w:w="2229" w:type="dxa"/>
            <w:shd w:val="clear" w:color="auto" w:fill="F2F2F2" w:themeFill="background1" w:themeFillShade="F2"/>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2</w:t>
            </w:r>
          </w:p>
        </w:tc>
        <w:tc>
          <w:tcPr>
            <w:tcW w:w="2229"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21.19</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18.11</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21.9</w:t>
            </w:r>
          </w:p>
        </w:tc>
      </w:tr>
      <w:tr w:rsidR="00A74835" w:rsidRPr="00A33A0E" w:rsidTr="004A2211">
        <w:trPr>
          <w:trHeight w:val="503"/>
          <w:jc w:val="center"/>
        </w:trPr>
        <w:tc>
          <w:tcPr>
            <w:tcW w:w="2229" w:type="dxa"/>
            <w:shd w:val="clear" w:color="auto" w:fill="F2F2F2" w:themeFill="background1" w:themeFillShade="F2"/>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3</w:t>
            </w:r>
          </w:p>
        </w:tc>
        <w:tc>
          <w:tcPr>
            <w:tcW w:w="2229"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20.7</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22.72</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15.65</w:t>
            </w:r>
          </w:p>
        </w:tc>
      </w:tr>
      <w:tr w:rsidR="00A74835" w:rsidRPr="00A33A0E" w:rsidTr="004A2211">
        <w:trPr>
          <w:trHeight w:val="489"/>
          <w:jc w:val="center"/>
        </w:trPr>
        <w:tc>
          <w:tcPr>
            <w:tcW w:w="2229" w:type="dxa"/>
            <w:shd w:val="clear" w:color="auto" w:fill="F2F2F2" w:themeFill="background1" w:themeFillShade="F2"/>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4</w:t>
            </w:r>
          </w:p>
        </w:tc>
        <w:tc>
          <w:tcPr>
            <w:tcW w:w="2229"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25.86</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20.66</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20.4</w:t>
            </w:r>
          </w:p>
        </w:tc>
      </w:tr>
      <w:tr w:rsidR="00A74835" w:rsidRPr="00A33A0E" w:rsidTr="004A2211">
        <w:trPr>
          <w:trHeight w:val="489"/>
          <w:jc w:val="center"/>
        </w:trPr>
        <w:tc>
          <w:tcPr>
            <w:tcW w:w="2229" w:type="dxa"/>
            <w:shd w:val="clear" w:color="auto" w:fill="F2F2F2" w:themeFill="background1" w:themeFillShade="F2"/>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5</w:t>
            </w:r>
          </w:p>
        </w:tc>
        <w:tc>
          <w:tcPr>
            <w:tcW w:w="2229"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26.48</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15.19</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16.56</w:t>
            </w:r>
          </w:p>
        </w:tc>
      </w:tr>
      <w:tr w:rsidR="00A74835" w:rsidRPr="00A33A0E" w:rsidTr="004A2211">
        <w:trPr>
          <w:trHeight w:val="489"/>
          <w:jc w:val="center"/>
        </w:trPr>
        <w:tc>
          <w:tcPr>
            <w:tcW w:w="2229" w:type="dxa"/>
            <w:shd w:val="clear" w:color="auto" w:fill="F2F2F2" w:themeFill="background1" w:themeFillShade="F2"/>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6</w:t>
            </w:r>
          </w:p>
        </w:tc>
        <w:tc>
          <w:tcPr>
            <w:tcW w:w="2229"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21.27</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19.52</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15.9</w:t>
            </w:r>
          </w:p>
        </w:tc>
      </w:tr>
      <w:tr w:rsidR="00A74835" w:rsidRPr="00A33A0E" w:rsidTr="004A2211">
        <w:trPr>
          <w:trHeight w:val="503"/>
          <w:jc w:val="center"/>
        </w:trPr>
        <w:tc>
          <w:tcPr>
            <w:tcW w:w="2229" w:type="dxa"/>
            <w:shd w:val="clear" w:color="auto" w:fill="F2F2F2" w:themeFill="background1" w:themeFillShade="F2"/>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7</w:t>
            </w:r>
          </w:p>
        </w:tc>
        <w:tc>
          <w:tcPr>
            <w:tcW w:w="2229"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23.1</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17.76</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19.33</w:t>
            </w:r>
          </w:p>
        </w:tc>
      </w:tr>
      <w:tr w:rsidR="00A74835" w:rsidRPr="00A33A0E" w:rsidTr="004A2211">
        <w:trPr>
          <w:trHeight w:val="489"/>
          <w:jc w:val="center"/>
        </w:trPr>
        <w:tc>
          <w:tcPr>
            <w:tcW w:w="2229" w:type="dxa"/>
            <w:shd w:val="clear" w:color="auto" w:fill="F2F2F2" w:themeFill="background1" w:themeFillShade="F2"/>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8</w:t>
            </w:r>
          </w:p>
        </w:tc>
        <w:tc>
          <w:tcPr>
            <w:tcW w:w="2229"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25.19</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20.1</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18.1</w:t>
            </w:r>
          </w:p>
        </w:tc>
      </w:tr>
      <w:tr w:rsidR="00A74835" w:rsidRPr="00A33A0E" w:rsidTr="004A2211">
        <w:trPr>
          <w:trHeight w:val="489"/>
          <w:jc w:val="center"/>
        </w:trPr>
        <w:tc>
          <w:tcPr>
            <w:tcW w:w="2229" w:type="dxa"/>
            <w:shd w:val="clear" w:color="auto" w:fill="F2F2F2" w:themeFill="background1" w:themeFillShade="F2"/>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9</w:t>
            </w:r>
          </w:p>
        </w:tc>
        <w:tc>
          <w:tcPr>
            <w:tcW w:w="2229" w:type="dxa"/>
            <w:shd w:val="clear" w:color="auto" w:fill="F2F2F2" w:themeFill="background1" w:themeFillShade="F2"/>
            <w:vAlign w:val="center"/>
          </w:tcPr>
          <w:p w:rsidR="00A74835" w:rsidRPr="00271A47" w:rsidRDefault="00A74835" w:rsidP="00D95E32">
            <w:pPr>
              <w:jc w:val="center"/>
              <w:rPr>
                <w:rFonts w:cstheme="minorBidi"/>
                <w:sz w:val="20"/>
              </w:rPr>
            </w:pPr>
            <w:r w:rsidRPr="00271A47">
              <w:rPr>
                <w:rFonts w:cstheme="minorBidi"/>
                <w:sz w:val="20"/>
              </w:rPr>
              <w:t>22.16</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23.65</w:t>
            </w:r>
          </w:p>
        </w:tc>
        <w:tc>
          <w:tcPr>
            <w:tcW w:w="2229" w:type="dxa"/>
            <w:shd w:val="clear" w:color="auto" w:fill="F2F2F2" w:themeFill="background1" w:themeFillShade="F2"/>
            <w:vAlign w:val="center"/>
          </w:tcPr>
          <w:p w:rsidR="00A74835" w:rsidRPr="00271A47" w:rsidRDefault="00A74835" w:rsidP="00D95E32">
            <w:pPr>
              <w:jc w:val="center"/>
              <w:rPr>
                <w:rFonts w:cstheme="minorBidi"/>
                <w:color w:val="000000"/>
                <w:sz w:val="20"/>
                <w:lang w:eastAsia="en-GB"/>
              </w:rPr>
            </w:pPr>
            <w:r w:rsidRPr="00271A47">
              <w:rPr>
                <w:rFonts w:eastAsia="Calibri" w:cstheme="minorBidi"/>
                <w:color w:val="000000"/>
                <w:sz w:val="20"/>
                <w:lang w:eastAsia="en-GB"/>
              </w:rPr>
              <w:t>17.83</w:t>
            </w:r>
          </w:p>
        </w:tc>
      </w:tr>
      <w:tr w:rsidR="00A74835" w:rsidRPr="00A33A0E" w:rsidTr="00A33A0E">
        <w:trPr>
          <w:trHeight w:val="503"/>
          <w:jc w:val="center"/>
        </w:trPr>
        <w:tc>
          <w:tcPr>
            <w:tcW w:w="2229" w:type="dxa"/>
            <w:shd w:val="clear" w:color="auto" w:fill="FDE9D9" w:themeFill="accent6" w:themeFillTint="33"/>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Mean</w:t>
            </w:r>
          </w:p>
        </w:tc>
        <w:tc>
          <w:tcPr>
            <w:tcW w:w="2229" w:type="dxa"/>
            <w:shd w:val="clear" w:color="auto" w:fill="FDE9D9" w:themeFill="accent6" w:themeFillTint="33"/>
            <w:vAlign w:val="center"/>
          </w:tcPr>
          <w:p w:rsidR="00A74835" w:rsidRPr="00A33A0E" w:rsidRDefault="00A74835" w:rsidP="00D95E32">
            <w:pPr>
              <w:jc w:val="center"/>
              <w:rPr>
                <w:rFonts w:cstheme="minorBidi"/>
                <w:b/>
                <w:bCs/>
                <w:sz w:val="20"/>
              </w:rPr>
            </w:pPr>
            <w:r w:rsidRPr="00A33A0E">
              <w:rPr>
                <w:rFonts w:cstheme="minorBidi"/>
                <w:b/>
                <w:bCs/>
                <w:sz w:val="20"/>
              </w:rPr>
              <w:t>23.39</w:t>
            </w:r>
          </w:p>
        </w:tc>
        <w:tc>
          <w:tcPr>
            <w:tcW w:w="2229" w:type="dxa"/>
            <w:shd w:val="clear" w:color="auto" w:fill="FDE9D9" w:themeFill="accent6" w:themeFillTint="33"/>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19.37</w:t>
            </w:r>
          </w:p>
        </w:tc>
        <w:tc>
          <w:tcPr>
            <w:tcW w:w="2229" w:type="dxa"/>
            <w:shd w:val="clear" w:color="auto" w:fill="FDE9D9" w:themeFill="accent6" w:themeFillTint="33"/>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17.53</w:t>
            </w:r>
          </w:p>
        </w:tc>
      </w:tr>
      <w:tr w:rsidR="00A74835" w:rsidRPr="00A33A0E" w:rsidTr="00A33A0E">
        <w:trPr>
          <w:trHeight w:val="489"/>
          <w:jc w:val="center"/>
        </w:trPr>
        <w:tc>
          <w:tcPr>
            <w:tcW w:w="2229" w:type="dxa"/>
            <w:shd w:val="clear" w:color="auto" w:fill="FDE9D9" w:themeFill="accent6" w:themeFillTint="33"/>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Median</w:t>
            </w:r>
          </w:p>
        </w:tc>
        <w:tc>
          <w:tcPr>
            <w:tcW w:w="2229" w:type="dxa"/>
            <w:shd w:val="clear" w:color="auto" w:fill="FDE9D9" w:themeFill="accent6" w:themeFillTint="33"/>
            <w:vAlign w:val="center"/>
          </w:tcPr>
          <w:p w:rsidR="00A74835" w:rsidRPr="00A33A0E" w:rsidRDefault="00A74835" w:rsidP="00D95E32">
            <w:pPr>
              <w:jc w:val="center"/>
              <w:rPr>
                <w:rFonts w:cstheme="minorBidi"/>
                <w:b/>
                <w:bCs/>
                <w:sz w:val="20"/>
              </w:rPr>
            </w:pPr>
            <w:r w:rsidRPr="00A33A0E">
              <w:rPr>
                <w:rFonts w:cstheme="minorBidi"/>
                <w:b/>
                <w:bCs/>
                <w:sz w:val="20"/>
              </w:rPr>
              <w:t>23.1</w:t>
            </w:r>
          </w:p>
        </w:tc>
        <w:tc>
          <w:tcPr>
            <w:tcW w:w="2229" w:type="dxa"/>
            <w:shd w:val="clear" w:color="auto" w:fill="FDE9D9" w:themeFill="accent6" w:themeFillTint="33"/>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19.52</w:t>
            </w:r>
          </w:p>
        </w:tc>
        <w:tc>
          <w:tcPr>
            <w:tcW w:w="2229" w:type="dxa"/>
            <w:shd w:val="clear" w:color="auto" w:fill="FDE9D9" w:themeFill="accent6" w:themeFillTint="33"/>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17.83</w:t>
            </w:r>
          </w:p>
        </w:tc>
      </w:tr>
      <w:tr w:rsidR="00A74835" w:rsidRPr="00A33A0E" w:rsidTr="00A33A0E">
        <w:trPr>
          <w:trHeight w:val="503"/>
          <w:jc w:val="center"/>
        </w:trPr>
        <w:tc>
          <w:tcPr>
            <w:tcW w:w="2229" w:type="dxa"/>
            <w:shd w:val="clear" w:color="auto" w:fill="FDE9D9" w:themeFill="accent6" w:themeFillTint="33"/>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SD</w:t>
            </w:r>
          </w:p>
        </w:tc>
        <w:tc>
          <w:tcPr>
            <w:tcW w:w="2229" w:type="dxa"/>
            <w:shd w:val="clear" w:color="auto" w:fill="FDE9D9" w:themeFill="accent6" w:themeFillTint="33"/>
            <w:vAlign w:val="center"/>
          </w:tcPr>
          <w:p w:rsidR="00A74835" w:rsidRPr="00A33A0E" w:rsidRDefault="00A74835" w:rsidP="00D95E32">
            <w:pPr>
              <w:jc w:val="center"/>
              <w:rPr>
                <w:rFonts w:cstheme="minorBidi"/>
                <w:b/>
                <w:bCs/>
                <w:sz w:val="20"/>
              </w:rPr>
            </w:pPr>
            <w:r w:rsidRPr="00A33A0E">
              <w:rPr>
                <w:rFonts w:cstheme="minorBidi"/>
                <w:b/>
                <w:bCs/>
                <w:sz w:val="20"/>
              </w:rPr>
              <w:t>1.69</w:t>
            </w:r>
          </w:p>
        </w:tc>
        <w:tc>
          <w:tcPr>
            <w:tcW w:w="2229" w:type="dxa"/>
            <w:shd w:val="clear" w:color="auto" w:fill="FDE9D9" w:themeFill="accent6" w:themeFillTint="33"/>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4.96</w:t>
            </w:r>
          </w:p>
        </w:tc>
        <w:tc>
          <w:tcPr>
            <w:tcW w:w="2229" w:type="dxa"/>
            <w:shd w:val="clear" w:color="auto" w:fill="FDE9D9" w:themeFill="accent6" w:themeFillTint="33"/>
            <w:vAlign w:val="center"/>
          </w:tcPr>
          <w:p w:rsidR="00A74835" w:rsidRPr="00A33A0E" w:rsidRDefault="00A74835" w:rsidP="00D95E32">
            <w:pPr>
              <w:jc w:val="center"/>
              <w:rPr>
                <w:rFonts w:cstheme="minorBidi"/>
                <w:b/>
                <w:bCs/>
                <w:color w:val="000000"/>
                <w:sz w:val="20"/>
                <w:lang w:eastAsia="en-GB"/>
              </w:rPr>
            </w:pPr>
            <w:r w:rsidRPr="00A33A0E">
              <w:rPr>
                <w:rFonts w:eastAsia="Calibri" w:cstheme="minorBidi"/>
                <w:b/>
                <w:bCs/>
                <w:color w:val="000000"/>
                <w:sz w:val="20"/>
                <w:lang w:eastAsia="en-GB"/>
              </w:rPr>
              <w:t>4.02</w:t>
            </w:r>
          </w:p>
        </w:tc>
      </w:tr>
    </w:tbl>
    <w:p w:rsidR="00996A8C" w:rsidRPr="00FA7186" w:rsidRDefault="00996A8C" w:rsidP="00996A8C">
      <w:pPr>
        <w:spacing w:after="0" w:line="240" w:lineRule="auto"/>
        <w:rPr>
          <w:rFonts w:ascii="Arial" w:hAnsi="Arial" w:cs="Arial"/>
          <w:color w:val="000000"/>
          <w:sz w:val="22"/>
          <w:szCs w:val="22"/>
          <w:lang w:val="en-US"/>
        </w:rPr>
      </w:pPr>
      <w:r w:rsidRPr="00FA7186">
        <w:rPr>
          <w:rFonts w:ascii="Arial" w:hAnsi="Arial" w:cs="Arial"/>
          <w:b/>
          <w:bCs/>
          <w:color w:val="000000"/>
          <w:sz w:val="22"/>
          <w:szCs w:val="22"/>
        </w:rPr>
        <w:t>(</w:t>
      </w:r>
      <w:proofErr w:type="gramStart"/>
      <w:r w:rsidRPr="00FA7186">
        <w:rPr>
          <w:rFonts w:ascii="Arial" w:hAnsi="Arial" w:cs="Arial"/>
          <w:b/>
          <w:bCs/>
          <w:color w:val="000000"/>
          <w:sz w:val="22"/>
          <w:szCs w:val="22"/>
        </w:rPr>
        <w:t>Gpa</w:t>
      </w:r>
      <w:proofErr w:type="gramEnd"/>
      <w:r w:rsidRPr="00FA7186">
        <w:rPr>
          <w:rFonts w:ascii="Arial" w:hAnsi="Arial" w:cs="Arial"/>
          <w:b/>
          <w:bCs/>
          <w:color w:val="000000"/>
          <w:sz w:val="22"/>
          <w:szCs w:val="22"/>
        </w:rPr>
        <w:t>)</w:t>
      </w:r>
      <w:r w:rsidRPr="00FA7186">
        <w:rPr>
          <w:rFonts w:ascii="Arial" w:hAnsi="Arial" w:cs="Arial"/>
          <w:color w:val="000000"/>
          <w:sz w:val="22"/>
          <w:szCs w:val="22"/>
        </w:rPr>
        <w:t xml:space="preserve"> is Giga Pascal.</w:t>
      </w:r>
    </w:p>
    <w:p w:rsidR="00A33A0E" w:rsidRDefault="00A33A0E" w:rsidP="00A33A0E">
      <w:bookmarkStart w:id="344" w:name="_Ref360439579"/>
      <w:bookmarkStart w:id="345" w:name="_Toc360367433"/>
    </w:p>
    <w:p w:rsidR="00CD6F04" w:rsidRPr="00A33A0E" w:rsidRDefault="00C67C41" w:rsidP="00A33A0E">
      <w:pPr>
        <w:spacing w:after="0" w:line="240" w:lineRule="auto"/>
        <w:rPr>
          <w:rFonts w:eastAsia="Times New Roman" w:cstheme="minorBidi"/>
          <w:b/>
          <w:bCs/>
          <w:sz w:val="20"/>
          <w:szCs w:val="20"/>
          <w:lang w:eastAsia="zh-CN"/>
        </w:rPr>
      </w:pPr>
      <w:bookmarkStart w:id="346" w:name="_Toc361733600"/>
      <w:bookmarkStart w:id="347" w:name="_Toc361734243"/>
      <w:r>
        <w:rPr>
          <w:rFonts w:cstheme="minorBidi"/>
          <w:b/>
          <w:bCs/>
          <w:sz w:val="20"/>
          <w:szCs w:val="20"/>
        </w:rPr>
        <w:t>Figure</w:t>
      </w:r>
      <w:r w:rsidR="00CD6F04" w:rsidRPr="00A33A0E">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0</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10</w:t>
      </w:r>
      <w:r w:rsidR="00DF37B0">
        <w:rPr>
          <w:rFonts w:cstheme="minorBidi"/>
          <w:b/>
          <w:bCs/>
          <w:sz w:val="20"/>
          <w:szCs w:val="20"/>
        </w:rPr>
        <w:fldChar w:fldCharType="end"/>
      </w:r>
      <w:bookmarkEnd w:id="344"/>
      <w:r w:rsidR="00CD6F04" w:rsidRPr="00A33A0E">
        <w:rPr>
          <w:rFonts w:cstheme="minorBidi"/>
          <w:b/>
          <w:bCs/>
          <w:sz w:val="20"/>
          <w:szCs w:val="20"/>
        </w:rPr>
        <w:t xml:space="preserve"> </w:t>
      </w:r>
      <w:r w:rsidR="00CD6F04" w:rsidRPr="00A33A0E">
        <w:rPr>
          <w:rFonts w:eastAsia="Calibri" w:cstheme="minorBidi"/>
          <w:b/>
          <w:bCs/>
          <w:color w:val="000000"/>
          <w:sz w:val="20"/>
          <w:szCs w:val="20"/>
        </w:rPr>
        <w:t>Whisker box plot</w:t>
      </w:r>
      <w:r w:rsidR="00CD6F04" w:rsidRPr="00A33A0E" w:rsidDel="00136555">
        <w:rPr>
          <w:rFonts w:eastAsia="Calibri" w:cstheme="minorBidi"/>
          <w:b/>
          <w:bCs/>
          <w:color w:val="000000"/>
          <w:sz w:val="20"/>
          <w:szCs w:val="20"/>
        </w:rPr>
        <w:t xml:space="preserve"> </w:t>
      </w:r>
      <w:r w:rsidR="00CD6F04" w:rsidRPr="00A33A0E">
        <w:rPr>
          <w:rFonts w:cstheme="minorBidi"/>
          <w:b/>
          <w:bCs/>
          <w:sz w:val="20"/>
          <w:szCs w:val="20"/>
        </w:rPr>
        <w:t>represents the effect of NSCH and MTA on dentine slabs Modulus of elasticity after three months compared to control slabs.</w:t>
      </w:r>
      <w:bookmarkEnd w:id="346"/>
      <w:bookmarkEnd w:id="347"/>
    </w:p>
    <w:bookmarkEnd w:id="345"/>
    <w:p w:rsidR="002F3F06" w:rsidRDefault="00A33A0E" w:rsidP="002F3F06">
      <w:r w:rsidRPr="00B013ED">
        <w:rPr>
          <w:rFonts w:eastAsia="Calibri"/>
          <w:b/>
          <w:noProof/>
          <w:lang w:eastAsia="en-GB"/>
        </w:rPr>
        <w:drawing>
          <wp:anchor distT="0" distB="0" distL="114300" distR="114300" simplePos="0" relativeHeight="251662336" behindDoc="0" locked="0" layoutInCell="1" allowOverlap="1" wp14:anchorId="177EBFA1" wp14:editId="748A4FEA">
            <wp:simplePos x="0" y="0"/>
            <wp:positionH relativeFrom="margin">
              <wp:posOffset>676275</wp:posOffset>
            </wp:positionH>
            <wp:positionV relativeFrom="margin">
              <wp:posOffset>5591175</wp:posOffset>
            </wp:positionV>
            <wp:extent cx="4036695" cy="2867025"/>
            <wp:effectExtent l="0" t="0" r="190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3669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2B8B" w:rsidRPr="00B013ED" w:rsidRDefault="00932B8B" w:rsidP="00932B8B"/>
    <w:p w:rsidR="00A33A0E" w:rsidRDefault="00A33A0E" w:rsidP="00F37B35">
      <w:pPr>
        <w:suppressAutoHyphens/>
        <w:autoSpaceDE w:val="0"/>
        <w:autoSpaceDN w:val="0"/>
        <w:spacing w:after="0" w:line="320" w:lineRule="atLeast"/>
        <w:ind w:right="60"/>
        <w:textAlignment w:val="baseline"/>
        <w:rPr>
          <w:rFonts w:ascii="Arial" w:eastAsia="Calibri" w:hAnsi="Arial" w:cs="Arial"/>
          <w:b/>
          <w:bCs/>
          <w:color w:val="000000"/>
          <w:sz w:val="20"/>
          <w:szCs w:val="20"/>
        </w:rPr>
      </w:pPr>
    </w:p>
    <w:p w:rsidR="00A33A0E" w:rsidRDefault="00A33A0E" w:rsidP="00F37B35">
      <w:pPr>
        <w:suppressAutoHyphens/>
        <w:autoSpaceDE w:val="0"/>
        <w:autoSpaceDN w:val="0"/>
        <w:spacing w:after="0" w:line="320" w:lineRule="atLeast"/>
        <w:ind w:right="60"/>
        <w:textAlignment w:val="baseline"/>
        <w:rPr>
          <w:rFonts w:ascii="Arial" w:eastAsia="Calibri" w:hAnsi="Arial" w:cs="Arial"/>
          <w:b/>
          <w:bCs/>
          <w:color w:val="000000"/>
          <w:sz w:val="20"/>
          <w:szCs w:val="20"/>
        </w:rPr>
      </w:pPr>
    </w:p>
    <w:p w:rsidR="00A33A0E" w:rsidRDefault="00A33A0E" w:rsidP="00F37B35">
      <w:pPr>
        <w:suppressAutoHyphens/>
        <w:autoSpaceDE w:val="0"/>
        <w:autoSpaceDN w:val="0"/>
        <w:spacing w:after="0" w:line="320" w:lineRule="atLeast"/>
        <w:ind w:right="60"/>
        <w:textAlignment w:val="baseline"/>
        <w:rPr>
          <w:rFonts w:ascii="Arial" w:eastAsia="Calibri" w:hAnsi="Arial" w:cs="Arial"/>
          <w:b/>
          <w:bCs/>
          <w:color w:val="000000"/>
          <w:sz w:val="20"/>
          <w:szCs w:val="20"/>
        </w:rPr>
      </w:pPr>
    </w:p>
    <w:p w:rsidR="00A33A0E" w:rsidRDefault="00A33A0E" w:rsidP="00F37B35">
      <w:pPr>
        <w:suppressAutoHyphens/>
        <w:autoSpaceDE w:val="0"/>
        <w:autoSpaceDN w:val="0"/>
        <w:spacing w:after="0" w:line="320" w:lineRule="atLeast"/>
        <w:ind w:right="60"/>
        <w:textAlignment w:val="baseline"/>
        <w:rPr>
          <w:rFonts w:ascii="Arial" w:eastAsia="Calibri" w:hAnsi="Arial" w:cs="Arial"/>
          <w:b/>
          <w:bCs/>
          <w:color w:val="000000"/>
          <w:sz w:val="20"/>
          <w:szCs w:val="20"/>
        </w:rPr>
      </w:pPr>
    </w:p>
    <w:p w:rsidR="00A33A0E" w:rsidRDefault="00A33A0E" w:rsidP="00F37B35">
      <w:pPr>
        <w:suppressAutoHyphens/>
        <w:autoSpaceDE w:val="0"/>
        <w:autoSpaceDN w:val="0"/>
        <w:spacing w:after="0" w:line="320" w:lineRule="atLeast"/>
        <w:ind w:right="60"/>
        <w:textAlignment w:val="baseline"/>
        <w:rPr>
          <w:rFonts w:ascii="Arial" w:eastAsia="Calibri" w:hAnsi="Arial" w:cs="Arial"/>
          <w:b/>
          <w:bCs/>
          <w:color w:val="000000"/>
          <w:sz w:val="20"/>
          <w:szCs w:val="20"/>
        </w:rPr>
      </w:pPr>
    </w:p>
    <w:p w:rsidR="00A33A0E" w:rsidRDefault="00A33A0E" w:rsidP="00F37B35">
      <w:pPr>
        <w:suppressAutoHyphens/>
        <w:autoSpaceDE w:val="0"/>
        <w:autoSpaceDN w:val="0"/>
        <w:spacing w:after="0" w:line="320" w:lineRule="atLeast"/>
        <w:ind w:right="60"/>
        <w:textAlignment w:val="baseline"/>
        <w:rPr>
          <w:rFonts w:ascii="Arial" w:eastAsia="Calibri" w:hAnsi="Arial" w:cs="Arial"/>
          <w:b/>
          <w:bCs/>
          <w:color w:val="000000"/>
          <w:sz w:val="20"/>
          <w:szCs w:val="20"/>
        </w:rPr>
      </w:pPr>
    </w:p>
    <w:p w:rsidR="00A33A0E" w:rsidRDefault="00A33A0E" w:rsidP="00F37B35">
      <w:pPr>
        <w:suppressAutoHyphens/>
        <w:autoSpaceDE w:val="0"/>
        <w:autoSpaceDN w:val="0"/>
        <w:spacing w:after="0" w:line="320" w:lineRule="atLeast"/>
        <w:ind w:right="60"/>
        <w:textAlignment w:val="baseline"/>
        <w:rPr>
          <w:rFonts w:ascii="Arial" w:eastAsia="Calibri" w:hAnsi="Arial" w:cs="Arial"/>
          <w:b/>
          <w:bCs/>
          <w:color w:val="000000"/>
          <w:sz w:val="20"/>
          <w:szCs w:val="20"/>
        </w:rPr>
      </w:pPr>
    </w:p>
    <w:p w:rsidR="00A33A0E" w:rsidRDefault="00A33A0E" w:rsidP="00F37B35">
      <w:pPr>
        <w:suppressAutoHyphens/>
        <w:autoSpaceDE w:val="0"/>
        <w:autoSpaceDN w:val="0"/>
        <w:spacing w:after="0" w:line="320" w:lineRule="atLeast"/>
        <w:ind w:right="60"/>
        <w:textAlignment w:val="baseline"/>
        <w:rPr>
          <w:rFonts w:ascii="Arial" w:eastAsia="Calibri" w:hAnsi="Arial" w:cs="Arial"/>
          <w:b/>
          <w:bCs/>
          <w:color w:val="000000"/>
          <w:sz w:val="20"/>
          <w:szCs w:val="20"/>
        </w:rPr>
      </w:pPr>
    </w:p>
    <w:p w:rsidR="00A33A0E" w:rsidRDefault="00A33A0E" w:rsidP="00F37B35">
      <w:pPr>
        <w:suppressAutoHyphens/>
        <w:autoSpaceDE w:val="0"/>
        <w:autoSpaceDN w:val="0"/>
        <w:spacing w:after="0" w:line="320" w:lineRule="atLeast"/>
        <w:ind w:right="60"/>
        <w:textAlignment w:val="baseline"/>
        <w:rPr>
          <w:rFonts w:ascii="Arial" w:eastAsia="Calibri" w:hAnsi="Arial" w:cs="Arial"/>
          <w:b/>
          <w:bCs/>
          <w:color w:val="000000"/>
          <w:sz w:val="20"/>
          <w:szCs w:val="20"/>
        </w:rPr>
      </w:pPr>
    </w:p>
    <w:p w:rsidR="00A33A0E" w:rsidRDefault="00A33A0E" w:rsidP="00F37B35">
      <w:pPr>
        <w:suppressAutoHyphens/>
        <w:autoSpaceDE w:val="0"/>
        <w:autoSpaceDN w:val="0"/>
        <w:spacing w:after="0" w:line="320" w:lineRule="atLeast"/>
        <w:ind w:right="60"/>
        <w:textAlignment w:val="baseline"/>
        <w:rPr>
          <w:rFonts w:ascii="Arial" w:eastAsia="Calibri" w:hAnsi="Arial" w:cs="Arial"/>
          <w:b/>
          <w:bCs/>
          <w:color w:val="000000"/>
          <w:sz w:val="20"/>
          <w:szCs w:val="20"/>
        </w:rPr>
      </w:pPr>
    </w:p>
    <w:p w:rsidR="00A33A0E" w:rsidRDefault="00A33A0E" w:rsidP="00F37B35">
      <w:pPr>
        <w:suppressAutoHyphens/>
        <w:autoSpaceDE w:val="0"/>
        <w:autoSpaceDN w:val="0"/>
        <w:spacing w:after="0" w:line="320" w:lineRule="atLeast"/>
        <w:ind w:right="60"/>
        <w:textAlignment w:val="baseline"/>
        <w:rPr>
          <w:rFonts w:ascii="Arial" w:eastAsia="Calibri" w:hAnsi="Arial" w:cs="Arial"/>
          <w:b/>
          <w:bCs/>
          <w:color w:val="000000"/>
          <w:sz w:val="20"/>
          <w:szCs w:val="20"/>
        </w:rPr>
      </w:pPr>
    </w:p>
    <w:p w:rsidR="00A33A0E" w:rsidRDefault="00A33A0E" w:rsidP="00F37B35">
      <w:pPr>
        <w:suppressAutoHyphens/>
        <w:autoSpaceDE w:val="0"/>
        <w:autoSpaceDN w:val="0"/>
        <w:spacing w:after="0" w:line="320" w:lineRule="atLeast"/>
        <w:ind w:right="60"/>
        <w:textAlignment w:val="baseline"/>
        <w:rPr>
          <w:rFonts w:ascii="Arial" w:eastAsia="Calibri" w:hAnsi="Arial" w:cs="Arial"/>
          <w:b/>
          <w:bCs/>
          <w:color w:val="000000"/>
          <w:sz w:val="20"/>
          <w:szCs w:val="20"/>
        </w:rPr>
      </w:pPr>
    </w:p>
    <w:p w:rsidR="00F37B35" w:rsidRPr="00A33A0E" w:rsidRDefault="00F37B35" w:rsidP="00A33A0E">
      <w:pPr>
        <w:suppressAutoHyphens/>
        <w:autoSpaceDE w:val="0"/>
        <w:autoSpaceDN w:val="0"/>
        <w:spacing w:after="0" w:line="240" w:lineRule="auto"/>
        <w:ind w:right="60"/>
        <w:textAlignment w:val="baseline"/>
        <w:rPr>
          <w:rFonts w:ascii="Arial" w:eastAsia="Calibri" w:hAnsi="Arial" w:cs="Arial"/>
          <w:color w:val="000000"/>
          <w:sz w:val="20"/>
          <w:szCs w:val="20"/>
        </w:rPr>
      </w:pPr>
      <w:r w:rsidRPr="00A33A0E">
        <w:rPr>
          <w:rFonts w:ascii="Arial" w:eastAsia="Calibri" w:hAnsi="Arial" w:cs="Arial"/>
          <w:b/>
          <w:bCs/>
          <w:color w:val="000000"/>
          <w:sz w:val="20"/>
          <w:szCs w:val="20"/>
        </w:rPr>
        <w:t>(MOD)</w:t>
      </w:r>
      <w:r w:rsidRPr="00A33A0E">
        <w:rPr>
          <w:rFonts w:ascii="Arial" w:eastAsia="Calibri" w:hAnsi="Arial" w:cs="Arial"/>
          <w:color w:val="000000"/>
          <w:sz w:val="20"/>
          <w:szCs w:val="20"/>
        </w:rPr>
        <w:t xml:space="preserve"> Modulus of elasticity</w:t>
      </w:r>
    </w:p>
    <w:p w:rsidR="00594CFC" w:rsidRDefault="00594CFC" w:rsidP="00A33A0E">
      <w:pPr>
        <w:spacing w:line="240" w:lineRule="auto"/>
        <w:rPr>
          <w:b/>
          <w:lang w:val="en-US"/>
        </w:rPr>
      </w:pPr>
      <w:r w:rsidRPr="00B013ED">
        <w:rPr>
          <w:b/>
          <w:lang w:val="en-US"/>
        </w:rPr>
        <w:br w:type="page"/>
      </w:r>
    </w:p>
    <w:p w:rsidR="004F5D7E" w:rsidRDefault="004F5D7E" w:rsidP="001D3F19"/>
    <w:p w:rsidR="004F5D7E" w:rsidRPr="00AE1540" w:rsidRDefault="004F5D7E" w:rsidP="00AE1540">
      <w:pPr>
        <w:rPr>
          <w:rFonts w:cstheme="minorBidi"/>
          <w:b/>
          <w:bCs/>
          <w:sz w:val="20"/>
          <w:szCs w:val="20"/>
        </w:rPr>
      </w:pPr>
      <w:bookmarkStart w:id="348" w:name="_Toc370511732"/>
      <w:proofErr w:type="gramStart"/>
      <w:r w:rsidRPr="00AE1540">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0</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6</w:t>
      </w:r>
      <w:r w:rsidR="00E7089D">
        <w:rPr>
          <w:rFonts w:cstheme="minorBidi"/>
          <w:b/>
          <w:bCs/>
          <w:sz w:val="20"/>
          <w:szCs w:val="20"/>
        </w:rPr>
        <w:fldChar w:fldCharType="end"/>
      </w:r>
      <w:r w:rsidRPr="00AE1540">
        <w:rPr>
          <w:rFonts w:cstheme="minorBidi"/>
          <w:b/>
          <w:bCs/>
          <w:sz w:val="20"/>
          <w:szCs w:val="20"/>
        </w:rPr>
        <w:t xml:space="preserve"> </w:t>
      </w:r>
      <w:r w:rsidR="00AE1540" w:rsidRPr="00AE1540">
        <w:rPr>
          <w:rFonts w:cstheme="minorBidi"/>
          <w:b/>
          <w:bCs/>
          <w:sz w:val="20"/>
          <w:szCs w:val="20"/>
        </w:rPr>
        <w:t xml:space="preserve">Statistical analysis of the modulus of elasticity data after 3 months for the experimental and control groups using </w:t>
      </w:r>
      <w:r w:rsidR="00AE1540" w:rsidRPr="00AE1540">
        <w:rPr>
          <w:rFonts w:eastAsia="Calibri" w:cstheme="minorBidi"/>
          <w:b/>
          <w:bCs/>
          <w:sz w:val="20"/>
          <w:szCs w:val="20"/>
        </w:rPr>
        <w:t xml:space="preserve">nonparametric </w:t>
      </w:r>
      <w:r w:rsidR="00AE1540" w:rsidRPr="00AE1540">
        <w:rPr>
          <w:rFonts w:cstheme="minorBidi"/>
          <w:b/>
          <w:bCs/>
          <w:sz w:val="20"/>
          <w:szCs w:val="20"/>
        </w:rPr>
        <w:t>Mann-Whitney and Wilcoxon tests</w:t>
      </w:r>
      <w:bookmarkEnd w:id="348"/>
    </w:p>
    <w:tbl>
      <w:tblPr>
        <w:tblpPr w:leftFromText="180" w:rightFromText="180" w:vertAnchor="page" w:horzAnchor="margin" w:tblpY="3511"/>
        <w:tblW w:w="8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6"/>
        <w:gridCol w:w="582"/>
        <w:gridCol w:w="1447"/>
        <w:gridCol w:w="1734"/>
        <w:gridCol w:w="1850"/>
        <w:gridCol w:w="1219"/>
        <w:gridCol w:w="26"/>
      </w:tblGrid>
      <w:tr w:rsidR="004F5D7E" w:rsidTr="00AE1540">
        <w:trPr>
          <w:gridAfter w:val="1"/>
          <w:wAfter w:w="26" w:type="dxa"/>
          <w:trHeight w:val="660"/>
        </w:trPr>
        <w:tc>
          <w:tcPr>
            <w:tcW w:w="8658" w:type="dxa"/>
            <w:gridSpan w:val="6"/>
            <w:vAlign w:val="center"/>
          </w:tcPr>
          <w:p w:rsidR="004F5D7E" w:rsidRPr="004F5D7E" w:rsidRDefault="004F5D7E" w:rsidP="00AE1540">
            <w:pPr>
              <w:suppressAutoHyphens/>
              <w:autoSpaceDN w:val="0"/>
              <w:jc w:val="center"/>
              <w:textAlignment w:val="baseline"/>
              <w:rPr>
                <w:rFonts w:ascii="Arial" w:eastAsia="Calibri" w:hAnsi="Arial" w:cs="Arial"/>
                <w:b/>
                <w:sz w:val="28"/>
              </w:rPr>
            </w:pPr>
            <w:r w:rsidRPr="004F5D7E">
              <w:rPr>
                <w:rFonts w:ascii="Arial" w:eastAsia="Calibri" w:hAnsi="Arial" w:cs="Arial"/>
                <w:b/>
                <w:sz w:val="28"/>
              </w:rPr>
              <w:t>Three Months</w:t>
            </w:r>
          </w:p>
        </w:tc>
      </w:tr>
      <w:tr w:rsidR="0084209F" w:rsidRPr="0084209F" w:rsidTr="00AE15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Treatment</w:t>
            </w:r>
          </w:p>
        </w:tc>
        <w:tc>
          <w:tcPr>
            <w:tcW w:w="582"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N</w:t>
            </w:r>
          </w:p>
        </w:tc>
        <w:tc>
          <w:tcPr>
            <w:tcW w:w="1447"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Mean Rank</w:t>
            </w:r>
          </w:p>
        </w:tc>
        <w:tc>
          <w:tcPr>
            <w:tcW w:w="1734"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Sum of Ranks</w:t>
            </w:r>
          </w:p>
        </w:tc>
        <w:tc>
          <w:tcPr>
            <w:tcW w:w="1850"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84209F" w:rsidRPr="0084209F" w:rsidRDefault="0084209F" w:rsidP="00AE1540">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Stat -test</w:t>
            </w:r>
          </w:p>
        </w:tc>
        <w:tc>
          <w:tcPr>
            <w:tcW w:w="1219"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84209F" w:rsidRPr="0084209F" w:rsidRDefault="0084209F" w:rsidP="00AE1540">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MOD</w:t>
            </w:r>
          </w:p>
        </w:tc>
        <w:tc>
          <w:tcPr>
            <w:tcW w:w="26" w:type="dxa"/>
            <w:shd w:val="clear" w:color="auto" w:fill="auto"/>
            <w:tcMar>
              <w:top w:w="0" w:type="dxa"/>
              <w:left w:w="10" w:type="dxa"/>
              <w:bottom w:w="0" w:type="dxa"/>
              <w:right w:w="10" w:type="dxa"/>
            </w:tcMar>
            <w:vAlign w:val="center"/>
          </w:tcPr>
          <w:p w:rsidR="0084209F" w:rsidRPr="0084209F" w:rsidRDefault="0084209F" w:rsidP="00AE1540">
            <w:pPr>
              <w:suppressAutoHyphens/>
              <w:autoSpaceDN w:val="0"/>
              <w:spacing w:after="0" w:line="240" w:lineRule="auto"/>
              <w:jc w:val="center"/>
              <w:rPr>
                <w:rFonts w:ascii="Arial" w:eastAsia="Calibri" w:hAnsi="Arial" w:cs="Arial"/>
                <w:b/>
                <w:sz w:val="20"/>
                <w:szCs w:val="20"/>
              </w:rPr>
            </w:pPr>
          </w:p>
        </w:tc>
      </w:tr>
      <w:tr w:rsidR="0084209F" w:rsidRPr="0084209F" w:rsidTr="00AE15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33"/>
        </w:trPr>
        <w:tc>
          <w:tcPr>
            <w:tcW w:w="1826"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control gr</w:t>
            </w:r>
          </w:p>
        </w:tc>
        <w:tc>
          <w:tcPr>
            <w:tcW w:w="582"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9</w:t>
            </w:r>
          </w:p>
        </w:tc>
        <w:tc>
          <w:tcPr>
            <w:tcW w:w="1734"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13.00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Mann-Whitney U</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9.000</w:t>
            </w:r>
          </w:p>
        </w:tc>
      </w:tr>
      <w:tr w:rsidR="0084209F" w:rsidRPr="0084209F" w:rsidTr="00AE15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NSCH gr</w:t>
            </w:r>
          </w:p>
        </w:tc>
        <w:tc>
          <w:tcPr>
            <w:tcW w:w="582"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9</w:t>
            </w:r>
          </w:p>
        </w:tc>
        <w:tc>
          <w:tcPr>
            <w:tcW w:w="1734"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6.00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Wilcoxon W</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54.000</w:t>
            </w:r>
          </w:p>
        </w:tc>
      </w:tr>
      <w:tr w:rsidR="0084209F" w:rsidRPr="0084209F" w:rsidTr="00AE15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Total</w:t>
            </w:r>
          </w:p>
        </w:tc>
        <w:tc>
          <w:tcPr>
            <w:tcW w:w="582"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18</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p>
        </w:tc>
        <w:tc>
          <w:tcPr>
            <w:tcW w:w="185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84209F" w:rsidRPr="0084209F" w:rsidRDefault="0084209F" w:rsidP="00AE1540">
            <w:pPr>
              <w:suppressAutoHyphens/>
              <w:autoSpaceDN w:val="0"/>
              <w:spacing w:after="0" w:line="240" w:lineRule="auto"/>
              <w:jc w:val="center"/>
              <w:rPr>
                <w:rFonts w:ascii="Arial" w:eastAsia="Calibri" w:hAnsi="Arial"/>
              </w:rPr>
            </w:pPr>
            <w:r w:rsidRPr="0084209F">
              <w:rPr>
                <w:rFonts w:ascii="Arial" w:eastAsia="SimSun" w:hAnsi="Arial" w:cs="Arial"/>
                <w:b/>
                <w:color w:val="000000"/>
                <w:sz w:val="20"/>
                <w:szCs w:val="20"/>
                <w:lang w:eastAsia="zh-CN"/>
              </w:rPr>
              <w:t>. Sig</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84209F" w:rsidRPr="0084209F" w:rsidRDefault="0084209F" w:rsidP="00AE1540">
            <w:pPr>
              <w:suppressAutoHyphens/>
              <w:autoSpaceDN w:val="0"/>
              <w:spacing w:after="0" w:line="240" w:lineRule="auto"/>
              <w:jc w:val="center"/>
              <w:rPr>
                <w:rFonts w:ascii="Arial" w:eastAsia="Calibri" w:hAnsi="Arial"/>
              </w:rPr>
            </w:pPr>
            <w:r w:rsidRPr="0084209F">
              <w:rPr>
                <w:rFonts w:ascii="Arial" w:eastAsia="SimSun" w:hAnsi="Arial" w:cs="Arial"/>
                <w:b/>
                <w:color w:val="000000"/>
                <w:sz w:val="20"/>
                <w:szCs w:val="20"/>
                <w:lang w:eastAsia="zh-CN"/>
              </w:rPr>
              <w:t>0.005</w:t>
            </w:r>
          </w:p>
        </w:tc>
      </w:tr>
      <w:tr w:rsidR="0084209F" w:rsidRPr="0084209F" w:rsidTr="00AE15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control gr</w:t>
            </w:r>
          </w:p>
        </w:tc>
        <w:tc>
          <w:tcPr>
            <w:tcW w:w="582"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13.67</w:t>
            </w:r>
          </w:p>
        </w:tc>
        <w:tc>
          <w:tcPr>
            <w:tcW w:w="1734"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123.00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Mann-Whitney U</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3.000</w:t>
            </w:r>
          </w:p>
        </w:tc>
      </w:tr>
      <w:tr w:rsidR="0084209F" w:rsidRPr="0084209F" w:rsidTr="00AE15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MTA gr</w:t>
            </w:r>
          </w:p>
        </w:tc>
        <w:tc>
          <w:tcPr>
            <w:tcW w:w="582"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5.33</w:t>
            </w:r>
          </w:p>
        </w:tc>
        <w:tc>
          <w:tcPr>
            <w:tcW w:w="1734"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48.00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Wilcoxon W</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48.000</w:t>
            </w:r>
          </w:p>
        </w:tc>
      </w:tr>
      <w:tr w:rsidR="0084209F" w:rsidRPr="0084209F" w:rsidTr="00AE15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Total</w:t>
            </w:r>
          </w:p>
        </w:tc>
        <w:tc>
          <w:tcPr>
            <w:tcW w:w="582"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18</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p>
        </w:tc>
        <w:tc>
          <w:tcPr>
            <w:tcW w:w="185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84209F" w:rsidRPr="0084209F" w:rsidRDefault="0084209F" w:rsidP="00AE1540">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Sig</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84209F" w:rsidRPr="0084209F" w:rsidRDefault="0084209F" w:rsidP="00AE1540">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0.001</w:t>
            </w:r>
          </w:p>
        </w:tc>
      </w:tr>
      <w:tr w:rsidR="0084209F" w:rsidRPr="0084209F" w:rsidTr="00AE15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33"/>
        </w:trPr>
        <w:tc>
          <w:tcPr>
            <w:tcW w:w="1826"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NSCH gr</w:t>
            </w:r>
          </w:p>
        </w:tc>
        <w:tc>
          <w:tcPr>
            <w:tcW w:w="582"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11.11</w:t>
            </w:r>
          </w:p>
        </w:tc>
        <w:tc>
          <w:tcPr>
            <w:tcW w:w="1734"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100.00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Mann-Whitney U</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26.000</w:t>
            </w:r>
          </w:p>
        </w:tc>
      </w:tr>
      <w:tr w:rsidR="0084209F" w:rsidRPr="0084209F" w:rsidTr="00AE15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MTA gr</w:t>
            </w:r>
          </w:p>
        </w:tc>
        <w:tc>
          <w:tcPr>
            <w:tcW w:w="582"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7.89</w:t>
            </w:r>
          </w:p>
        </w:tc>
        <w:tc>
          <w:tcPr>
            <w:tcW w:w="1734"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71.00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Wilcoxon W</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rPr>
            </w:pPr>
            <w:r w:rsidRPr="0084209F">
              <w:rPr>
                <w:rFonts w:ascii="Arial" w:eastAsia="Calibri" w:hAnsi="Arial"/>
              </w:rPr>
              <w:t>71.000</w:t>
            </w:r>
          </w:p>
        </w:tc>
      </w:tr>
      <w:tr w:rsidR="0084209F" w:rsidRPr="0084209F" w:rsidTr="00AE15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33"/>
        </w:trPr>
        <w:tc>
          <w:tcPr>
            <w:tcW w:w="1826"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Total</w:t>
            </w:r>
          </w:p>
        </w:tc>
        <w:tc>
          <w:tcPr>
            <w:tcW w:w="582"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18</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p>
        </w:tc>
        <w:tc>
          <w:tcPr>
            <w:tcW w:w="185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84209F" w:rsidRPr="0084209F" w:rsidRDefault="0084209F" w:rsidP="00AE1540">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 Sig</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84209F" w:rsidRPr="0084209F" w:rsidRDefault="0084209F" w:rsidP="00AE1540">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0.222</w:t>
            </w:r>
          </w:p>
        </w:tc>
      </w:tr>
    </w:tbl>
    <w:p w:rsidR="0084209F" w:rsidRPr="00B013ED" w:rsidRDefault="0084209F" w:rsidP="00A33A0E">
      <w:pPr>
        <w:spacing w:line="240" w:lineRule="auto"/>
        <w:rPr>
          <w:b/>
          <w:lang w:val="en-US"/>
        </w:rPr>
      </w:pPr>
    </w:p>
    <w:p w:rsidR="004F5D7E" w:rsidRDefault="004F5D7E">
      <w:pPr>
        <w:rPr>
          <w:rFonts w:eastAsiaTheme="majorEastAsia"/>
          <w:b/>
          <w:bCs/>
          <w:sz w:val="28"/>
          <w:lang w:val="en-US"/>
        </w:rPr>
      </w:pPr>
      <w:r>
        <w:rPr>
          <w:lang w:val="en-US"/>
        </w:rPr>
        <w:br w:type="page"/>
      </w:r>
    </w:p>
    <w:p w:rsidR="00EA69D5" w:rsidRPr="004A2211" w:rsidRDefault="00EA69D5" w:rsidP="00A077E8">
      <w:pPr>
        <w:pStyle w:val="Heading3"/>
        <w:spacing w:line="480" w:lineRule="auto"/>
        <w:rPr>
          <w:lang w:val="en-US"/>
        </w:rPr>
      </w:pPr>
      <w:bookmarkStart w:id="349" w:name="_Toc370819243"/>
      <w:r w:rsidRPr="004A2211">
        <w:rPr>
          <w:lang w:val="en-US"/>
        </w:rPr>
        <w:lastRenderedPageBreak/>
        <w:t xml:space="preserve">Hardness of </w:t>
      </w:r>
      <w:r w:rsidRPr="00AE1540">
        <w:rPr>
          <w:lang w:val="en-US"/>
        </w:rPr>
        <w:t>dentine</w:t>
      </w:r>
      <w:r w:rsidRPr="004A2211">
        <w:rPr>
          <w:lang w:val="en-US"/>
        </w:rPr>
        <w:t xml:space="preserve"> and Young’s Modulus of Elasticity after eight months of application of NSCH and MTA</w:t>
      </w:r>
      <w:bookmarkEnd w:id="349"/>
    </w:p>
    <w:p w:rsidR="00EA69D5" w:rsidRPr="00B013ED" w:rsidRDefault="00EA69D5" w:rsidP="00A077E8">
      <w:pPr>
        <w:pStyle w:val="Heading4"/>
        <w:spacing w:line="480" w:lineRule="auto"/>
        <w:rPr>
          <w:lang w:val="en-US"/>
        </w:rPr>
      </w:pPr>
      <w:r w:rsidRPr="00B013ED">
        <w:rPr>
          <w:lang w:val="en-US"/>
        </w:rPr>
        <w:t>Hardness</w:t>
      </w:r>
      <w:r w:rsidRPr="00B013ED">
        <w:t xml:space="preserve"> </w:t>
      </w:r>
      <w:r w:rsidRPr="00B013ED">
        <w:rPr>
          <w:lang w:val="en-US"/>
        </w:rPr>
        <w:t>after eight months of NSCH and MTA application</w:t>
      </w:r>
    </w:p>
    <w:p w:rsidR="00374B77" w:rsidRPr="00374B77" w:rsidRDefault="00A077E8" w:rsidP="00374B77">
      <w:pPr>
        <w:spacing w:line="480" w:lineRule="auto"/>
        <w:jc w:val="both"/>
        <w:rPr>
          <w:rFonts w:cstheme="minorBidi"/>
          <w:szCs w:val="24"/>
          <w:lang w:val="en-US"/>
        </w:rPr>
      </w:pPr>
      <w:r w:rsidRPr="00BF0952">
        <w:rPr>
          <w:rFonts w:cstheme="minorBidi"/>
          <w:szCs w:val="24"/>
          <w:lang w:val="en-US"/>
        </w:rPr>
        <w:t xml:space="preserve">The results are presented in. </w:t>
      </w:r>
      <w:r w:rsidR="004E0BF2" w:rsidRPr="00BF0952">
        <w:rPr>
          <w:rFonts w:cstheme="minorBidi"/>
          <w:szCs w:val="24"/>
          <w:lang w:val="en-US"/>
        </w:rPr>
        <w:fldChar w:fldCharType="begin"/>
      </w:r>
      <w:r w:rsidR="004E0BF2" w:rsidRPr="00BF0952">
        <w:rPr>
          <w:rFonts w:cstheme="minorBidi"/>
          <w:szCs w:val="24"/>
          <w:lang w:val="en-US"/>
        </w:rPr>
        <w:instrText xml:space="preserve"> REF _Ref361079047 \h  \* MERGEFORMAT </w:instrText>
      </w:r>
      <w:r w:rsidR="004E0BF2" w:rsidRPr="00BF0952">
        <w:rPr>
          <w:rFonts w:cstheme="minorBidi"/>
          <w:szCs w:val="24"/>
          <w:lang w:val="en-US"/>
        </w:rPr>
      </w:r>
      <w:r w:rsidR="004E0BF2" w:rsidRPr="00BF0952">
        <w:rPr>
          <w:rFonts w:cstheme="minorBidi"/>
          <w:szCs w:val="24"/>
          <w:lang w:val="en-US"/>
        </w:rPr>
        <w:fldChar w:fldCharType="separate"/>
      </w:r>
      <w:r w:rsidR="00374B77" w:rsidRPr="00374B77">
        <w:rPr>
          <w:rFonts w:cstheme="minorBidi"/>
          <w:szCs w:val="24"/>
        </w:rPr>
        <w:t xml:space="preserve">Table </w:t>
      </w:r>
      <w:r w:rsidR="00374B77" w:rsidRPr="00374B77">
        <w:rPr>
          <w:rFonts w:cstheme="minorBidi"/>
          <w:noProof/>
          <w:szCs w:val="24"/>
          <w:cs/>
        </w:rPr>
        <w:t>‎</w:t>
      </w:r>
      <w:r w:rsidR="00374B77">
        <w:rPr>
          <w:rFonts w:ascii="Arial" w:hAnsi="Arial" w:cs="Arial"/>
          <w:b/>
          <w:noProof/>
          <w:sz w:val="20"/>
          <w:szCs w:val="20"/>
        </w:rPr>
        <w:t>0.7</w:t>
      </w:r>
      <w:r w:rsidR="004E0BF2" w:rsidRPr="00BF0952">
        <w:rPr>
          <w:rFonts w:cstheme="minorBidi"/>
          <w:szCs w:val="24"/>
          <w:lang w:val="en-US"/>
        </w:rPr>
        <w:fldChar w:fldCharType="end"/>
      </w:r>
      <w:r w:rsidR="004E0BF2" w:rsidRPr="00BF0952">
        <w:rPr>
          <w:rFonts w:cstheme="minorBidi"/>
          <w:szCs w:val="24"/>
          <w:lang w:val="en-US"/>
        </w:rPr>
        <w:t xml:space="preserve"> </w:t>
      </w:r>
      <w:r w:rsidR="00AE1540" w:rsidRPr="00BF0952">
        <w:rPr>
          <w:rFonts w:cstheme="minorBidi"/>
          <w:szCs w:val="24"/>
          <w:lang w:val="en-US"/>
        </w:rPr>
        <w:t xml:space="preserve">and </w:t>
      </w:r>
      <w:r w:rsidR="00F14615" w:rsidRPr="00BF0952">
        <w:rPr>
          <w:rFonts w:cstheme="minorBidi"/>
          <w:szCs w:val="24"/>
          <w:lang w:val="en-US"/>
        </w:rPr>
        <w:fldChar w:fldCharType="begin"/>
      </w:r>
      <w:r w:rsidR="00F14615" w:rsidRPr="00BF0952">
        <w:rPr>
          <w:rFonts w:cstheme="minorBidi"/>
          <w:szCs w:val="24"/>
          <w:lang w:val="en-US"/>
        </w:rPr>
        <w:instrText xml:space="preserve"> REF _Ref360440573 \h </w:instrText>
      </w:r>
      <w:r w:rsidR="00CF61BF" w:rsidRPr="00BF0952">
        <w:rPr>
          <w:rFonts w:cstheme="minorBidi"/>
          <w:szCs w:val="24"/>
          <w:lang w:val="en-US"/>
        </w:rPr>
        <w:instrText xml:space="preserve"> \* MERGEFORMAT </w:instrText>
      </w:r>
      <w:r w:rsidR="00F14615" w:rsidRPr="00BF0952">
        <w:rPr>
          <w:rFonts w:cstheme="minorBidi"/>
          <w:szCs w:val="24"/>
          <w:lang w:val="en-US"/>
        </w:rPr>
      </w:r>
      <w:r w:rsidR="00F14615" w:rsidRPr="00BF0952">
        <w:rPr>
          <w:rFonts w:cstheme="minorBidi"/>
          <w:szCs w:val="24"/>
          <w:lang w:val="en-US"/>
        </w:rPr>
        <w:fldChar w:fldCharType="separate"/>
      </w:r>
    </w:p>
    <w:p w:rsidR="00AE1540" w:rsidRPr="00BF0952" w:rsidRDefault="00374B77" w:rsidP="00BF0952">
      <w:pPr>
        <w:spacing w:line="480" w:lineRule="auto"/>
        <w:jc w:val="both"/>
        <w:rPr>
          <w:rFonts w:cstheme="minorBidi"/>
          <w:szCs w:val="24"/>
          <w:lang w:val="en-US"/>
        </w:rPr>
      </w:pPr>
      <w:r w:rsidRPr="00374B77">
        <w:rPr>
          <w:rFonts w:cstheme="minorBidi"/>
          <w:szCs w:val="24"/>
          <w:lang w:val="en-US"/>
        </w:rPr>
        <w:t xml:space="preserve">Figure </w:t>
      </w:r>
      <w:r w:rsidRPr="00374B77">
        <w:rPr>
          <w:rFonts w:cstheme="minorBidi"/>
          <w:noProof/>
          <w:szCs w:val="24"/>
          <w:cs/>
        </w:rPr>
        <w:t>‎</w:t>
      </w:r>
      <w:r>
        <w:rPr>
          <w:rFonts w:cstheme="minorBidi"/>
          <w:b/>
          <w:bCs/>
          <w:noProof/>
          <w:sz w:val="20"/>
          <w:szCs w:val="20"/>
        </w:rPr>
        <w:t>0.11</w:t>
      </w:r>
      <w:r w:rsidR="00F14615" w:rsidRPr="00BF0952">
        <w:rPr>
          <w:rFonts w:cstheme="minorBidi"/>
          <w:szCs w:val="24"/>
          <w:lang w:val="en-US"/>
        </w:rPr>
        <w:fldChar w:fldCharType="end"/>
      </w:r>
      <w:r w:rsidR="004E0BF2" w:rsidRPr="00BF0952">
        <w:rPr>
          <w:rFonts w:cstheme="minorBidi"/>
          <w:szCs w:val="24"/>
          <w:lang w:val="en-US"/>
        </w:rPr>
        <w:t xml:space="preserve">. </w:t>
      </w:r>
      <w:r w:rsidR="00AE1540" w:rsidRPr="00BF0952">
        <w:rPr>
          <w:rFonts w:cstheme="minorBidi"/>
          <w:szCs w:val="24"/>
          <w:lang w:val="en-US"/>
        </w:rPr>
        <w:t xml:space="preserve">The highest mean hardness was 0.53 </w:t>
      </w:r>
      <w:proofErr w:type="gramStart"/>
      <w:r w:rsidR="00AE1540" w:rsidRPr="00BF0952">
        <w:rPr>
          <w:rFonts w:cstheme="minorBidi"/>
          <w:szCs w:val="24"/>
          <w:lang w:val="en-US"/>
        </w:rPr>
        <w:t>GPa</w:t>
      </w:r>
      <w:proofErr w:type="gramEnd"/>
      <w:r w:rsidR="00AE1540" w:rsidRPr="00BF0952">
        <w:rPr>
          <w:rFonts w:cstheme="minorBidi"/>
          <w:szCs w:val="24"/>
          <w:lang w:val="en-US"/>
        </w:rPr>
        <w:t xml:space="preserve"> for control slabs followed by the mean hardness value of the NSCH which was 0.16 GPa, and the lowest value was 0.13 for MTA slabs. There was a significant difference in the hardness of dentine of the experimental groups and the control group after eight months of calcium hydroxide and mineral trioxide aggregate application (p&lt;0.00).  </w:t>
      </w:r>
    </w:p>
    <w:p w:rsidR="00BF0952" w:rsidRDefault="00AE1540" w:rsidP="00AE1540">
      <w:pPr>
        <w:spacing w:line="480" w:lineRule="auto"/>
        <w:jc w:val="both"/>
        <w:rPr>
          <w:rFonts w:cstheme="minorBidi"/>
          <w:szCs w:val="24"/>
          <w:lang w:val="en-US"/>
        </w:rPr>
      </w:pPr>
      <w:r w:rsidRPr="00AE1540">
        <w:rPr>
          <w:rFonts w:cstheme="minorBidi"/>
          <w:szCs w:val="24"/>
          <w:lang w:val="en-US"/>
        </w:rPr>
        <w:t>The results showed a statistical significant difference between both experimental groups compared with the control group. Although the mean value for the hardness of the MTA group was lower than for the NSCH group, this was not statistically significant</w:t>
      </w:r>
      <w:r w:rsidR="00A077E8" w:rsidRPr="00A077E8">
        <w:rPr>
          <w:rFonts w:cstheme="minorBidi"/>
          <w:szCs w:val="24"/>
          <w:lang w:val="en-US"/>
        </w:rPr>
        <w:t xml:space="preserve">. </w:t>
      </w:r>
    </w:p>
    <w:p w:rsidR="00B354AA" w:rsidRPr="004F5D7E" w:rsidRDefault="00B354AA" w:rsidP="00AE1540">
      <w:pPr>
        <w:spacing w:line="480" w:lineRule="auto"/>
        <w:jc w:val="both"/>
        <w:rPr>
          <w:rFonts w:cstheme="minorBidi"/>
          <w:szCs w:val="24"/>
          <w:lang w:val="en-US"/>
        </w:rPr>
      </w:pPr>
      <w:r w:rsidRPr="00B013ED">
        <w:rPr>
          <w:rFonts w:cstheme="minorBidi"/>
          <w:sz w:val="20"/>
          <w:szCs w:val="20"/>
          <w:lang w:val="en-US"/>
        </w:rPr>
        <w:br w:type="page"/>
      </w:r>
    </w:p>
    <w:p w:rsidR="005D2722" w:rsidRPr="001E57CD" w:rsidRDefault="005D2722" w:rsidP="00AE1540">
      <w:pPr>
        <w:rPr>
          <w:rFonts w:ascii="Arial" w:hAnsi="Arial" w:cs="Arial"/>
          <w:b/>
          <w:sz w:val="20"/>
          <w:szCs w:val="20"/>
        </w:rPr>
      </w:pPr>
      <w:bookmarkStart w:id="350" w:name="_Ref361079047"/>
      <w:bookmarkStart w:id="351" w:name="_Toc370511733"/>
      <w:proofErr w:type="gramStart"/>
      <w:r w:rsidRPr="001E57CD">
        <w:rPr>
          <w:rFonts w:ascii="Arial" w:hAnsi="Arial" w:cs="Arial"/>
          <w:b/>
          <w:sz w:val="20"/>
          <w:szCs w:val="20"/>
        </w:rPr>
        <w:lastRenderedPageBreak/>
        <w:t xml:space="preserve">Table </w:t>
      </w:r>
      <w:r w:rsidR="00E7089D">
        <w:rPr>
          <w:rFonts w:ascii="Arial" w:hAnsi="Arial" w:cs="Arial"/>
          <w:b/>
          <w:sz w:val="20"/>
          <w:szCs w:val="20"/>
        </w:rPr>
        <w:fldChar w:fldCharType="begin"/>
      </w:r>
      <w:r w:rsidR="00E7089D">
        <w:rPr>
          <w:rFonts w:ascii="Arial" w:hAnsi="Arial" w:cs="Arial"/>
          <w:b/>
          <w:sz w:val="20"/>
          <w:szCs w:val="20"/>
        </w:rPr>
        <w:instrText xml:space="preserve"> STYLEREF 1 \s </w:instrText>
      </w:r>
      <w:r w:rsidR="00E7089D">
        <w:rPr>
          <w:rFonts w:ascii="Arial" w:hAnsi="Arial" w:cs="Arial"/>
          <w:b/>
          <w:sz w:val="20"/>
          <w:szCs w:val="20"/>
        </w:rPr>
        <w:fldChar w:fldCharType="separate"/>
      </w:r>
      <w:r w:rsidR="00374B77">
        <w:rPr>
          <w:rFonts w:ascii="Arial" w:hAnsi="Arial" w:cs="Arial"/>
          <w:b/>
          <w:noProof/>
          <w:sz w:val="20"/>
          <w:szCs w:val="20"/>
          <w:cs/>
        </w:rPr>
        <w:t>‎</w:t>
      </w:r>
      <w:r w:rsidR="00374B77">
        <w:rPr>
          <w:rFonts w:ascii="Arial" w:hAnsi="Arial" w:cs="Arial"/>
          <w:b/>
          <w:noProof/>
          <w:sz w:val="20"/>
          <w:szCs w:val="20"/>
        </w:rPr>
        <w:t>0</w:t>
      </w:r>
      <w:r w:rsidR="00E7089D">
        <w:rPr>
          <w:rFonts w:ascii="Arial" w:hAnsi="Arial" w:cs="Arial"/>
          <w:b/>
          <w:sz w:val="20"/>
          <w:szCs w:val="20"/>
        </w:rPr>
        <w:fldChar w:fldCharType="end"/>
      </w:r>
      <w:r w:rsidR="00E7089D">
        <w:rPr>
          <w:rFonts w:ascii="Arial" w:hAnsi="Arial" w:cs="Arial"/>
          <w:b/>
          <w:sz w:val="20"/>
          <w:szCs w:val="20"/>
        </w:rPr>
        <w:t>.</w:t>
      </w:r>
      <w:proofErr w:type="gramEnd"/>
      <w:r w:rsidR="00E7089D">
        <w:rPr>
          <w:rFonts w:ascii="Arial" w:hAnsi="Arial" w:cs="Arial"/>
          <w:b/>
          <w:sz w:val="20"/>
          <w:szCs w:val="20"/>
        </w:rPr>
        <w:fldChar w:fldCharType="begin"/>
      </w:r>
      <w:r w:rsidR="00E7089D">
        <w:rPr>
          <w:rFonts w:ascii="Arial" w:hAnsi="Arial" w:cs="Arial"/>
          <w:b/>
          <w:sz w:val="20"/>
          <w:szCs w:val="20"/>
        </w:rPr>
        <w:instrText xml:space="preserve"> SEQ Table \* ARABIC \s 1 </w:instrText>
      </w:r>
      <w:r w:rsidR="00E7089D">
        <w:rPr>
          <w:rFonts w:ascii="Arial" w:hAnsi="Arial" w:cs="Arial"/>
          <w:b/>
          <w:sz w:val="20"/>
          <w:szCs w:val="20"/>
        </w:rPr>
        <w:fldChar w:fldCharType="separate"/>
      </w:r>
      <w:r w:rsidR="00374B77">
        <w:rPr>
          <w:rFonts w:ascii="Arial" w:hAnsi="Arial" w:cs="Arial"/>
          <w:b/>
          <w:noProof/>
          <w:sz w:val="20"/>
          <w:szCs w:val="20"/>
        </w:rPr>
        <w:t>7</w:t>
      </w:r>
      <w:r w:rsidR="00E7089D">
        <w:rPr>
          <w:rFonts w:ascii="Arial" w:hAnsi="Arial" w:cs="Arial"/>
          <w:b/>
          <w:sz w:val="20"/>
          <w:szCs w:val="20"/>
        </w:rPr>
        <w:fldChar w:fldCharType="end"/>
      </w:r>
      <w:bookmarkEnd w:id="350"/>
      <w:r w:rsidRPr="00AE1540">
        <w:rPr>
          <w:rFonts w:ascii="Arial" w:hAnsi="Arial" w:cs="Arial"/>
          <w:b/>
          <w:sz w:val="20"/>
          <w:szCs w:val="20"/>
        </w:rPr>
        <w:t xml:space="preserve"> </w:t>
      </w:r>
      <w:r w:rsidR="00AE1540" w:rsidRPr="00AE1540">
        <w:rPr>
          <w:b/>
          <w:sz w:val="20"/>
          <w:szCs w:val="20"/>
        </w:rPr>
        <w:t>Hardness of dentine slabs as evaluated with nano-indentation after eight months of application of NSCH and MTA compared with control slabs.</w:t>
      </w:r>
      <w:bookmarkEnd w:id="351"/>
    </w:p>
    <w:tbl>
      <w:tblPr>
        <w:tblStyle w:val="TableGrid"/>
        <w:tblW w:w="0" w:type="auto"/>
        <w:jc w:val="center"/>
        <w:tblLook w:val="04A0" w:firstRow="1" w:lastRow="0" w:firstColumn="1" w:lastColumn="0" w:noHBand="0" w:noVBand="1"/>
      </w:tblPr>
      <w:tblGrid>
        <w:gridCol w:w="2127"/>
        <w:gridCol w:w="2148"/>
        <w:gridCol w:w="2143"/>
        <w:gridCol w:w="2138"/>
      </w:tblGrid>
      <w:tr w:rsidR="00FA7186" w:rsidRPr="00271A47" w:rsidTr="00271A47">
        <w:trPr>
          <w:trHeight w:val="505"/>
          <w:jc w:val="center"/>
        </w:trPr>
        <w:tc>
          <w:tcPr>
            <w:tcW w:w="2177" w:type="dxa"/>
            <w:shd w:val="clear" w:color="auto" w:fill="17365D" w:themeFill="text2" w:themeFillShade="BF"/>
            <w:vAlign w:val="center"/>
          </w:tcPr>
          <w:p w:rsidR="00FA7186" w:rsidRPr="00271A47" w:rsidRDefault="00FA7186" w:rsidP="00D95E32">
            <w:pPr>
              <w:jc w:val="center"/>
              <w:rPr>
                <w:rFonts w:cstheme="minorBidi"/>
                <w:b/>
                <w:bCs/>
                <w:sz w:val="20"/>
              </w:rPr>
            </w:pPr>
            <w:r w:rsidRPr="00271A47">
              <w:rPr>
                <w:rFonts w:cstheme="minorBidi"/>
                <w:b/>
                <w:bCs/>
                <w:sz w:val="20"/>
              </w:rPr>
              <w:t>Slab</w:t>
            </w:r>
          </w:p>
        </w:tc>
        <w:tc>
          <w:tcPr>
            <w:tcW w:w="2177" w:type="dxa"/>
            <w:shd w:val="clear" w:color="auto" w:fill="17365D" w:themeFill="text2" w:themeFillShade="BF"/>
            <w:vAlign w:val="center"/>
          </w:tcPr>
          <w:p w:rsidR="00FA7186" w:rsidRPr="00271A47" w:rsidRDefault="00FA7186" w:rsidP="00D95E32">
            <w:pPr>
              <w:jc w:val="center"/>
              <w:rPr>
                <w:rFonts w:cstheme="minorBidi"/>
                <w:b/>
                <w:bCs/>
                <w:sz w:val="20"/>
              </w:rPr>
            </w:pPr>
            <w:r w:rsidRPr="00271A47">
              <w:rPr>
                <w:rFonts w:cstheme="minorBidi"/>
                <w:b/>
                <w:bCs/>
                <w:sz w:val="20"/>
              </w:rPr>
              <w:t>Control(Gpa)</w:t>
            </w:r>
          </w:p>
        </w:tc>
        <w:tc>
          <w:tcPr>
            <w:tcW w:w="2177" w:type="dxa"/>
            <w:shd w:val="clear" w:color="auto" w:fill="17365D" w:themeFill="text2" w:themeFillShade="BF"/>
            <w:vAlign w:val="center"/>
          </w:tcPr>
          <w:p w:rsidR="00FA7186" w:rsidRPr="00271A47" w:rsidRDefault="00FA7186" w:rsidP="00D95E32">
            <w:pPr>
              <w:jc w:val="center"/>
              <w:rPr>
                <w:rFonts w:cstheme="minorBidi"/>
                <w:b/>
                <w:bCs/>
                <w:sz w:val="20"/>
              </w:rPr>
            </w:pPr>
            <w:r w:rsidRPr="00271A47">
              <w:rPr>
                <w:rFonts w:cstheme="minorBidi"/>
                <w:b/>
                <w:bCs/>
                <w:sz w:val="20"/>
              </w:rPr>
              <w:t>NSCH(Gpa)</w:t>
            </w:r>
          </w:p>
        </w:tc>
        <w:tc>
          <w:tcPr>
            <w:tcW w:w="2177" w:type="dxa"/>
            <w:shd w:val="clear" w:color="auto" w:fill="17365D" w:themeFill="text2" w:themeFillShade="BF"/>
            <w:vAlign w:val="center"/>
          </w:tcPr>
          <w:p w:rsidR="00FA7186" w:rsidRPr="00271A47" w:rsidRDefault="00FA7186" w:rsidP="00D95E32">
            <w:pPr>
              <w:jc w:val="center"/>
              <w:rPr>
                <w:rFonts w:cstheme="minorBidi"/>
                <w:b/>
                <w:bCs/>
                <w:sz w:val="20"/>
              </w:rPr>
            </w:pPr>
            <w:r w:rsidRPr="00271A47">
              <w:rPr>
                <w:rFonts w:cstheme="minorBidi"/>
                <w:b/>
                <w:bCs/>
                <w:sz w:val="20"/>
              </w:rPr>
              <w:t>MTA(Gpa)</w:t>
            </w:r>
          </w:p>
        </w:tc>
      </w:tr>
      <w:tr w:rsidR="00FA7186" w:rsidRPr="00271A47" w:rsidTr="004A2211">
        <w:trPr>
          <w:trHeight w:val="470"/>
          <w:jc w:val="center"/>
        </w:trPr>
        <w:tc>
          <w:tcPr>
            <w:tcW w:w="2177" w:type="dxa"/>
            <w:shd w:val="clear" w:color="auto" w:fill="F2F2F2" w:themeFill="background1" w:themeFillShade="F2"/>
            <w:vAlign w:val="center"/>
          </w:tcPr>
          <w:p w:rsidR="00FA7186" w:rsidRPr="00271A47" w:rsidRDefault="00FA7186" w:rsidP="00D95E32">
            <w:pPr>
              <w:jc w:val="center"/>
              <w:rPr>
                <w:rFonts w:cstheme="minorBidi"/>
                <w:b/>
                <w:bCs/>
                <w:sz w:val="20"/>
              </w:rPr>
            </w:pPr>
            <w:r w:rsidRPr="00271A47">
              <w:rPr>
                <w:rFonts w:cstheme="minorBidi"/>
                <w:b/>
                <w:bCs/>
                <w:sz w:val="20"/>
              </w:rPr>
              <w:t>1</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0.7</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0.2</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0.15</w:t>
            </w:r>
          </w:p>
        </w:tc>
      </w:tr>
      <w:tr w:rsidR="00FA7186" w:rsidRPr="00271A47" w:rsidTr="004A2211">
        <w:trPr>
          <w:trHeight w:val="470"/>
          <w:jc w:val="center"/>
        </w:trPr>
        <w:tc>
          <w:tcPr>
            <w:tcW w:w="2177" w:type="dxa"/>
            <w:shd w:val="clear" w:color="auto" w:fill="F2F2F2" w:themeFill="background1" w:themeFillShade="F2"/>
            <w:vAlign w:val="center"/>
          </w:tcPr>
          <w:p w:rsidR="00FA7186" w:rsidRPr="00271A47" w:rsidRDefault="00FA7186" w:rsidP="00D95E32">
            <w:pPr>
              <w:jc w:val="center"/>
              <w:rPr>
                <w:rFonts w:cstheme="minorBidi"/>
                <w:b/>
                <w:bCs/>
                <w:sz w:val="20"/>
              </w:rPr>
            </w:pPr>
            <w:r w:rsidRPr="00271A47">
              <w:rPr>
                <w:rFonts w:cstheme="minorBidi"/>
                <w:b/>
                <w:bCs/>
                <w:sz w:val="20"/>
              </w:rPr>
              <w:t>2</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0.5</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0.11</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0.16</w:t>
            </w:r>
          </w:p>
        </w:tc>
      </w:tr>
      <w:tr w:rsidR="00FA7186" w:rsidRPr="00271A47" w:rsidTr="004A2211">
        <w:trPr>
          <w:trHeight w:val="482"/>
          <w:jc w:val="center"/>
        </w:trPr>
        <w:tc>
          <w:tcPr>
            <w:tcW w:w="2177" w:type="dxa"/>
            <w:shd w:val="clear" w:color="auto" w:fill="F2F2F2" w:themeFill="background1" w:themeFillShade="F2"/>
            <w:vAlign w:val="center"/>
          </w:tcPr>
          <w:p w:rsidR="00FA7186" w:rsidRPr="00271A47" w:rsidRDefault="00FA7186" w:rsidP="00D95E32">
            <w:pPr>
              <w:jc w:val="center"/>
              <w:rPr>
                <w:rFonts w:cstheme="minorBidi"/>
                <w:b/>
                <w:bCs/>
                <w:sz w:val="20"/>
              </w:rPr>
            </w:pPr>
            <w:r w:rsidRPr="00271A47">
              <w:rPr>
                <w:rFonts w:cstheme="minorBidi"/>
                <w:b/>
                <w:bCs/>
                <w:sz w:val="20"/>
              </w:rPr>
              <w:t>3</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0.65</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0.12</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0.11</w:t>
            </w:r>
          </w:p>
        </w:tc>
      </w:tr>
      <w:tr w:rsidR="00FA7186" w:rsidRPr="00271A47" w:rsidTr="004A2211">
        <w:trPr>
          <w:trHeight w:val="470"/>
          <w:jc w:val="center"/>
        </w:trPr>
        <w:tc>
          <w:tcPr>
            <w:tcW w:w="2177" w:type="dxa"/>
            <w:shd w:val="clear" w:color="auto" w:fill="F2F2F2" w:themeFill="background1" w:themeFillShade="F2"/>
            <w:vAlign w:val="center"/>
          </w:tcPr>
          <w:p w:rsidR="00FA7186" w:rsidRPr="00271A47" w:rsidRDefault="00FA7186" w:rsidP="00D95E32">
            <w:pPr>
              <w:jc w:val="center"/>
              <w:rPr>
                <w:rFonts w:cstheme="minorBidi"/>
                <w:b/>
                <w:bCs/>
                <w:sz w:val="20"/>
              </w:rPr>
            </w:pPr>
            <w:r w:rsidRPr="00271A47">
              <w:rPr>
                <w:rFonts w:cstheme="minorBidi"/>
                <w:b/>
                <w:bCs/>
                <w:sz w:val="20"/>
              </w:rPr>
              <w:t>4</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0.61</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0.19</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0.2</w:t>
            </w:r>
          </w:p>
        </w:tc>
      </w:tr>
      <w:tr w:rsidR="00FA7186" w:rsidRPr="00271A47" w:rsidTr="004A2211">
        <w:trPr>
          <w:trHeight w:val="470"/>
          <w:jc w:val="center"/>
        </w:trPr>
        <w:tc>
          <w:tcPr>
            <w:tcW w:w="2177" w:type="dxa"/>
            <w:shd w:val="clear" w:color="auto" w:fill="F2F2F2" w:themeFill="background1" w:themeFillShade="F2"/>
            <w:vAlign w:val="center"/>
          </w:tcPr>
          <w:p w:rsidR="00FA7186" w:rsidRPr="00271A47" w:rsidRDefault="00FA7186" w:rsidP="00D95E32">
            <w:pPr>
              <w:jc w:val="center"/>
              <w:rPr>
                <w:rFonts w:cstheme="minorBidi"/>
                <w:b/>
                <w:bCs/>
                <w:sz w:val="20"/>
              </w:rPr>
            </w:pPr>
            <w:r w:rsidRPr="00271A47">
              <w:rPr>
                <w:rFonts w:cstheme="minorBidi"/>
                <w:b/>
                <w:bCs/>
                <w:sz w:val="20"/>
              </w:rPr>
              <w:t>5</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0.29</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0.12</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0.12</w:t>
            </w:r>
          </w:p>
        </w:tc>
      </w:tr>
      <w:tr w:rsidR="00FA7186" w:rsidRPr="00271A47" w:rsidTr="004A2211">
        <w:trPr>
          <w:trHeight w:val="470"/>
          <w:jc w:val="center"/>
        </w:trPr>
        <w:tc>
          <w:tcPr>
            <w:tcW w:w="2177" w:type="dxa"/>
            <w:shd w:val="clear" w:color="auto" w:fill="F2F2F2" w:themeFill="background1" w:themeFillShade="F2"/>
            <w:vAlign w:val="center"/>
          </w:tcPr>
          <w:p w:rsidR="00FA7186" w:rsidRPr="00271A47" w:rsidRDefault="00FA7186" w:rsidP="00D95E32">
            <w:pPr>
              <w:jc w:val="center"/>
              <w:rPr>
                <w:rFonts w:cstheme="minorBidi"/>
                <w:b/>
                <w:bCs/>
                <w:sz w:val="20"/>
              </w:rPr>
            </w:pPr>
            <w:r w:rsidRPr="00271A47">
              <w:rPr>
                <w:rFonts w:cstheme="minorBidi"/>
                <w:b/>
                <w:bCs/>
                <w:sz w:val="20"/>
              </w:rPr>
              <w:t>6</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0.37</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0.17</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w:t>
            </w:r>
          </w:p>
        </w:tc>
      </w:tr>
      <w:tr w:rsidR="00FA7186" w:rsidRPr="00271A47" w:rsidTr="004A2211">
        <w:trPr>
          <w:trHeight w:val="482"/>
          <w:jc w:val="center"/>
        </w:trPr>
        <w:tc>
          <w:tcPr>
            <w:tcW w:w="2177" w:type="dxa"/>
            <w:shd w:val="clear" w:color="auto" w:fill="F2F2F2" w:themeFill="background1" w:themeFillShade="F2"/>
            <w:vAlign w:val="center"/>
          </w:tcPr>
          <w:p w:rsidR="00FA7186" w:rsidRPr="00271A47" w:rsidRDefault="00FA7186" w:rsidP="00D95E32">
            <w:pPr>
              <w:jc w:val="center"/>
              <w:rPr>
                <w:rFonts w:cstheme="minorBidi"/>
                <w:b/>
                <w:bCs/>
                <w:sz w:val="20"/>
              </w:rPr>
            </w:pPr>
            <w:r w:rsidRPr="00271A47">
              <w:rPr>
                <w:rFonts w:cstheme="minorBidi"/>
                <w:b/>
                <w:bCs/>
                <w:sz w:val="20"/>
              </w:rPr>
              <w:t>7</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0.52</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0.17</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0.14</w:t>
            </w:r>
          </w:p>
        </w:tc>
      </w:tr>
      <w:tr w:rsidR="00FA7186" w:rsidRPr="00271A47" w:rsidTr="004A2211">
        <w:trPr>
          <w:trHeight w:val="470"/>
          <w:jc w:val="center"/>
        </w:trPr>
        <w:tc>
          <w:tcPr>
            <w:tcW w:w="2177" w:type="dxa"/>
            <w:shd w:val="clear" w:color="auto" w:fill="F2F2F2" w:themeFill="background1" w:themeFillShade="F2"/>
            <w:vAlign w:val="center"/>
          </w:tcPr>
          <w:p w:rsidR="00FA7186" w:rsidRPr="00271A47" w:rsidRDefault="00FA7186" w:rsidP="00D95E32">
            <w:pPr>
              <w:jc w:val="center"/>
              <w:rPr>
                <w:rFonts w:cstheme="minorBidi"/>
                <w:b/>
                <w:bCs/>
                <w:sz w:val="20"/>
              </w:rPr>
            </w:pPr>
            <w:r w:rsidRPr="00271A47">
              <w:rPr>
                <w:rFonts w:cstheme="minorBidi"/>
                <w:b/>
                <w:bCs/>
                <w:sz w:val="20"/>
              </w:rPr>
              <w:t>8</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0.67</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0.2</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0.12</w:t>
            </w:r>
          </w:p>
        </w:tc>
      </w:tr>
      <w:tr w:rsidR="00FA7186" w:rsidRPr="00271A47" w:rsidTr="004A2211">
        <w:trPr>
          <w:trHeight w:val="470"/>
          <w:jc w:val="center"/>
        </w:trPr>
        <w:tc>
          <w:tcPr>
            <w:tcW w:w="2177" w:type="dxa"/>
            <w:shd w:val="clear" w:color="auto" w:fill="F2F2F2" w:themeFill="background1" w:themeFillShade="F2"/>
            <w:vAlign w:val="center"/>
          </w:tcPr>
          <w:p w:rsidR="00FA7186" w:rsidRPr="00271A47" w:rsidRDefault="00FA7186" w:rsidP="00D95E32">
            <w:pPr>
              <w:jc w:val="center"/>
              <w:rPr>
                <w:rFonts w:cstheme="minorBidi"/>
                <w:b/>
                <w:bCs/>
                <w:sz w:val="20"/>
              </w:rPr>
            </w:pPr>
            <w:r w:rsidRPr="00271A47">
              <w:rPr>
                <w:rFonts w:cstheme="minorBidi"/>
                <w:b/>
                <w:bCs/>
                <w:sz w:val="20"/>
              </w:rPr>
              <w:t>9</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0.44</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0.17</w:t>
            </w:r>
          </w:p>
        </w:tc>
        <w:tc>
          <w:tcPr>
            <w:tcW w:w="2177" w:type="dxa"/>
            <w:shd w:val="clear" w:color="auto" w:fill="F2F2F2" w:themeFill="background1" w:themeFillShade="F2"/>
            <w:vAlign w:val="center"/>
          </w:tcPr>
          <w:p w:rsidR="00FA7186" w:rsidRPr="00271A47" w:rsidRDefault="00FA7186" w:rsidP="00D95E32">
            <w:pPr>
              <w:jc w:val="center"/>
              <w:rPr>
                <w:rFonts w:cstheme="minorBidi"/>
                <w:sz w:val="20"/>
              </w:rPr>
            </w:pPr>
            <w:r w:rsidRPr="00271A47">
              <w:rPr>
                <w:rFonts w:cstheme="minorBidi"/>
                <w:sz w:val="20"/>
              </w:rPr>
              <w:t>0.11</w:t>
            </w:r>
          </w:p>
        </w:tc>
      </w:tr>
      <w:tr w:rsidR="00FA7186" w:rsidRPr="00271A47" w:rsidTr="00271A47">
        <w:trPr>
          <w:trHeight w:val="482"/>
          <w:jc w:val="center"/>
        </w:trPr>
        <w:tc>
          <w:tcPr>
            <w:tcW w:w="2177" w:type="dxa"/>
            <w:shd w:val="clear" w:color="auto" w:fill="FDE9D9" w:themeFill="accent6" w:themeFillTint="33"/>
            <w:vAlign w:val="center"/>
          </w:tcPr>
          <w:p w:rsidR="00FA7186" w:rsidRPr="00271A47" w:rsidRDefault="00FA7186" w:rsidP="00D95E32">
            <w:pPr>
              <w:jc w:val="center"/>
              <w:rPr>
                <w:rFonts w:cstheme="minorBidi"/>
                <w:b/>
                <w:bCs/>
                <w:sz w:val="20"/>
              </w:rPr>
            </w:pPr>
            <w:r w:rsidRPr="00271A47">
              <w:rPr>
                <w:rFonts w:cstheme="minorBidi"/>
                <w:b/>
                <w:bCs/>
                <w:sz w:val="20"/>
              </w:rPr>
              <w:t>Mean</w:t>
            </w:r>
          </w:p>
        </w:tc>
        <w:tc>
          <w:tcPr>
            <w:tcW w:w="2177" w:type="dxa"/>
            <w:shd w:val="clear" w:color="auto" w:fill="FDE9D9" w:themeFill="accent6" w:themeFillTint="33"/>
            <w:vAlign w:val="center"/>
          </w:tcPr>
          <w:p w:rsidR="00FA7186" w:rsidRPr="00271A47" w:rsidRDefault="00FA7186" w:rsidP="00D95E32">
            <w:pPr>
              <w:jc w:val="center"/>
              <w:rPr>
                <w:rFonts w:cstheme="minorBidi"/>
                <w:b/>
                <w:bCs/>
                <w:sz w:val="20"/>
              </w:rPr>
            </w:pPr>
            <w:r w:rsidRPr="00271A47">
              <w:rPr>
                <w:rFonts w:cstheme="minorBidi"/>
                <w:b/>
                <w:bCs/>
                <w:sz w:val="20"/>
              </w:rPr>
              <w:t>0.53</w:t>
            </w:r>
          </w:p>
        </w:tc>
        <w:tc>
          <w:tcPr>
            <w:tcW w:w="2177" w:type="dxa"/>
            <w:shd w:val="clear" w:color="auto" w:fill="FDE9D9" w:themeFill="accent6" w:themeFillTint="33"/>
            <w:vAlign w:val="center"/>
          </w:tcPr>
          <w:p w:rsidR="00FA7186" w:rsidRPr="00271A47" w:rsidRDefault="00FA7186" w:rsidP="00D95E32">
            <w:pPr>
              <w:jc w:val="center"/>
              <w:rPr>
                <w:rFonts w:cstheme="minorBidi"/>
                <w:b/>
                <w:bCs/>
                <w:sz w:val="20"/>
              </w:rPr>
            </w:pPr>
            <w:r w:rsidRPr="00271A47">
              <w:rPr>
                <w:rFonts w:cstheme="minorBidi"/>
                <w:b/>
                <w:bCs/>
                <w:sz w:val="20"/>
              </w:rPr>
              <w:t>0.16</w:t>
            </w:r>
          </w:p>
        </w:tc>
        <w:tc>
          <w:tcPr>
            <w:tcW w:w="2177" w:type="dxa"/>
            <w:shd w:val="clear" w:color="auto" w:fill="FDE9D9" w:themeFill="accent6" w:themeFillTint="33"/>
            <w:vAlign w:val="center"/>
          </w:tcPr>
          <w:p w:rsidR="00FA7186" w:rsidRPr="00271A47" w:rsidRDefault="00FA7186" w:rsidP="00D95E32">
            <w:pPr>
              <w:jc w:val="center"/>
              <w:rPr>
                <w:rFonts w:cstheme="minorBidi"/>
                <w:b/>
                <w:bCs/>
                <w:sz w:val="20"/>
              </w:rPr>
            </w:pPr>
            <w:r w:rsidRPr="00271A47">
              <w:rPr>
                <w:rFonts w:cstheme="minorBidi"/>
                <w:b/>
                <w:bCs/>
                <w:sz w:val="20"/>
              </w:rPr>
              <w:t>0.13</w:t>
            </w:r>
          </w:p>
        </w:tc>
      </w:tr>
      <w:tr w:rsidR="00FA7186" w:rsidRPr="00271A47" w:rsidTr="00271A47">
        <w:trPr>
          <w:trHeight w:val="470"/>
          <w:jc w:val="center"/>
        </w:trPr>
        <w:tc>
          <w:tcPr>
            <w:tcW w:w="2177" w:type="dxa"/>
            <w:shd w:val="clear" w:color="auto" w:fill="FDE9D9" w:themeFill="accent6" w:themeFillTint="33"/>
            <w:vAlign w:val="center"/>
          </w:tcPr>
          <w:p w:rsidR="00FA7186" w:rsidRPr="00271A47" w:rsidRDefault="00FA7186" w:rsidP="00D95E32">
            <w:pPr>
              <w:jc w:val="center"/>
              <w:rPr>
                <w:rFonts w:cstheme="minorBidi"/>
                <w:b/>
                <w:bCs/>
                <w:sz w:val="20"/>
              </w:rPr>
            </w:pPr>
            <w:r w:rsidRPr="00271A47">
              <w:rPr>
                <w:rFonts w:cstheme="minorBidi"/>
                <w:b/>
                <w:bCs/>
                <w:sz w:val="20"/>
              </w:rPr>
              <w:t>Median</w:t>
            </w:r>
          </w:p>
        </w:tc>
        <w:tc>
          <w:tcPr>
            <w:tcW w:w="2177" w:type="dxa"/>
            <w:shd w:val="clear" w:color="auto" w:fill="FDE9D9" w:themeFill="accent6" w:themeFillTint="33"/>
            <w:vAlign w:val="center"/>
          </w:tcPr>
          <w:p w:rsidR="00FA7186" w:rsidRPr="00271A47" w:rsidRDefault="00FA7186" w:rsidP="00D95E32">
            <w:pPr>
              <w:jc w:val="center"/>
              <w:rPr>
                <w:rFonts w:cstheme="minorBidi"/>
                <w:b/>
                <w:bCs/>
                <w:sz w:val="20"/>
              </w:rPr>
            </w:pPr>
            <w:r w:rsidRPr="00271A47">
              <w:rPr>
                <w:rFonts w:cstheme="minorBidi"/>
                <w:b/>
                <w:bCs/>
                <w:sz w:val="20"/>
              </w:rPr>
              <w:t>0.57</w:t>
            </w:r>
          </w:p>
        </w:tc>
        <w:tc>
          <w:tcPr>
            <w:tcW w:w="2177" w:type="dxa"/>
            <w:shd w:val="clear" w:color="auto" w:fill="FDE9D9" w:themeFill="accent6" w:themeFillTint="33"/>
            <w:vAlign w:val="center"/>
          </w:tcPr>
          <w:p w:rsidR="00FA7186" w:rsidRPr="00271A47" w:rsidRDefault="00FA7186" w:rsidP="00D95E32">
            <w:pPr>
              <w:jc w:val="center"/>
              <w:rPr>
                <w:rFonts w:cstheme="minorBidi"/>
                <w:b/>
                <w:bCs/>
                <w:sz w:val="20"/>
              </w:rPr>
            </w:pPr>
            <w:r w:rsidRPr="00271A47">
              <w:rPr>
                <w:rFonts w:cstheme="minorBidi"/>
                <w:b/>
                <w:bCs/>
                <w:sz w:val="20"/>
              </w:rPr>
              <w:t>0.17</w:t>
            </w:r>
          </w:p>
        </w:tc>
        <w:tc>
          <w:tcPr>
            <w:tcW w:w="2177" w:type="dxa"/>
            <w:shd w:val="clear" w:color="auto" w:fill="FDE9D9" w:themeFill="accent6" w:themeFillTint="33"/>
            <w:vAlign w:val="center"/>
          </w:tcPr>
          <w:p w:rsidR="00FA7186" w:rsidRPr="00271A47" w:rsidRDefault="00FA7186" w:rsidP="00D95E32">
            <w:pPr>
              <w:jc w:val="center"/>
              <w:rPr>
                <w:rFonts w:cstheme="minorBidi"/>
                <w:b/>
                <w:bCs/>
                <w:sz w:val="20"/>
              </w:rPr>
            </w:pPr>
            <w:r w:rsidRPr="00271A47">
              <w:rPr>
                <w:rFonts w:cstheme="minorBidi"/>
                <w:b/>
                <w:bCs/>
                <w:sz w:val="20"/>
              </w:rPr>
              <w:t>0.13</w:t>
            </w:r>
          </w:p>
        </w:tc>
      </w:tr>
      <w:tr w:rsidR="00FA7186" w:rsidRPr="00271A47" w:rsidTr="00271A47">
        <w:trPr>
          <w:trHeight w:val="482"/>
          <w:jc w:val="center"/>
        </w:trPr>
        <w:tc>
          <w:tcPr>
            <w:tcW w:w="2177" w:type="dxa"/>
            <w:shd w:val="clear" w:color="auto" w:fill="FDE9D9" w:themeFill="accent6" w:themeFillTint="33"/>
            <w:vAlign w:val="center"/>
          </w:tcPr>
          <w:p w:rsidR="00FA7186" w:rsidRPr="00271A47" w:rsidRDefault="00FA7186" w:rsidP="00D95E32">
            <w:pPr>
              <w:jc w:val="center"/>
              <w:rPr>
                <w:rFonts w:cstheme="minorBidi"/>
                <w:b/>
                <w:bCs/>
                <w:sz w:val="20"/>
              </w:rPr>
            </w:pPr>
            <w:r w:rsidRPr="00271A47">
              <w:rPr>
                <w:rFonts w:cstheme="minorBidi"/>
                <w:b/>
                <w:bCs/>
                <w:sz w:val="20"/>
              </w:rPr>
              <w:t>SD</w:t>
            </w:r>
          </w:p>
        </w:tc>
        <w:tc>
          <w:tcPr>
            <w:tcW w:w="2177" w:type="dxa"/>
            <w:shd w:val="clear" w:color="auto" w:fill="FDE9D9" w:themeFill="accent6" w:themeFillTint="33"/>
            <w:vAlign w:val="center"/>
          </w:tcPr>
          <w:p w:rsidR="00FA7186" w:rsidRPr="00271A47" w:rsidRDefault="00FA7186" w:rsidP="00D95E32">
            <w:pPr>
              <w:jc w:val="center"/>
              <w:rPr>
                <w:rFonts w:cstheme="minorBidi"/>
                <w:b/>
                <w:bCs/>
                <w:sz w:val="20"/>
              </w:rPr>
            </w:pPr>
            <w:r w:rsidRPr="00271A47">
              <w:rPr>
                <w:rFonts w:cstheme="minorBidi"/>
                <w:b/>
                <w:bCs/>
                <w:sz w:val="20"/>
              </w:rPr>
              <w:t>0.18</w:t>
            </w:r>
          </w:p>
        </w:tc>
        <w:tc>
          <w:tcPr>
            <w:tcW w:w="2177" w:type="dxa"/>
            <w:shd w:val="clear" w:color="auto" w:fill="FDE9D9" w:themeFill="accent6" w:themeFillTint="33"/>
            <w:vAlign w:val="center"/>
          </w:tcPr>
          <w:p w:rsidR="00FA7186" w:rsidRPr="00271A47" w:rsidRDefault="00FA7186" w:rsidP="00D95E32">
            <w:pPr>
              <w:jc w:val="center"/>
              <w:rPr>
                <w:rFonts w:cstheme="minorBidi"/>
                <w:b/>
                <w:bCs/>
                <w:sz w:val="20"/>
              </w:rPr>
            </w:pPr>
            <w:r w:rsidRPr="00271A47">
              <w:rPr>
                <w:rFonts w:cstheme="minorBidi"/>
                <w:b/>
                <w:bCs/>
                <w:sz w:val="20"/>
              </w:rPr>
              <w:t>0.02</w:t>
            </w:r>
          </w:p>
        </w:tc>
        <w:tc>
          <w:tcPr>
            <w:tcW w:w="2177" w:type="dxa"/>
            <w:shd w:val="clear" w:color="auto" w:fill="FDE9D9" w:themeFill="accent6" w:themeFillTint="33"/>
            <w:vAlign w:val="center"/>
          </w:tcPr>
          <w:p w:rsidR="00FA7186" w:rsidRPr="00271A47" w:rsidRDefault="00FA7186" w:rsidP="00D95E32">
            <w:pPr>
              <w:jc w:val="center"/>
              <w:rPr>
                <w:rFonts w:cstheme="minorBidi"/>
                <w:b/>
                <w:bCs/>
                <w:sz w:val="20"/>
              </w:rPr>
            </w:pPr>
            <w:r w:rsidRPr="00271A47">
              <w:rPr>
                <w:rFonts w:cstheme="minorBidi"/>
                <w:b/>
                <w:bCs/>
                <w:sz w:val="20"/>
              </w:rPr>
              <w:t>0.03</w:t>
            </w:r>
          </w:p>
        </w:tc>
      </w:tr>
    </w:tbl>
    <w:p w:rsidR="00C10E6C" w:rsidRPr="00FA7186" w:rsidRDefault="00AE1540" w:rsidP="00C10E6C">
      <w:pPr>
        <w:spacing w:after="0" w:line="240" w:lineRule="auto"/>
        <w:rPr>
          <w:rFonts w:ascii="Arial" w:hAnsi="Arial" w:cs="Arial"/>
          <w:color w:val="000000"/>
          <w:sz w:val="22"/>
          <w:szCs w:val="22"/>
          <w:lang w:val="en-US"/>
        </w:rPr>
      </w:pPr>
      <w:r>
        <w:rPr>
          <w:rFonts w:ascii="Arial" w:hAnsi="Arial" w:cs="Arial"/>
          <w:b/>
          <w:bCs/>
          <w:color w:val="000000"/>
          <w:sz w:val="22"/>
          <w:szCs w:val="22"/>
        </w:rPr>
        <w:t>(</w:t>
      </w:r>
      <w:proofErr w:type="gramStart"/>
      <w:r w:rsidR="00C10E6C" w:rsidRPr="00FA7186">
        <w:rPr>
          <w:rFonts w:ascii="Arial" w:hAnsi="Arial" w:cs="Arial"/>
          <w:b/>
          <w:bCs/>
          <w:color w:val="000000"/>
          <w:sz w:val="22"/>
          <w:szCs w:val="22"/>
        </w:rPr>
        <w:t>Gpa</w:t>
      </w:r>
      <w:proofErr w:type="gramEnd"/>
      <w:r w:rsidR="00C10E6C" w:rsidRPr="00FA7186">
        <w:rPr>
          <w:rFonts w:ascii="Arial" w:hAnsi="Arial" w:cs="Arial"/>
          <w:b/>
          <w:bCs/>
          <w:color w:val="000000"/>
          <w:sz w:val="22"/>
          <w:szCs w:val="22"/>
        </w:rPr>
        <w:t>)</w:t>
      </w:r>
      <w:r>
        <w:rPr>
          <w:rFonts w:ascii="Arial" w:hAnsi="Arial" w:cs="Arial"/>
          <w:b/>
          <w:bCs/>
          <w:color w:val="000000"/>
          <w:sz w:val="22"/>
          <w:szCs w:val="22"/>
        </w:rPr>
        <w:t>=</w:t>
      </w:r>
      <w:r w:rsidR="00C10E6C" w:rsidRPr="00FA7186">
        <w:rPr>
          <w:rFonts w:ascii="Arial" w:hAnsi="Arial" w:cs="Arial"/>
          <w:b/>
          <w:bCs/>
          <w:color w:val="000000"/>
          <w:sz w:val="22"/>
          <w:szCs w:val="22"/>
        </w:rPr>
        <w:t xml:space="preserve"> </w:t>
      </w:r>
      <w:r w:rsidR="00C10E6C" w:rsidRPr="00FA7186">
        <w:rPr>
          <w:rFonts w:ascii="Arial" w:hAnsi="Arial" w:cs="Arial"/>
          <w:color w:val="000000"/>
          <w:sz w:val="22"/>
          <w:szCs w:val="22"/>
        </w:rPr>
        <w:t>is Giga Pascal.</w:t>
      </w:r>
    </w:p>
    <w:p w:rsidR="00271A47" w:rsidRDefault="00271A47" w:rsidP="00271A47">
      <w:pPr>
        <w:rPr>
          <w:rFonts w:ascii="Arial" w:eastAsia="Times New Roman" w:hAnsi="Arial" w:cs="Arial"/>
          <w:b/>
          <w:bCs/>
          <w:sz w:val="20"/>
          <w:szCs w:val="20"/>
          <w:lang w:val="en-US" w:eastAsia="zh-CN"/>
        </w:rPr>
      </w:pPr>
      <w:bookmarkStart w:id="352" w:name="_Ref360440573"/>
    </w:p>
    <w:p w:rsidR="008A1690" w:rsidRPr="00271A47" w:rsidRDefault="00C67C41" w:rsidP="00AE1540">
      <w:pPr>
        <w:rPr>
          <w:rFonts w:eastAsia="Times New Roman" w:cstheme="minorBidi"/>
          <w:b/>
          <w:bCs/>
          <w:sz w:val="20"/>
          <w:szCs w:val="20"/>
          <w:lang w:eastAsia="zh-CN"/>
        </w:rPr>
      </w:pPr>
      <w:bookmarkStart w:id="353" w:name="_Ref361612537"/>
      <w:bookmarkStart w:id="354" w:name="_Toc361733601"/>
      <w:bookmarkStart w:id="355" w:name="_Toc361734244"/>
      <w:r>
        <w:rPr>
          <w:rFonts w:cstheme="minorBidi"/>
          <w:b/>
          <w:bCs/>
          <w:sz w:val="20"/>
          <w:szCs w:val="20"/>
        </w:rPr>
        <w:t>Figure</w:t>
      </w:r>
      <w:r w:rsidR="00F14615" w:rsidRPr="00271A47">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0</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11</w:t>
      </w:r>
      <w:r w:rsidR="00DF37B0">
        <w:rPr>
          <w:rFonts w:cstheme="minorBidi"/>
          <w:b/>
          <w:bCs/>
          <w:sz w:val="20"/>
          <w:szCs w:val="20"/>
        </w:rPr>
        <w:fldChar w:fldCharType="end"/>
      </w:r>
      <w:bookmarkEnd w:id="352"/>
      <w:bookmarkEnd w:id="353"/>
      <w:r w:rsidR="00F14615" w:rsidRPr="00271A47">
        <w:rPr>
          <w:rFonts w:cstheme="minorBidi"/>
          <w:b/>
          <w:bCs/>
          <w:sz w:val="20"/>
          <w:szCs w:val="20"/>
        </w:rPr>
        <w:t xml:space="preserve"> </w:t>
      </w:r>
      <w:r w:rsidR="00AE1540" w:rsidRPr="00AE1540">
        <w:rPr>
          <w:rFonts w:eastAsia="Calibri" w:cstheme="minorBidi"/>
          <w:b/>
          <w:bCs/>
          <w:color w:val="000000"/>
          <w:sz w:val="20"/>
          <w:szCs w:val="20"/>
        </w:rPr>
        <w:t>Whisker box plot</w:t>
      </w:r>
      <w:r w:rsidR="00AE1540" w:rsidRPr="00AE1540" w:rsidDel="00136555">
        <w:rPr>
          <w:rFonts w:eastAsia="Calibri" w:cstheme="minorBidi"/>
          <w:b/>
          <w:bCs/>
          <w:color w:val="000000"/>
          <w:sz w:val="20"/>
          <w:szCs w:val="20"/>
        </w:rPr>
        <w:t xml:space="preserve"> </w:t>
      </w:r>
      <w:r w:rsidR="00AE1540" w:rsidRPr="00AE1540">
        <w:rPr>
          <w:rFonts w:eastAsia="Calibri" w:cstheme="minorBidi"/>
          <w:b/>
          <w:bCs/>
          <w:color w:val="000000"/>
          <w:sz w:val="20"/>
          <w:szCs w:val="20"/>
        </w:rPr>
        <w:t>represents the effect of NSCH and MTA on dentine slabs hardness after eight months compared to control group.</w:t>
      </w:r>
      <w:bookmarkEnd w:id="354"/>
      <w:bookmarkEnd w:id="355"/>
    </w:p>
    <w:p w:rsidR="00C10E6C" w:rsidRPr="00B013ED" w:rsidRDefault="00271A47" w:rsidP="002F3F06">
      <w:pPr>
        <w:rPr>
          <w:b/>
          <w:bCs/>
          <w:lang w:val="en-US"/>
        </w:rPr>
      </w:pPr>
      <w:r w:rsidRPr="00B013ED">
        <w:rPr>
          <w:b/>
          <w:bCs/>
          <w:noProof/>
          <w:lang w:eastAsia="en-GB"/>
        </w:rPr>
        <w:drawing>
          <wp:anchor distT="0" distB="0" distL="114300" distR="114300" simplePos="0" relativeHeight="251663360" behindDoc="0" locked="0" layoutInCell="1" allowOverlap="1" wp14:anchorId="7928A855" wp14:editId="27CECD7A">
            <wp:simplePos x="0" y="0"/>
            <wp:positionH relativeFrom="column">
              <wp:posOffset>583565</wp:posOffset>
            </wp:positionH>
            <wp:positionV relativeFrom="paragraph">
              <wp:posOffset>19050</wp:posOffset>
            </wp:positionV>
            <wp:extent cx="4168140" cy="323977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68140"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3F06" w:rsidRPr="00B013ED" w:rsidRDefault="002F3F06" w:rsidP="002F3F06">
      <w:pPr>
        <w:rPr>
          <w:b/>
          <w:bCs/>
          <w:lang w:val="en-US"/>
        </w:rPr>
      </w:pPr>
    </w:p>
    <w:p w:rsidR="002F3F06" w:rsidRPr="00B013ED" w:rsidRDefault="002F3F06" w:rsidP="002F3F06">
      <w:pPr>
        <w:rPr>
          <w:b/>
          <w:bCs/>
        </w:rPr>
      </w:pPr>
    </w:p>
    <w:p w:rsidR="002F3F06" w:rsidRPr="00B013ED" w:rsidRDefault="002F3F06" w:rsidP="002F3F06">
      <w:pPr>
        <w:rPr>
          <w:b/>
          <w:bCs/>
        </w:rPr>
      </w:pPr>
    </w:p>
    <w:p w:rsidR="002F3F06" w:rsidRPr="00B013ED" w:rsidRDefault="002F3F06" w:rsidP="002F3F06">
      <w:pPr>
        <w:rPr>
          <w:b/>
          <w:bCs/>
        </w:rPr>
      </w:pPr>
    </w:p>
    <w:p w:rsidR="002F3F06" w:rsidRPr="00B013ED" w:rsidRDefault="002F3F06" w:rsidP="002F3F06">
      <w:pPr>
        <w:rPr>
          <w:b/>
          <w:bCs/>
          <w:lang w:val="en-US"/>
        </w:rPr>
      </w:pPr>
    </w:p>
    <w:p w:rsidR="002F3F06" w:rsidRPr="00B013ED" w:rsidRDefault="002F3F06" w:rsidP="002F3F06">
      <w:pPr>
        <w:rPr>
          <w:b/>
          <w:bCs/>
          <w:lang w:val="en-US"/>
        </w:rPr>
      </w:pPr>
    </w:p>
    <w:p w:rsidR="002F3F06" w:rsidRPr="00B013ED" w:rsidRDefault="002F3F06" w:rsidP="002F3F06">
      <w:pPr>
        <w:rPr>
          <w:b/>
          <w:bCs/>
          <w:lang w:val="en-US"/>
        </w:rPr>
      </w:pPr>
    </w:p>
    <w:p w:rsidR="0084209F" w:rsidRDefault="0084209F"/>
    <w:p w:rsidR="0084209F" w:rsidRDefault="0084209F"/>
    <w:p w:rsidR="004F5D7E" w:rsidRDefault="004F5D7E" w:rsidP="001D3F19"/>
    <w:p w:rsidR="004F5D7E" w:rsidRPr="001E57CD" w:rsidRDefault="004F5D7E" w:rsidP="001D3F19">
      <w:pPr>
        <w:rPr>
          <w:rFonts w:ascii="Arial" w:hAnsi="Arial" w:cs="Arial"/>
          <w:b/>
          <w:sz w:val="20"/>
          <w:szCs w:val="20"/>
        </w:rPr>
      </w:pPr>
      <w:bookmarkStart w:id="356" w:name="_Toc370511734"/>
      <w:proofErr w:type="gramStart"/>
      <w:r w:rsidRPr="001E57CD">
        <w:rPr>
          <w:rFonts w:ascii="Arial" w:hAnsi="Arial" w:cs="Arial"/>
          <w:b/>
          <w:sz w:val="20"/>
          <w:szCs w:val="20"/>
        </w:rPr>
        <w:lastRenderedPageBreak/>
        <w:t xml:space="preserve">Table </w:t>
      </w:r>
      <w:r w:rsidR="00E7089D">
        <w:rPr>
          <w:rFonts w:ascii="Arial" w:hAnsi="Arial" w:cs="Arial"/>
          <w:b/>
          <w:sz w:val="20"/>
          <w:szCs w:val="20"/>
        </w:rPr>
        <w:fldChar w:fldCharType="begin"/>
      </w:r>
      <w:r w:rsidR="00E7089D">
        <w:rPr>
          <w:rFonts w:ascii="Arial" w:hAnsi="Arial" w:cs="Arial"/>
          <w:b/>
          <w:sz w:val="20"/>
          <w:szCs w:val="20"/>
        </w:rPr>
        <w:instrText xml:space="preserve"> STYLEREF 1 \s </w:instrText>
      </w:r>
      <w:r w:rsidR="00E7089D">
        <w:rPr>
          <w:rFonts w:ascii="Arial" w:hAnsi="Arial" w:cs="Arial"/>
          <w:b/>
          <w:sz w:val="20"/>
          <w:szCs w:val="20"/>
        </w:rPr>
        <w:fldChar w:fldCharType="separate"/>
      </w:r>
      <w:r w:rsidR="00374B77">
        <w:rPr>
          <w:rFonts w:ascii="Arial" w:hAnsi="Arial" w:cs="Arial"/>
          <w:b/>
          <w:noProof/>
          <w:sz w:val="20"/>
          <w:szCs w:val="20"/>
          <w:cs/>
        </w:rPr>
        <w:t>‎</w:t>
      </w:r>
      <w:r w:rsidR="00374B77">
        <w:rPr>
          <w:rFonts w:ascii="Arial" w:hAnsi="Arial" w:cs="Arial"/>
          <w:b/>
          <w:noProof/>
          <w:sz w:val="20"/>
          <w:szCs w:val="20"/>
        </w:rPr>
        <w:t>0</w:t>
      </w:r>
      <w:r w:rsidR="00E7089D">
        <w:rPr>
          <w:rFonts w:ascii="Arial" w:hAnsi="Arial" w:cs="Arial"/>
          <w:b/>
          <w:sz w:val="20"/>
          <w:szCs w:val="20"/>
        </w:rPr>
        <w:fldChar w:fldCharType="end"/>
      </w:r>
      <w:r w:rsidR="00E7089D">
        <w:rPr>
          <w:rFonts w:ascii="Arial" w:hAnsi="Arial" w:cs="Arial"/>
          <w:b/>
          <w:sz w:val="20"/>
          <w:szCs w:val="20"/>
        </w:rPr>
        <w:t>.</w:t>
      </w:r>
      <w:proofErr w:type="gramEnd"/>
      <w:r w:rsidR="00E7089D">
        <w:rPr>
          <w:rFonts w:ascii="Arial" w:hAnsi="Arial" w:cs="Arial"/>
          <w:b/>
          <w:sz w:val="20"/>
          <w:szCs w:val="20"/>
        </w:rPr>
        <w:fldChar w:fldCharType="begin"/>
      </w:r>
      <w:r w:rsidR="00E7089D">
        <w:rPr>
          <w:rFonts w:ascii="Arial" w:hAnsi="Arial" w:cs="Arial"/>
          <w:b/>
          <w:sz w:val="20"/>
          <w:szCs w:val="20"/>
        </w:rPr>
        <w:instrText xml:space="preserve"> SEQ Table \* ARABIC \s 1 </w:instrText>
      </w:r>
      <w:r w:rsidR="00E7089D">
        <w:rPr>
          <w:rFonts w:ascii="Arial" w:hAnsi="Arial" w:cs="Arial"/>
          <w:b/>
          <w:sz w:val="20"/>
          <w:szCs w:val="20"/>
        </w:rPr>
        <w:fldChar w:fldCharType="separate"/>
      </w:r>
      <w:r w:rsidR="00374B77">
        <w:rPr>
          <w:rFonts w:ascii="Arial" w:hAnsi="Arial" w:cs="Arial"/>
          <w:b/>
          <w:noProof/>
          <w:sz w:val="20"/>
          <w:szCs w:val="20"/>
        </w:rPr>
        <w:t>8</w:t>
      </w:r>
      <w:r w:rsidR="00E7089D">
        <w:rPr>
          <w:rFonts w:ascii="Arial" w:hAnsi="Arial" w:cs="Arial"/>
          <w:b/>
          <w:sz w:val="20"/>
          <w:szCs w:val="20"/>
        </w:rPr>
        <w:fldChar w:fldCharType="end"/>
      </w:r>
      <w:r w:rsidRPr="001E57CD">
        <w:rPr>
          <w:rFonts w:ascii="Arial" w:hAnsi="Arial" w:cs="Arial"/>
          <w:b/>
          <w:sz w:val="20"/>
          <w:szCs w:val="20"/>
        </w:rPr>
        <w:t xml:space="preserve"> </w:t>
      </w:r>
      <w:r w:rsidR="009B4521" w:rsidRPr="009B4521">
        <w:rPr>
          <w:rFonts w:ascii="Arial" w:hAnsi="Arial" w:cs="Arial"/>
          <w:b/>
          <w:sz w:val="20"/>
          <w:szCs w:val="20"/>
        </w:rPr>
        <w:t>Statistical analysis of the harndness data after eight months for the experimental and control groups using non-parametric Mann-Whitney and Wilcoxon tests</w:t>
      </w:r>
      <w:bookmarkEnd w:id="356"/>
    </w:p>
    <w:tbl>
      <w:tblPr>
        <w:tblpPr w:leftFromText="180" w:rightFromText="180" w:vertAnchor="page" w:horzAnchor="margin" w:tblpY="3136"/>
        <w:tblW w:w="8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6"/>
        <w:gridCol w:w="582"/>
        <w:gridCol w:w="1447"/>
        <w:gridCol w:w="1734"/>
        <w:gridCol w:w="1850"/>
        <w:gridCol w:w="1219"/>
        <w:gridCol w:w="26"/>
      </w:tblGrid>
      <w:tr w:rsidR="007E0556" w:rsidTr="007E0556">
        <w:trPr>
          <w:gridAfter w:val="1"/>
          <w:wAfter w:w="26" w:type="dxa"/>
          <w:trHeight w:val="480"/>
        </w:trPr>
        <w:tc>
          <w:tcPr>
            <w:tcW w:w="8658" w:type="dxa"/>
            <w:gridSpan w:val="6"/>
          </w:tcPr>
          <w:p w:rsidR="007E0556" w:rsidRPr="007E0556" w:rsidRDefault="007E0556" w:rsidP="007E0556">
            <w:pPr>
              <w:suppressAutoHyphens/>
              <w:autoSpaceDN w:val="0"/>
              <w:jc w:val="center"/>
              <w:textAlignment w:val="baseline"/>
              <w:rPr>
                <w:rFonts w:ascii="Arial" w:eastAsia="Calibri" w:hAnsi="Arial" w:cs="Arial"/>
                <w:b/>
                <w:sz w:val="28"/>
              </w:rPr>
            </w:pPr>
            <w:r w:rsidRPr="007E0556">
              <w:rPr>
                <w:rFonts w:ascii="Arial" w:eastAsia="Calibri" w:hAnsi="Arial" w:cs="Arial"/>
                <w:b/>
                <w:sz w:val="28"/>
              </w:rPr>
              <w:t>Eight Months</w:t>
            </w:r>
          </w:p>
        </w:tc>
      </w:tr>
      <w:tr w:rsidR="0084209F" w:rsidRPr="0084209F" w:rsidTr="007E05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Treatment</w:t>
            </w:r>
          </w:p>
        </w:tc>
        <w:tc>
          <w:tcPr>
            <w:tcW w:w="582"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N</w:t>
            </w:r>
          </w:p>
        </w:tc>
        <w:tc>
          <w:tcPr>
            <w:tcW w:w="1447"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Mean Rank</w:t>
            </w:r>
          </w:p>
        </w:tc>
        <w:tc>
          <w:tcPr>
            <w:tcW w:w="1734"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Sum of Ranks</w:t>
            </w:r>
          </w:p>
        </w:tc>
        <w:tc>
          <w:tcPr>
            <w:tcW w:w="1850"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84209F" w:rsidRPr="0084209F" w:rsidRDefault="0084209F" w:rsidP="007E0556">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Stat -test</w:t>
            </w:r>
          </w:p>
        </w:tc>
        <w:tc>
          <w:tcPr>
            <w:tcW w:w="1219"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84209F" w:rsidRPr="0084209F" w:rsidRDefault="0084209F" w:rsidP="007E0556">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Hardness</w:t>
            </w:r>
          </w:p>
        </w:tc>
        <w:tc>
          <w:tcPr>
            <w:tcW w:w="26" w:type="dxa"/>
            <w:shd w:val="clear" w:color="auto" w:fill="auto"/>
            <w:tcMar>
              <w:top w:w="0" w:type="dxa"/>
              <w:left w:w="10" w:type="dxa"/>
              <w:bottom w:w="0" w:type="dxa"/>
              <w:right w:w="10" w:type="dxa"/>
            </w:tcMar>
            <w:vAlign w:val="center"/>
          </w:tcPr>
          <w:p w:rsidR="0084209F" w:rsidRPr="0084209F" w:rsidRDefault="0084209F" w:rsidP="007E0556">
            <w:pPr>
              <w:suppressAutoHyphens/>
              <w:autoSpaceDN w:val="0"/>
              <w:spacing w:after="0" w:line="240" w:lineRule="auto"/>
              <w:jc w:val="center"/>
              <w:rPr>
                <w:rFonts w:ascii="Arial" w:eastAsia="Calibri" w:hAnsi="Arial" w:cs="Arial"/>
                <w:b/>
                <w:sz w:val="20"/>
                <w:szCs w:val="20"/>
              </w:rPr>
            </w:pPr>
          </w:p>
        </w:tc>
      </w:tr>
      <w:tr w:rsidR="0084209F" w:rsidRPr="0084209F" w:rsidTr="007E05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33"/>
        </w:trPr>
        <w:tc>
          <w:tcPr>
            <w:tcW w:w="1826"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control gr</w:t>
            </w:r>
          </w:p>
        </w:tc>
        <w:tc>
          <w:tcPr>
            <w:tcW w:w="582"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14.00</w:t>
            </w:r>
          </w:p>
        </w:tc>
        <w:tc>
          <w:tcPr>
            <w:tcW w:w="1734"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126.00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Mann-Whitney U</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0.000</w:t>
            </w:r>
          </w:p>
        </w:tc>
      </w:tr>
      <w:tr w:rsidR="0084209F" w:rsidRPr="0084209F" w:rsidTr="007E05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NSCH gr</w:t>
            </w:r>
          </w:p>
        </w:tc>
        <w:tc>
          <w:tcPr>
            <w:tcW w:w="582"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5.00</w:t>
            </w:r>
          </w:p>
        </w:tc>
        <w:tc>
          <w:tcPr>
            <w:tcW w:w="1734"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45.00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Wilcoxon W</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45.000</w:t>
            </w:r>
          </w:p>
        </w:tc>
      </w:tr>
      <w:tr w:rsidR="0084209F" w:rsidRPr="0084209F" w:rsidTr="007E05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Total</w:t>
            </w:r>
          </w:p>
        </w:tc>
        <w:tc>
          <w:tcPr>
            <w:tcW w:w="582"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18</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p>
        </w:tc>
        <w:tc>
          <w:tcPr>
            <w:tcW w:w="185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84209F" w:rsidRPr="0084209F" w:rsidRDefault="0084209F" w:rsidP="007E0556">
            <w:pPr>
              <w:suppressAutoHyphens/>
              <w:autoSpaceDN w:val="0"/>
              <w:spacing w:after="0" w:line="240" w:lineRule="auto"/>
              <w:jc w:val="center"/>
              <w:rPr>
                <w:rFonts w:ascii="Arial" w:eastAsia="Calibri" w:hAnsi="Arial"/>
              </w:rPr>
            </w:pPr>
            <w:r w:rsidRPr="0084209F">
              <w:rPr>
                <w:rFonts w:ascii="Arial" w:eastAsia="SimSun" w:hAnsi="Arial" w:cs="Arial"/>
                <w:b/>
                <w:color w:val="000000"/>
                <w:sz w:val="20"/>
                <w:szCs w:val="20"/>
                <w:lang w:eastAsia="zh-CN"/>
              </w:rPr>
              <w:t>. Sig</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84209F" w:rsidRPr="0084209F" w:rsidRDefault="0084209F" w:rsidP="007E0556">
            <w:pPr>
              <w:suppressAutoHyphens/>
              <w:autoSpaceDN w:val="0"/>
              <w:spacing w:after="0" w:line="240" w:lineRule="auto"/>
              <w:jc w:val="center"/>
              <w:rPr>
                <w:rFonts w:ascii="Arial" w:eastAsia="Calibri" w:hAnsi="Arial"/>
              </w:rPr>
            </w:pPr>
            <w:r w:rsidRPr="0084209F">
              <w:rPr>
                <w:rFonts w:ascii="Arial" w:eastAsia="SimSun" w:hAnsi="Arial" w:cs="Arial"/>
                <w:b/>
                <w:color w:val="000000"/>
                <w:sz w:val="20"/>
                <w:szCs w:val="20"/>
                <w:lang w:eastAsia="zh-CN"/>
              </w:rPr>
              <w:t>0.000</w:t>
            </w:r>
          </w:p>
        </w:tc>
      </w:tr>
      <w:tr w:rsidR="0084209F" w:rsidRPr="0084209F" w:rsidTr="007E05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control gr</w:t>
            </w:r>
          </w:p>
        </w:tc>
        <w:tc>
          <w:tcPr>
            <w:tcW w:w="582"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13.56</w:t>
            </w:r>
          </w:p>
        </w:tc>
        <w:tc>
          <w:tcPr>
            <w:tcW w:w="1734"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122.00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Mann-Whitney U</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4.000</w:t>
            </w:r>
          </w:p>
        </w:tc>
      </w:tr>
      <w:tr w:rsidR="0084209F" w:rsidRPr="0084209F" w:rsidTr="007E05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MTA gr</w:t>
            </w:r>
          </w:p>
        </w:tc>
        <w:tc>
          <w:tcPr>
            <w:tcW w:w="582"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5.44</w:t>
            </w:r>
          </w:p>
        </w:tc>
        <w:tc>
          <w:tcPr>
            <w:tcW w:w="1734"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49.00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Wilcoxon W</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49.000</w:t>
            </w:r>
          </w:p>
        </w:tc>
      </w:tr>
      <w:tr w:rsidR="0084209F" w:rsidRPr="0084209F" w:rsidTr="007E05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Total</w:t>
            </w:r>
          </w:p>
        </w:tc>
        <w:tc>
          <w:tcPr>
            <w:tcW w:w="582"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18</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p>
        </w:tc>
        <w:tc>
          <w:tcPr>
            <w:tcW w:w="185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84209F" w:rsidRPr="0084209F" w:rsidRDefault="0084209F" w:rsidP="007E0556">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Sig</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84209F" w:rsidRPr="0084209F" w:rsidRDefault="0084209F" w:rsidP="007E0556">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0.001</w:t>
            </w:r>
          </w:p>
        </w:tc>
      </w:tr>
      <w:tr w:rsidR="0084209F" w:rsidRPr="0084209F" w:rsidTr="007E05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33"/>
        </w:trPr>
        <w:tc>
          <w:tcPr>
            <w:tcW w:w="1826"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NSCH gr</w:t>
            </w:r>
          </w:p>
        </w:tc>
        <w:tc>
          <w:tcPr>
            <w:tcW w:w="582"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rPr>
            </w:pPr>
            <w:r w:rsidRPr="0084209F">
              <w:rPr>
                <w:rFonts w:ascii="Arial" w:eastAsia="Calibri" w:hAnsi="Arial"/>
              </w:rPr>
              <w:t>11.56</w:t>
            </w:r>
          </w:p>
        </w:tc>
        <w:tc>
          <w:tcPr>
            <w:tcW w:w="1734"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rPr>
            </w:pPr>
            <w:r w:rsidRPr="0084209F">
              <w:rPr>
                <w:rFonts w:ascii="Arial" w:eastAsia="Calibri" w:hAnsi="Arial"/>
              </w:rPr>
              <w:t>104.00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Mann-Whitney U</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rPr>
            </w:pPr>
            <w:r w:rsidRPr="0084209F">
              <w:rPr>
                <w:rFonts w:ascii="Arial" w:eastAsia="Calibri" w:hAnsi="Arial"/>
              </w:rPr>
              <w:t>22.000</w:t>
            </w:r>
          </w:p>
        </w:tc>
      </w:tr>
      <w:tr w:rsidR="0084209F" w:rsidRPr="0084209F" w:rsidTr="007E05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826"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MTA gr</w:t>
            </w:r>
          </w:p>
        </w:tc>
        <w:tc>
          <w:tcPr>
            <w:tcW w:w="582"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1447"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rPr>
            </w:pPr>
            <w:r w:rsidRPr="0084209F">
              <w:rPr>
                <w:rFonts w:ascii="Arial" w:eastAsia="Calibri" w:hAnsi="Arial"/>
              </w:rPr>
              <w:t>7.44</w:t>
            </w:r>
          </w:p>
        </w:tc>
        <w:tc>
          <w:tcPr>
            <w:tcW w:w="1734"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rPr>
            </w:pPr>
            <w:r w:rsidRPr="0084209F">
              <w:rPr>
                <w:rFonts w:ascii="Arial" w:eastAsia="Calibri" w:hAnsi="Arial"/>
              </w:rPr>
              <w:t>67.00</w:t>
            </w:r>
          </w:p>
        </w:tc>
        <w:tc>
          <w:tcPr>
            <w:tcW w:w="1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Wilcoxon W</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rPr>
            </w:pPr>
            <w:r w:rsidRPr="0084209F">
              <w:rPr>
                <w:rFonts w:ascii="Arial" w:eastAsia="Calibri" w:hAnsi="Arial"/>
              </w:rPr>
              <w:t>67.000</w:t>
            </w:r>
          </w:p>
        </w:tc>
      </w:tr>
      <w:tr w:rsidR="0084209F" w:rsidRPr="0084209F" w:rsidTr="007E05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33"/>
        </w:trPr>
        <w:tc>
          <w:tcPr>
            <w:tcW w:w="1826"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Total</w:t>
            </w:r>
          </w:p>
        </w:tc>
        <w:tc>
          <w:tcPr>
            <w:tcW w:w="582"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18</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p>
        </w:tc>
        <w:tc>
          <w:tcPr>
            <w:tcW w:w="185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84209F" w:rsidRPr="0084209F" w:rsidRDefault="0084209F" w:rsidP="007E0556">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 Sig</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84209F" w:rsidRPr="0084209F" w:rsidRDefault="0084209F" w:rsidP="007E0556">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0.098</w:t>
            </w:r>
          </w:p>
        </w:tc>
      </w:tr>
    </w:tbl>
    <w:p w:rsidR="0084209F" w:rsidRDefault="0084209F" w:rsidP="0084209F"/>
    <w:p w:rsidR="0084209F" w:rsidRDefault="0084209F" w:rsidP="0084209F"/>
    <w:p w:rsidR="00C10E6C" w:rsidRPr="0084209F" w:rsidRDefault="00C10E6C" w:rsidP="001E57CD">
      <w:pPr>
        <w:pStyle w:val="Heading4"/>
        <w:spacing w:line="480" w:lineRule="auto"/>
      </w:pPr>
      <w:r w:rsidRPr="004A2211">
        <w:t>Modulus of elasticity</w:t>
      </w:r>
      <w:r w:rsidR="00EA69D5" w:rsidRPr="004A2211">
        <w:t xml:space="preserve"> after eight months of NSCH and MTA application</w:t>
      </w:r>
    </w:p>
    <w:p w:rsidR="001E57CD" w:rsidRPr="00533E59" w:rsidRDefault="00F37B35" w:rsidP="00533E59">
      <w:pPr>
        <w:pStyle w:val="Caption"/>
        <w:jc w:val="both"/>
        <w:rPr>
          <w:rFonts w:cstheme="minorBidi"/>
        </w:rPr>
      </w:pPr>
      <w:r w:rsidRPr="00533E59">
        <w:rPr>
          <w:rFonts w:cstheme="minorBidi"/>
        </w:rPr>
        <w:t xml:space="preserve">The results are presented in. </w:t>
      </w:r>
      <w:r w:rsidR="001E57CD" w:rsidRPr="00533E59">
        <w:rPr>
          <w:rFonts w:cstheme="minorBidi"/>
        </w:rPr>
        <w:fldChar w:fldCharType="begin"/>
      </w:r>
      <w:r w:rsidR="001E57CD" w:rsidRPr="00533E59">
        <w:rPr>
          <w:rFonts w:cstheme="minorBidi"/>
        </w:rPr>
        <w:instrText xml:space="preserve"> REF _Ref361586809 \h  \* MERGEFORMAT </w:instrText>
      </w:r>
      <w:r w:rsidR="001E57CD" w:rsidRPr="00533E59">
        <w:rPr>
          <w:rFonts w:cstheme="minorBidi"/>
        </w:rPr>
      </w:r>
      <w:r w:rsidR="001E57CD" w:rsidRPr="00533E59">
        <w:rPr>
          <w:rFonts w:cstheme="minorBidi"/>
        </w:rPr>
        <w:fldChar w:fldCharType="separate"/>
      </w:r>
      <w:r w:rsidR="00374B77" w:rsidRPr="00374B77">
        <w:rPr>
          <w:rFonts w:cstheme="minorBidi"/>
        </w:rPr>
        <w:t xml:space="preserve">Table </w:t>
      </w:r>
      <w:r w:rsidR="00374B77" w:rsidRPr="00374B77">
        <w:rPr>
          <w:rFonts w:cstheme="minorBidi"/>
          <w:szCs w:val="24"/>
          <w:cs/>
        </w:rPr>
        <w:t>‎</w:t>
      </w:r>
      <w:r w:rsidR="00374B77">
        <w:rPr>
          <w:rFonts w:ascii="Arial" w:hAnsi="Arial" w:cs="Arial"/>
          <w:b/>
          <w:noProof/>
          <w:sz w:val="20"/>
          <w:szCs w:val="20"/>
        </w:rPr>
        <w:t>0.9</w:t>
      </w:r>
      <w:r w:rsidR="001E57CD" w:rsidRPr="00533E59">
        <w:rPr>
          <w:rFonts w:cstheme="minorBidi"/>
        </w:rPr>
        <w:fldChar w:fldCharType="end"/>
      </w:r>
      <w:r w:rsidR="001E57CD" w:rsidRPr="00533E59">
        <w:rPr>
          <w:rFonts w:cstheme="minorBidi"/>
        </w:rPr>
        <w:t xml:space="preserve"> </w:t>
      </w:r>
      <w:r w:rsidRPr="00533E59">
        <w:rPr>
          <w:rFonts w:cstheme="minorBidi"/>
        </w:rPr>
        <w:t xml:space="preserve">and </w:t>
      </w:r>
      <w:r w:rsidR="001E57CD" w:rsidRPr="00533E59">
        <w:rPr>
          <w:rFonts w:cstheme="minorBidi"/>
        </w:rPr>
        <w:fldChar w:fldCharType="begin"/>
      </w:r>
      <w:r w:rsidR="001E57CD" w:rsidRPr="00533E59">
        <w:rPr>
          <w:rFonts w:cstheme="minorBidi"/>
        </w:rPr>
        <w:instrText xml:space="preserve"> REF _Ref361586938 \h  \* MERGEFORMAT </w:instrText>
      </w:r>
      <w:r w:rsidR="001E57CD" w:rsidRPr="00533E59">
        <w:rPr>
          <w:rFonts w:cstheme="minorBidi"/>
        </w:rPr>
      </w:r>
      <w:r w:rsidR="001E57CD" w:rsidRPr="00533E59">
        <w:rPr>
          <w:rFonts w:cstheme="minorBidi"/>
        </w:rPr>
        <w:fldChar w:fldCharType="separate"/>
      </w:r>
      <w:r w:rsidR="00374B77" w:rsidRPr="00374B77">
        <w:rPr>
          <w:rFonts w:cstheme="minorBidi"/>
        </w:rPr>
        <w:t xml:space="preserve">Figure </w:t>
      </w:r>
      <w:r w:rsidR="00374B77" w:rsidRPr="00374B77">
        <w:rPr>
          <w:rFonts w:cstheme="minorBidi"/>
          <w:szCs w:val="24"/>
          <w:cs/>
        </w:rPr>
        <w:t>‎</w:t>
      </w:r>
      <w:r w:rsidR="00374B77">
        <w:rPr>
          <w:rFonts w:ascii="Arial" w:hAnsi="Arial" w:cs="Arial"/>
          <w:b/>
          <w:noProof/>
          <w:sz w:val="20"/>
          <w:szCs w:val="20"/>
        </w:rPr>
        <w:t>0.12</w:t>
      </w:r>
      <w:r w:rsidR="001E57CD" w:rsidRPr="00533E59">
        <w:rPr>
          <w:rFonts w:cstheme="minorBidi"/>
        </w:rPr>
        <w:fldChar w:fldCharType="end"/>
      </w:r>
      <w:r w:rsidRPr="00533E59">
        <w:rPr>
          <w:rFonts w:cstheme="minorBidi"/>
        </w:rPr>
        <w:t xml:space="preserve">. </w:t>
      </w:r>
      <w:bookmarkStart w:id="357" w:name="_Ref361079305"/>
      <w:r w:rsidR="001E57CD" w:rsidRPr="00533E59">
        <w:rPr>
          <w:rFonts w:cstheme="minorBidi"/>
        </w:rPr>
        <w:t xml:space="preserve">The mean modulus of elasticity of control slabs was 20.3 </w:t>
      </w:r>
      <w:proofErr w:type="gramStart"/>
      <w:r w:rsidR="001E57CD" w:rsidRPr="00533E59">
        <w:rPr>
          <w:rFonts w:cstheme="minorBidi"/>
        </w:rPr>
        <w:t>GPa</w:t>
      </w:r>
      <w:proofErr w:type="gramEnd"/>
      <w:r w:rsidR="001E57CD" w:rsidRPr="00533E59">
        <w:rPr>
          <w:rFonts w:cstheme="minorBidi"/>
        </w:rPr>
        <w:t xml:space="preserve"> compared with 13.27 GPa in NSCH and 10.81 for the MTA group.  The difference in the mean of modulus of elasticity between both the experimental groups and control group was statistically significant. </w:t>
      </w:r>
      <w:proofErr w:type="gramStart"/>
      <w:r w:rsidR="001E57CD" w:rsidRPr="00533E59">
        <w:rPr>
          <w:rFonts w:cstheme="minorBidi"/>
        </w:rPr>
        <w:t>(p&lt;0.01).</w:t>
      </w:r>
      <w:proofErr w:type="gramEnd"/>
      <w:r w:rsidR="001E57CD" w:rsidRPr="00533E59">
        <w:rPr>
          <w:rFonts w:cstheme="minorBidi"/>
        </w:rPr>
        <w:t xml:space="preserve"> However there was no significant difference between the NSCH and the MTA groups.</w:t>
      </w:r>
    </w:p>
    <w:p w:rsidR="001E57CD" w:rsidRPr="001E57CD" w:rsidRDefault="001E57CD" w:rsidP="001E57CD">
      <w:pPr>
        <w:keepNext/>
        <w:keepLines/>
        <w:spacing w:before="240" w:after="240" w:line="240" w:lineRule="auto"/>
        <w:jc w:val="both"/>
        <w:rPr>
          <w:rFonts w:ascii="Arial" w:eastAsia="Times New Roman" w:hAnsi="Arial" w:cs="Arial"/>
          <w:b/>
          <w:bCs/>
          <w:noProof/>
          <w:sz w:val="20"/>
          <w:szCs w:val="20"/>
          <w:lang w:eastAsia="zh-CN"/>
        </w:rPr>
      </w:pPr>
      <w:r w:rsidRPr="001E57CD">
        <w:rPr>
          <w:rFonts w:ascii="Arial" w:hAnsi="Arial" w:cs="Arial"/>
          <w:b/>
          <w:bCs/>
          <w:noProof/>
          <w:sz w:val="20"/>
          <w:szCs w:val="20"/>
          <w:lang w:eastAsia="zh-CN"/>
        </w:rPr>
        <w:br w:type="page"/>
      </w:r>
    </w:p>
    <w:p w:rsidR="00AB0839" w:rsidRPr="001E57CD" w:rsidRDefault="00AB0839" w:rsidP="001E57CD">
      <w:pPr>
        <w:rPr>
          <w:b/>
          <w:sz w:val="20"/>
          <w:szCs w:val="20"/>
        </w:rPr>
      </w:pPr>
      <w:bookmarkStart w:id="358" w:name="_Ref361586809"/>
      <w:bookmarkStart w:id="359" w:name="_Toc370511735"/>
      <w:proofErr w:type="gramStart"/>
      <w:r w:rsidRPr="001E57CD">
        <w:rPr>
          <w:rFonts w:ascii="Arial" w:hAnsi="Arial" w:cs="Arial"/>
          <w:b/>
          <w:sz w:val="20"/>
          <w:szCs w:val="20"/>
        </w:rPr>
        <w:lastRenderedPageBreak/>
        <w:t xml:space="preserve">Table </w:t>
      </w:r>
      <w:r w:rsidR="00E7089D">
        <w:rPr>
          <w:rFonts w:ascii="Arial" w:hAnsi="Arial" w:cs="Arial"/>
          <w:b/>
          <w:sz w:val="20"/>
          <w:szCs w:val="20"/>
        </w:rPr>
        <w:fldChar w:fldCharType="begin"/>
      </w:r>
      <w:r w:rsidR="00E7089D">
        <w:rPr>
          <w:rFonts w:ascii="Arial" w:hAnsi="Arial" w:cs="Arial"/>
          <w:b/>
          <w:sz w:val="20"/>
          <w:szCs w:val="20"/>
        </w:rPr>
        <w:instrText xml:space="preserve"> STYLEREF 1 \s </w:instrText>
      </w:r>
      <w:r w:rsidR="00E7089D">
        <w:rPr>
          <w:rFonts w:ascii="Arial" w:hAnsi="Arial" w:cs="Arial"/>
          <w:b/>
          <w:sz w:val="20"/>
          <w:szCs w:val="20"/>
        </w:rPr>
        <w:fldChar w:fldCharType="separate"/>
      </w:r>
      <w:r w:rsidR="00374B77">
        <w:rPr>
          <w:rFonts w:ascii="Arial" w:hAnsi="Arial" w:cs="Arial"/>
          <w:b/>
          <w:noProof/>
          <w:sz w:val="20"/>
          <w:szCs w:val="20"/>
          <w:cs/>
        </w:rPr>
        <w:t>‎</w:t>
      </w:r>
      <w:r w:rsidR="00374B77">
        <w:rPr>
          <w:rFonts w:ascii="Arial" w:hAnsi="Arial" w:cs="Arial"/>
          <w:b/>
          <w:noProof/>
          <w:sz w:val="20"/>
          <w:szCs w:val="20"/>
        </w:rPr>
        <w:t>0</w:t>
      </w:r>
      <w:r w:rsidR="00E7089D">
        <w:rPr>
          <w:rFonts w:ascii="Arial" w:hAnsi="Arial" w:cs="Arial"/>
          <w:b/>
          <w:sz w:val="20"/>
          <w:szCs w:val="20"/>
        </w:rPr>
        <w:fldChar w:fldCharType="end"/>
      </w:r>
      <w:r w:rsidR="00E7089D">
        <w:rPr>
          <w:rFonts w:ascii="Arial" w:hAnsi="Arial" w:cs="Arial"/>
          <w:b/>
          <w:sz w:val="20"/>
          <w:szCs w:val="20"/>
        </w:rPr>
        <w:t>.</w:t>
      </w:r>
      <w:proofErr w:type="gramEnd"/>
      <w:r w:rsidR="00E7089D">
        <w:rPr>
          <w:rFonts w:ascii="Arial" w:hAnsi="Arial" w:cs="Arial"/>
          <w:b/>
          <w:sz w:val="20"/>
          <w:szCs w:val="20"/>
        </w:rPr>
        <w:fldChar w:fldCharType="begin"/>
      </w:r>
      <w:r w:rsidR="00E7089D">
        <w:rPr>
          <w:rFonts w:ascii="Arial" w:hAnsi="Arial" w:cs="Arial"/>
          <w:b/>
          <w:sz w:val="20"/>
          <w:szCs w:val="20"/>
        </w:rPr>
        <w:instrText xml:space="preserve"> SEQ Table \* ARABIC \s 1 </w:instrText>
      </w:r>
      <w:r w:rsidR="00E7089D">
        <w:rPr>
          <w:rFonts w:ascii="Arial" w:hAnsi="Arial" w:cs="Arial"/>
          <w:b/>
          <w:sz w:val="20"/>
          <w:szCs w:val="20"/>
        </w:rPr>
        <w:fldChar w:fldCharType="separate"/>
      </w:r>
      <w:r w:rsidR="00374B77">
        <w:rPr>
          <w:rFonts w:ascii="Arial" w:hAnsi="Arial" w:cs="Arial"/>
          <w:b/>
          <w:noProof/>
          <w:sz w:val="20"/>
          <w:szCs w:val="20"/>
        </w:rPr>
        <w:t>9</w:t>
      </w:r>
      <w:r w:rsidR="00E7089D">
        <w:rPr>
          <w:rFonts w:ascii="Arial" w:hAnsi="Arial" w:cs="Arial"/>
          <w:b/>
          <w:sz w:val="20"/>
          <w:szCs w:val="20"/>
        </w:rPr>
        <w:fldChar w:fldCharType="end"/>
      </w:r>
      <w:bookmarkEnd w:id="357"/>
      <w:bookmarkEnd w:id="358"/>
      <w:r w:rsidRPr="001E57CD">
        <w:rPr>
          <w:b/>
          <w:sz w:val="20"/>
          <w:szCs w:val="20"/>
        </w:rPr>
        <w:t xml:space="preserve"> </w:t>
      </w:r>
      <w:r w:rsidR="001E57CD" w:rsidRPr="001E57CD">
        <w:rPr>
          <w:b/>
          <w:sz w:val="20"/>
          <w:szCs w:val="20"/>
        </w:rPr>
        <w:t>Modulus of elasticity of dentine slabs as evaluated with nano-indentation after eight months of application of NSCH and MTA compared with control slabs.</w:t>
      </w:r>
      <w:bookmarkEnd w:id="359"/>
    </w:p>
    <w:tbl>
      <w:tblPr>
        <w:tblStyle w:val="TableGrid"/>
        <w:tblW w:w="0" w:type="auto"/>
        <w:jc w:val="center"/>
        <w:tblLook w:val="04A0" w:firstRow="1" w:lastRow="0" w:firstColumn="1" w:lastColumn="0" w:noHBand="0" w:noVBand="1"/>
      </w:tblPr>
      <w:tblGrid>
        <w:gridCol w:w="2128"/>
        <w:gridCol w:w="2129"/>
        <w:gridCol w:w="2154"/>
        <w:gridCol w:w="2145"/>
      </w:tblGrid>
      <w:tr w:rsidR="00DC5BB4" w:rsidRPr="00BB0740" w:rsidTr="004A2211">
        <w:trPr>
          <w:trHeight w:val="475"/>
          <w:jc w:val="center"/>
        </w:trPr>
        <w:tc>
          <w:tcPr>
            <w:tcW w:w="2199" w:type="dxa"/>
            <w:shd w:val="clear" w:color="auto" w:fill="17365D" w:themeFill="text2" w:themeFillShade="BF"/>
            <w:vAlign w:val="center"/>
          </w:tcPr>
          <w:p w:rsidR="00D95E32" w:rsidRPr="00BB0740" w:rsidRDefault="00D95E32" w:rsidP="00D95E32">
            <w:pPr>
              <w:jc w:val="center"/>
              <w:rPr>
                <w:rFonts w:cstheme="minorBidi"/>
                <w:b/>
                <w:bCs/>
                <w:sz w:val="22"/>
                <w:szCs w:val="22"/>
              </w:rPr>
            </w:pPr>
            <w:r w:rsidRPr="00BB0740">
              <w:rPr>
                <w:rFonts w:cstheme="minorBidi"/>
                <w:b/>
                <w:bCs/>
                <w:sz w:val="22"/>
                <w:szCs w:val="22"/>
              </w:rPr>
              <w:t>Slab</w:t>
            </w:r>
          </w:p>
        </w:tc>
        <w:tc>
          <w:tcPr>
            <w:tcW w:w="2199" w:type="dxa"/>
            <w:shd w:val="clear" w:color="auto" w:fill="17365D" w:themeFill="text2" w:themeFillShade="BF"/>
            <w:vAlign w:val="center"/>
          </w:tcPr>
          <w:p w:rsidR="00D95E32" w:rsidRPr="00BB0740" w:rsidRDefault="00D95E32" w:rsidP="00D95E32">
            <w:pPr>
              <w:jc w:val="center"/>
              <w:rPr>
                <w:rFonts w:cstheme="minorBidi"/>
                <w:b/>
                <w:bCs/>
                <w:sz w:val="22"/>
                <w:szCs w:val="22"/>
              </w:rPr>
            </w:pPr>
            <w:r w:rsidRPr="00BB0740">
              <w:rPr>
                <w:rFonts w:cstheme="minorBidi"/>
                <w:b/>
                <w:bCs/>
                <w:sz w:val="22"/>
                <w:szCs w:val="22"/>
              </w:rPr>
              <w:t>Control (Gpa)</w:t>
            </w:r>
          </w:p>
        </w:tc>
        <w:tc>
          <w:tcPr>
            <w:tcW w:w="2199" w:type="dxa"/>
            <w:shd w:val="clear" w:color="auto" w:fill="17365D" w:themeFill="text2" w:themeFillShade="BF"/>
            <w:vAlign w:val="center"/>
          </w:tcPr>
          <w:p w:rsidR="00D95E32" w:rsidRPr="00BB0740" w:rsidRDefault="00D95E32" w:rsidP="00D95E32">
            <w:pPr>
              <w:jc w:val="center"/>
              <w:rPr>
                <w:rFonts w:cstheme="minorBidi"/>
                <w:b/>
                <w:bCs/>
                <w:sz w:val="22"/>
                <w:szCs w:val="22"/>
              </w:rPr>
            </w:pPr>
            <w:r w:rsidRPr="00BB0740">
              <w:rPr>
                <w:rFonts w:cstheme="minorBidi"/>
                <w:b/>
                <w:bCs/>
                <w:sz w:val="22"/>
                <w:szCs w:val="22"/>
              </w:rPr>
              <w:t>NSCH(Gpa)</w:t>
            </w:r>
          </w:p>
        </w:tc>
        <w:tc>
          <w:tcPr>
            <w:tcW w:w="2199" w:type="dxa"/>
            <w:shd w:val="clear" w:color="auto" w:fill="17365D" w:themeFill="text2" w:themeFillShade="BF"/>
            <w:vAlign w:val="center"/>
          </w:tcPr>
          <w:p w:rsidR="00D95E32" w:rsidRPr="00BB0740" w:rsidRDefault="00D95E32" w:rsidP="00D95E32">
            <w:pPr>
              <w:jc w:val="center"/>
              <w:rPr>
                <w:rFonts w:cstheme="minorBidi"/>
                <w:b/>
                <w:bCs/>
                <w:sz w:val="22"/>
                <w:szCs w:val="22"/>
              </w:rPr>
            </w:pPr>
            <w:r w:rsidRPr="00BB0740">
              <w:rPr>
                <w:rFonts w:cstheme="minorBidi"/>
                <w:b/>
                <w:bCs/>
                <w:sz w:val="22"/>
                <w:szCs w:val="22"/>
              </w:rPr>
              <w:t>MTA(Gpa)</w:t>
            </w:r>
          </w:p>
        </w:tc>
      </w:tr>
      <w:tr w:rsidR="00DC5BB4" w:rsidRPr="00BB0740" w:rsidTr="004A2211">
        <w:trPr>
          <w:trHeight w:val="442"/>
          <w:jc w:val="center"/>
        </w:trPr>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19.56</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10.32</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10</w:t>
            </w:r>
          </w:p>
        </w:tc>
      </w:tr>
      <w:tr w:rsidR="00DC5BB4" w:rsidRPr="00BB0740" w:rsidTr="004A2211">
        <w:trPr>
          <w:trHeight w:val="442"/>
          <w:jc w:val="center"/>
        </w:trPr>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2</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21.66</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14.44</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9.5</w:t>
            </w:r>
          </w:p>
        </w:tc>
      </w:tr>
      <w:tr w:rsidR="00DC5BB4" w:rsidRPr="00BB0740" w:rsidTr="004A2211">
        <w:trPr>
          <w:trHeight w:val="453"/>
          <w:jc w:val="center"/>
        </w:trPr>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3</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19.7</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14.73</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11.3</w:t>
            </w:r>
          </w:p>
        </w:tc>
      </w:tr>
      <w:tr w:rsidR="00DC5BB4" w:rsidRPr="00BB0740" w:rsidTr="004A2211">
        <w:trPr>
          <w:trHeight w:val="442"/>
          <w:jc w:val="center"/>
        </w:trPr>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4</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21.47</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15.34</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9.55</w:t>
            </w:r>
          </w:p>
        </w:tc>
      </w:tr>
      <w:tr w:rsidR="00DC5BB4" w:rsidRPr="00BB0740" w:rsidTr="004A2211">
        <w:trPr>
          <w:trHeight w:val="442"/>
          <w:jc w:val="center"/>
        </w:trPr>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5</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23.74</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11.5</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10.6</w:t>
            </w:r>
          </w:p>
        </w:tc>
      </w:tr>
      <w:tr w:rsidR="00DC5BB4" w:rsidRPr="00BB0740" w:rsidTr="004A2211">
        <w:trPr>
          <w:trHeight w:val="442"/>
          <w:jc w:val="center"/>
        </w:trPr>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6</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20.77</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12.8</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12.5</w:t>
            </w:r>
          </w:p>
        </w:tc>
      </w:tr>
      <w:tr w:rsidR="00DC5BB4" w:rsidRPr="00BB0740" w:rsidTr="004A2211">
        <w:trPr>
          <w:trHeight w:val="453"/>
          <w:jc w:val="center"/>
        </w:trPr>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7</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19.4</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13.55</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10.33</w:t>
            </w:r>
          </w:p>
        </w:tc>
      </w:tr>
      <w:tr w:rsidR="00DC5BB4" w:rsidRPr="00BB0740" w:rsidTr="004A2211">
        <w:trPr>
          <w:trHeight w:val="442"/>
          <w:jc w:val="center"/>
        </w:trPr>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8</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18.88</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13.85</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11.6</w:t>
            </w:r>
          </w:p>
        </w:tc>
      </w:tr>
      <w:tr w:rsidR="00DC5BB4" w:rsidRPr="00BB0740" w:rsidTr="004A2211">
        <w:trPr>
          <w:trHeight w:val="442"/>
          <w:jc w:val="center"/>
        </w:trPr>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9</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17.5</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12.9</w:t>
            </w:r>
          </w:p>
        </w:tc>
        <w:tc>
          <w:tcPr>
            <w:tcW w:w="2199" w:type="dxa"/>
            <w:shd w:val="clear" w:color="auto" w:fill="F2F2F2" w:themeFill="background1" w:themeFillShade="F2"/>
            <w:vAlign w:val="center"/>
          </w:tcPr>
          <w:p w:rsidR="00D95E32" w:rsidRPr="00BB0740" w:rsidRDefault="00D95E32" w:rsidP="00D95E32">
            <w:pPr>
              <w:jc w:val="center"/>
              <w:rPr>
                <w:rFonts w:cstheme="minorBidi"/>
                <w:sz w:val="22"/>
                <w:szCs w:val="22"/>
              </w:rPr>
            </w:pPr>
            <w:r w:rsidRPr="00BB0740">
              <w:rPr>
                <w:rFonts w:cstheme="minorBidi"/>
                <w:sz w:val="22"/>
                <w:szCs w:val="22"/>
              </w:rPr>
              <w:t>11.9</w:t>
            </w:r>
          </w:p>
        </w:tc>
      </w:tr>
      <w:tr w:rsidR="00DC5BB4" w:rsidRPr="00BB0740" w:rsidTr="00DC5BB4">
        <w:trPr>
          <w:trHeight w:val="453"/>
          <w:jc w:val="center"/>
        </w:trPr>
        <w:tc>
          <w:tcPr>
            <w:tcW w:w="2199" w:type="dxa"/>
            <w:shd w:val="clear" w:color="auto" w:fill="FDE9D9" w:themeFill="accent6" w:themeFillTint="33"/>
            <w:vAlign w:val="center"/>
          </w:tcPr>
          <w:p w:rsidR="00D95E32" w:rsidRPr="00BB0740" w:rsidRDefault="00D95E32" w:rsidP="00D95E32">
            <w:pPr>
              <w:jc w:val="center"/>
              <w:rPr>
                <w:rFonts w:cstheme="minorBidi"/>
                <w:b/>
                <w:bCs/>
                <w:sz w:val="22"/>
                <w:szCs w:val="22"/>
              </w:rPr>
            </w:pPr>
            <w:r w:rsidRPr="00BB0740">
              <w:rPr>
                <w:rFonts w:cstheme="minorBidi"/>
                <w:b/>
                <w:bCs/>
                <w:sz w:val="22"/>
                <w:szCs w:val="22"/>
              </w:rPr>
              <w:t>Mean</w:t>
            </w:r>
          </w:p>
        </w:tc>
        <w:tc>
          <w:tcPr>
            <w:tcW w:w="2199" w:type="dxa"/>
            <w:shd w:val="clear" w:color="auto" w:fill="FDE9D9" w:themeFill="accent6" w:themeFillTint="33"/>
            <w:vAlign w:val="center"/>
          </w:tcPr>
          <w:p w:rsidR="00D95E32" w:rsidRPr="00BB0740" w:rsidRDefault="00D95E32" w:rsidP="00D95E32">
            <w:pPr>
              <w:jc w:val="center"/>
              <w:rPr>
                <w:rFonts w:cstheme="minorBidi"/>
                <w:sz w:val="22"/>
                <w:szCs w:val="22"/>
              </w:rPr>
            </w:pPr>
            <w:r w:rsidRPr="00BB0740">
              <w:rPr>
                <w:rFonts w:cstheme="minorBidi"/>
                <w:sz w:val="22"/>
                <w:szCs w:val="22"/>
              </w:rPr>
              <w:t>20.298</w:t>
            </w:r>
          </w:p>
        </w:tc>
        <w:tc>
          <w:tcPr>
            <w:tcW w:w="2199" w:type="dxa"/>
            <w:shd w:val="clear" w:color="auto" w:fill="FDE9D9" w:themeFill="accent6" w:themeFillTint="33"/>
            <w:vAlign w:val="center"/>
          </w:tcPr>
          <w:p w:rsidR="00D95E32" w:rsidRPr="00BB0740" w:rsidRDefault="00D95E32" w:rsidP="00D95E32">
            <w:pPr>
              <w:jc w:val="center"/>
              <w:rPr>
                <w:rFonts w:cstheme="minorBidi"/>
                <w:sz w:val="22"/>
                <w:szCs w:val="22"/>
              </w:rPr>
            </w:pPr>
            <w:r w:rsidRPr="00BB0740">
              <w:rPr>
                <w:rFonts w:cstheme="minorBidi"/>
                <w:sz w:val="22"/>
                <w:szCs w:val="22"/>
              </w:rPr>
              <w:t>13.27</w:t>
            </w:r>
          </w:p>
        </w:tc>
        <w:tc>
          <w:tcPr>
            <w:tcW w:w="2199" w:type="dxa"/>
            <w:shd w:val="clear" w:color="auto" w:fill="FDE9D9" w:themeFill="accent6" w:themeFillTint="33"/>
            <w:vAlign w:val="center"/>
          </w:tcPr>
          <w:p w:rsidR="00D95E32" w:rsidRPr="00BB0740" w:rsidRDefault="00D95E32" w:rsidP="00D95E32">
            <w:pPr>
              <w:jc w:val="center"/>
              <w:rPr>
                <w:rFonts w:cstheme="minorBidi"/>
                <w:sz w:val="22"/>
                <w:szCs w:val="22"/>
              </w:rPr>
            </w:pPr>
            <w:r w:rsidRPr="00BB0740">
              <w:rPr>
                <w:rFonts w:cstheme="minorBidi"/>
                <w:sz w:val="22"/>
                <w:szCs w:val="22"/>
              </w:rPr>
              <w:t>10.81</w:t>
            </w:r>
          </w:p>
        </w:tc>
      </w:tr>
      <w:tr w:rsidR="00DC5BB4" w:rsidRPr="00BB0740" w:rsidTr="00DC5BB4">
        <w:trPr>
          <w:trHeight w:val="442"/>
          <w:jc w:val="center"/>
        </w:trPr>
        <w:tc>
          <w:tcPr>
            <w:tcW w:w="2199" w:type="dxa"/>
            <w:shd w:val="clear" w:color="auto" w:fill="FDE9D9" w:themeFill="accent6" w:themeFillTint="33"/>
            <w:vAlign w:val="center"/>
          </w:tcPr>
          <w:p w:rsidR="00D95E32" w:rsidRPr="00BB0740" w:rsidRDefault="00D95E32" w:rsidP="00D95E32">
            <w:pPr>
              <w:jc w:val="center"/>
              <w:rPr>
                <w:rFonts w:cstheme="minorBidi"/>
                <w:b/>
                <w:bCs/>
                <w:sz w:val="22"/>
                <w:szCs w:val="22"/>
              </w:rPr>
            </w:pPr>
            <w:r w:rsidRPr="00BB0740">
              <w:rPr>
                <w:rFonts w:cstheme="minorBidi"/>
                <w:b/>
                <w:bCs/>
                <w:sz w:val="22"/>
                <w:szCs w:val="22"/>
              </w:rPr>
              <w:t>Median</w:t>
            </w:r>
          </w:p>
        </w:tc>
        <w:tc>
          <w:tcPr>
            <w:tcW w:w="2199" w:type="dxa"/>
            <w:shd w:val="clear" w:color="auto" w:fill="FDE9D9" w:themeFill="accent6" w:themeFillTint="33"/>
            <w:vAlign w:val="center"/>
          </w:tcPr>
          <w:p w:rsidR="00D95E32" w:rsidRPr="00BB0740" w:rsidRDefault="00D95E32" w:rsidP="00D95E32">
            <w:pPr>
              <w:jc w:val="center"/>
              <w:rPr>
                <w:rFonts w:cstheme="minorBidi"/>
                <w:sz w:val="22"/>
                <w:szCs w:val="22"/>
              </w:rPr>
            </w:pPr>
            <w:r w:rsidRPr="00BB0740">
              <w:rPr>
                <w:rFonts w:cstheme="minorBidi"/>
                <w:sz w:val="22"/>
                <w:szCs w:val="22"/>
              </w:rPr>
              <w:t>20.24</w:t>
            </w:r>
          </w:p>
        </w:tc>
        <w:tc>
          <w:tcPr>
            <w:tcW w:w="2199" w:type="dxa"/>
            <w:shd w:val="clear" w:color="auto" w:fill="FDE9D9" w:themeFill="accent6" w:themeFillTint="33"/>
            <w:vAlign w:val="center"/>
          </w:tcPr>
          <w:p w:rsidR="00D95E32" w:rsidRPr="00BB0740" w:rsidRDefault="00D95E32" w:rsidP="00D95E32">
            <w:pPr>
              <w:jc w:val="center"/>
              <w:rPr>
                <w:rFonts w:cstheme="minorBidi"/>
                <w:sz w:val="22"/>
                <w:szCs w:val="22"/>
              </w:rPr>
            </w:pPr>
            <w:r w:rsidRPr="00BB0740">
              <w:rPr>
                <w:rFonts w:cstheme="minorBidi"/>
                <w:sz w:val="22"/>
                <w:szCs w:val="22"/>
              </w:rPr>
              <w:t>13.7</w:t>
            </w:r>
          </w:p>
        </w:tc>
        <w:tc>
          <w:tcPr>
            <w:tcW w:w="2199" w:type="dxa"/>
            <w:shd w:val="clear" w:color="auto" w:fill="FDE9D9" w:themeFill="accent6" w:themeFillTint="33"/>
            <w:vAlign w:val="center"/>
          </w:tcPr>
          <w:p w:rsidR="00D95E32" w:rsidRPr="00BB0740" w:rsidRDefault="00D95E32" w:rsidP="00D95E32">
            <w:pPr>
              <w:jc w:val="center"/>
              <w:rPr>
                <w:rFonts w:cstheme="minorBidi"/>
                <w:sz w:val="22"/>
                <w:szCs w:val="22"/>
              </w:rPr>
            </w:pPr>
            <w:r w:rsidRPr="00BB0740">
              <w:rPr>
                <w:rFonts w:cstheme="minorBidi"/>
                <w:sz w:val="22"/>
                <w:szCs w:val="22"/>
              </w:rPr>
              <w:t>10.47</w:t>
            </w:r>
          </w:p>
        </w:tc>
      </w:tr>
      <w:tr w:rsidR="00DC5BB4" w:rsidRPr="00BB0740" w:rsidTr="00DC5BB4">
        <w:trPr>
          <w:trHeight w:val="453"/>
          <w:jc w:val="center"/>
        </w:trPr>
        <w:tc>
          <w:tcPr>
            <w:tcW w:w="2199" w:type="dxa"/>
            <w:shd w:val="clear" w:color="auto" w:fill="FDE9D9" w:themeFill="accent6" w:themeFillTint="33"/>
            <w:vAlign w:val="center"/>
          </w:tcPr>
          <w:p w:rsidR="00D95E32" w:rsidRPr="00BB0740" w:rsidRDefault="00D95E32" w:rsidP="00D95E32">
            <w:pPr>
              <w:jc w:val="center"/>
              <w:rPr>
                <w:rFonts w:cstheme="minorBidi"/>
                <w:b/>
                <w:bCs/>
                <w:sz w:val="22"/>
                <w:szCs w:val="22"/>
              </w:rPr>
            </w:pPr>
            <w:r w:rsidRPr="00BB0740">
              <w:rPr>
                <w:rFonts w:cstheme="minorBidi"/>
                <w:b/>
                <w:bCs/>
                <w:sz w:val="22"/>
                <w:szCs w:val="22"/>
              </w:rPr>
              <w:t>SD</w:t>
            </w:r>
          </w:p>
        </w:tc>
        <w:tc>
          <w:tcPr>
            <w:tcW w:w="2199" w:type="dxa"/>
            <w:shd w:val="clear" w:color="auto" w:fill="FDE9D9" w:themeFill="accent6" w:themeFillTint="33"/>
            <w:vAlign w:val="center"/>
          </w:tcPr>
          <w:p w:rsidR="00D95E32" w:rsidRPr="00BB0740" w:rsidRDefault="00D95E32" w:rsidP="00D95E32">
            <w:pPr>
              <w:jc w:val="center"/>
              <w:rPr>
                <w:rFonts w:cstheme="minorBidi"/>
                <w:sz w:val="22"/>
                <w:szCs w:val="22"/>
              </w:rPr>
            </w:pPr>
            <w:r w:rsidRPr="00BB0740">
              <w:rPr>
                <w:rFonts w:cstheme="minorBidi"/>
                <w:sz w:val="22"/>
                <w:szCs w:val="22"/>
              </w:rPr>
              <w:t>1.4566</w:t>
            </w:r>
          </w:p>
        </w:tc>
        <w:tc>
          <w:tcPr>
            <w:tcW w:w="2199" w:type="dxa"/>
            <w:shd w:val="clear" w:color="auto" w:fill="FDE9D9" w:themeFill="accent6" w:themeFillTint="33"/>
            <w:vAlign w:val="center"/>
          </w:tcPr>
          <w:p w:rsidR="00D95E32" w:rsidRPr="00BB0740" w:rsidRDefault="00D95E32" w:rsidP="00D95E32">
            <w:pPr>
              <w:jc w:val="center"/>
              <w:rPr>
                <w:rFonts w:cstheme="minorBidi"/>
                <w:sz w:val="22"/>
                <w:szCs w:val="22"/>
              </w:rPr>
            </w:pPr>
            <w:r w:rsidRPr="00BB0740">
              <w:rPr>
                <w:rFonts w:cstheme="minorBidi"/>
                <w:sz w:val="22"/>
                <w:szCs w:val="22"/>
              </w:rPr>
              <w:t>1.82</w:t>
            </w:r>
          </w:p>
        </w:tc>
        <w:tc>
          <w:tcPr>
            <w:tcW w:w="2199" w:type="dxa"/>
            <w:shd w:val="clear" w:color="auto" w:fill="FDE9D9" w:themeFill="accent6" w:themeFillTint="33"/>
            <w:vAlign w:val="center"/>
          </w:tcPr>
          <w:p w:rsidR="00D95E32" w:rsidRPr="00BB0740" w:rsidRDefault="00D95E32" w:rsidP="00D95E32">
            <w:pPr>
              <w:jc w:val="center"/>
              <w:rPr>
                <w:rFonts w:cstheme="minorBidi"/>
                <w:sz w:val="22"/>
                <w:szCs w:val="22"/>
              </w:rPr>
            </w:pPr>
            <w:r w:rsidRPr="00BB0740">
              <w:rPr>
                <w:rFonts w:cstheme="minorBidi"/>
                <w:sz w:val="22"/>
                <w:szCs w:val="22"/>
              </w:rPr>
              <w:t>1.34</w:t>
            </w:r>
          </w:p>
        </w:tc>
      </w:tr>
    </w:tbl>
    <w:p w:rsidR="00D95E32" w:rsidRPr="00FA7186" w:rsidRDefault="00D95E32" w:rsidP="00D95E32">
      <w:pPr>
        <w:spacing w:after="0" w:line="240" w:lineRule="auto"/>
        <w:rPr>
          <w:rFonts w:ascii="Arial" w:hAnsi="Arial" w:cs="Arial"/>
          <w:color w:val="000000"/>
          <w:sz w:val="22"/>
          <w:szCs w:val="22"/>
          <w:lang w:val="en-US"/>
        </w:rPr>
      </w:pPr>
      <w:proofErr w:type="gramStart"/>
      <w:r w:rsidRPr="00FA7186">
        <w:rPr>
          <w:rFonts w:ascii="Arial" w:hAnsi="Arial" w:cs="Arial"/>
          <w:b/>
          <w:bCs/>
          <w:color w:val="000000"/>
          <w:sz w:val="22"/>
          <w:szCs w:val="22"/>
        </w:rPr>
        <w:t>Gpa</w:t>
      </w:r>
      <w:proofErr w:type="gramEnd"/>
      <w:r w:rsidRPr="00FA7186">
        <w:rPr>
          <w:rFonts w:ascii="Arial" w:hAnsi="Arial" w:cs="Arial"/>
          <w:b/>
          <w:bCs/>
          <w:color w:val="000000"/>
          <w:sz w:val="22"/>
          <w:szCs w:val="22"/>
        </w:rPr>
        <w:t xml:space="preserve">) </w:t>
      </w:r>
      <w:r w:rsidRPr="00FA7186">
        <w:rPr>
          <w:rFonts w:ascii="Arial" w:hAnsi="Arial" w:cs="Arial"/>
          <w:color w:val="000000"/>
          <w:sz w:val="22"/>
          <w:szCs w:val="22"/>
        </w:rPr>
        <w:t>is Giga Pascal.</w:t>
      </w:r>
    </w:p>
    <w:p w:rsidR="001E57CD" w:rsidRDefault="001E57CD" w:rsidP="001D3F19">
      <w:pPr>
        <w:rPr>
          <w:rFonts w:ascii="Arial" w:hAnsi="Arial" w:cs="Arial"/>
          <w:b/>
          <w:sz w:val="20"/>
          <w:szCs w:val="20"/>
        </w:rPr>
      </w:pPr>
      <w:bookmarkStart w:id="360" w:name="_Ref360441794"/>
    </w:p>
    <w:p w:rsidR="00A9688E" w:rsidRPr="001E57CD" w:rsidRDefault="00DC5BB4" w:rsidP="001D3F19">
      <w:pPr>
        <w:rPr>
          <w:rFonts w:ascii="Arial" w:eastAsia="Calibri" w:hAnsi="Arial" w:cs="Arial"/>
          <w:b/>
          <w:sz w:val="20"/>
          <w:szCs w:val="20"/>
          <w:lang w:val="en-US"/>
        </w:rPr>
      </w:pPr>
      <w:bookmarkStart w:id="361" w:name="_Ref361586938"/>
      <w:bookmarkStart w:id="362" w:name="_Toc361733602"/>
      <w:bookmarkStart w:id="363" w:name="_Toc361734245"/>
      <w:r w:rsidRPr="001E57CD">
        <w:rPr>
          <w:rFonts w:ascii="Arial" w:eastAsia="Calibri" w:hAnsi="Arial" w:cs="Arial"/>
          <w:b/>
          <w:noProof/>
          <w:sz w:val="20"/>
          <w:szCs w:val="20"/>
          <w:lang w:eastAsia="en-GB"/>
        </w:rPr>
        <w:drawing>
          <wp:anchor distT="0" distB="0" distL="114300" distR="114300" simplePos="0" relativeHeight="251664384" behindDoc="0" locked="0" layoutInCell="1" allowOverlap="1" wp14:anchorId="43AD79E4" wp14:editId="7129FEFC">
            <wp:simplePos x="0" y="0"/>
            <wp:positionH relativeFrom="margin">
              <wp:posOffset>470535</wp:posOffset>
            </wp:positionH>
            <wp:positionV relativeFrom="margin">
              <wp:posOffset>5448300</wp:posOffset>
            </wp:positionV>
            <wp:extent cx="4054475" cy="3239770"/>
            <wp:effectExtent l="0" t="0" r="317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5447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C41" w:rsidRPr="001E57CD">
        <w:rPr>
          <w:rFonts w:ascii="Arial" w:hAnsi="Arial" w:cs="Arial"/>
          <w:b/>
          <w:sz w:val="20"/>
          <w:szCs w:val="20"/>
        </w:rPr>
        <w:t>Figure</w:t>
      </w:r>
      <w:r w:rsidR="00F37B35" w:rsidRPr="001E57CD">
        <w:rPr>
          <w:rFonts w:ascii="Arial" w:hAnsi="Arial" w:cs="Arial"/>
          <w:b/>
          <w:sz w:val="20"/>
          <w:szCs w:val="20"/>
        </w:rPr>
        <w:t xml:space="preserve"> </w:t>
      </w:r>
      <w:r w:rsidR="00DF37B0">
        <w:rPr>
          <w:rFonts w:ascii="Arial" w:hAnsi="Arial" w:cs="Arial"/>
          <w:b/>
          <w:sz w:val="20"/>
          <w:szCs w:val="20"/>
        </w:rPr>
        <w:fldChar w:fldCharType="begin"/>
      </w:r>
      <w:r w:rsidR="00DF37B0">
        <w:rPr>
          <w:rFonts w:ascii="Arial" w:hAnsi="Arial" w:cs="Arial"/>
          <w:b/>
          <w:sz w:val="20"/>
          <w:szCs w:val="20"/>
        </w:rPr>
        <w:instrText xml:space="preserve"> STYLEREF 1 \s </w:instrText>
      </w:r>
      <w:r w:rsidR="00DF37B0">
        <w:rPr>
          <w:rFonts w:ascii="Arial" w:hAnsi="Arial" w:cs="Arial"/>
          <w:b/>
          <w:sz w:val="20"/>
          <w:szCs w:val="20"/>
        </w:rPr>
        <w:fldChar w:fldCharType="separate"/>
      </w:r>
      <w:r w:rsidR="00374B77">
        <w:rPr>
          <w:rFonts w:ascii="Arial" w:hAnsi="Arial" w:cs="Arial"/>
          <w:b/>
          <w:noProof/>
          <w:sz w:val="20"/>
          <w:szCs w:val="20"/>
          <w:cs/>
        </w:rPr>
        <w:t>‎</w:t>
      </w:r>
      <w:r w:rsidR="00374B77">
        <w:rPr>
          <w:rFonts w:ascii="Arial" w:hAnsi="Arial" w:cs="Arial"/>
          <w:b/>
          <w:noProof/>
          <w:sz w:val="20"/>
          <w:szCs w:val="20"/>
        </w:rPr>
        <w:t>0</w:t>
      </w:r>
      <w:r w:rsidR="00DF37B0">
        <w:rPr>
          <w:rFonts w:ascii="Arial" w:hAnsi="Arial" w:cs="Arial"/>
          <w:b/>
          <w:sz w:val="20"/>
          <w:szCs w:val="20"/>
        </w:rPr>
        <w:fldChar w:fldCharType="end"/>
      </w:r>
      <w:r w:rsidR="00DF37B0">
        <w:rPr>
          <w:rFonts w:ascii="Arial" w:hAnsi="Arial" w:cs="Arial"/>
          <w:b/>
          <w:sz w:val="20"/>
          <w:szCs w:val="20"/>
        </w:rPr>
        <w:t>.</w:t>
      </w:r>
      <w:r w:rsidR="00DF37B0">
        <w:rPr>
          <w:rFonts w:ascii="Arial" w:hAnsi="Arial" w:cs="Arial"/>
          <w:b/>
          <w:sz w:val="20"/>
          <w:szCs w:val="20"/>
        </w:rPr>
        <w:fldChar w:fldCharType="begin"/>
      </w:r>
      <w:r w:rsidR="00DF37B0">
        <w:rPr>
          <w:rFonts w:ascii="Arial" w:hAnsi="Arial" w:cs="Arial"/>
          <w:b/>
          <w:sz w:val="20"/>
          <w:szCs w:val="20"/>
        </w:rPr>
        <w:instrText xml:space="preserve"> SEQ Figure \* ARABIC \s 1 </w:instrText>
      </w:r>
      <w:r w:rsidR="00DF37B0">
        <w:rPr>
          <w:rFonts w:ascii="Arial" w:hAnsi="Arial" w:cs="Arial"/>
          <w:b/>
          <w:sz w:val="20"/>
          <w:szCs w:val="20"/>
        </w:rPr>
        <w:fldChar w:fldCharType="separate"/>
      </w:r>
      <w:r w:rsidR="00374B77">
        <w:rPr>
          <w:rFonts w:ascii="Arial" w:hAnsi="Arial" w:cs="Arial"/>
          <w:b/>
          <w:noProof/>
          <w:sz w:val="20"/>
          <w:szCs w:val="20"/>
        </w:rPr>
        <w:t>12</w:t>
      </w:r>
      <w:r w:rsidR="00DF37B0">
        <w:rPr>
          <w:rFonts w:ascii="Arial" w:hAnsi="Arial" w:cs="Arial"/>
          <w:b/>
          <w:sz w:val="20"/>
          <w:szCs w:val="20"/>
        </w:rPr>
        <w:fldChar w:fldCharType="end"/>
      </w:r>
      <w:bookmarkEnd w:id="360"/>
      <w:bookmarkEnd w:id="361"/>
      <w:r w:rsidR="00F37B35" w:rsidRPr="001E57CD">
        <w:rPr>
          <w:rFonts w:ascii="Arial" w:hAnsi="Arial" w:cs="Arial"/>
          <w:b/>
          <w:sz w:val="20"/>
          <w:szCs w:val="20"/>
        </w:rPr>
        <w:t xml:space="preserve"> </w:t>
      </w:r>
      <w:r w:rsidR="001E57CD" w:rsidRPr="001E57CD">
        <w:rPr>
          <w:rFonts w:ascii="Arial" w:eastAsia="Calibri" w:hAnsi="Arial" w:cs="Arial"/>
          <w:b/>
          <w:color w:val="000000"/>
          <w:sz w:val="20"/>
          <w:szCs w:val="20"/>
        </w:rPr>
        <w:t>Whisker box plot</w:t>
      </w:r>
      <w:r w:rsidR="001E57CD" w:rsidRPr="001E57CD" w:rsidDel="00136555">
        <w:rPr>
          <w:rFonts w:ascii="Arial" w:eastAsia="Calibri" w:hAnsi="Arial" w:cs="Arial"/>
          <w:b/>
          <w:color w:val="000000"/>
          <w:sz w:val="20"/>
          <w:szCs w:val="20"/>
        </w:rPr>
        <w:t xml:space="preserve"> </w:t>
      </w:r>
      <w:r w:rsidR="001E57CD" w:rsidRPr="001E57CD">
        <w:rPr>
          <w:rFonts w:ascii="Arial" w:eastAsia="Calibri" w:hAnsi="Arial" w:cs="Arial"/>
          <w:b/>
          <w:color w:val="000000"/>
          <w:sz w:val="20"/>
          <w:szCs w:val="20"/>
        </w:rPr>
        <w:t>represents the effect of NSCH and MTA on dentine slabs Modulus of elasticity after eight months compared to control slabs.</w:t>
      </w:r>
      <w:bookmarkEnd w:id="362"/>
      <w:bookmarkEnd w:id="363"/>
      <w:r w:rsidR="002F3F06" w:rsidRPr="001E57CD">
        <w:rPr>
          <w:rFonts w:ascii="Arial" w:eastAsia="Calibri" w:hAnsi="Arial" w:cs="Arial"/>
          <w:b/>
          <w:sz w:val="20"/>
          <w:szCs w:val="20"/>
          <w:lang w:val="en-US"/>
        </w:rPr>
        <w:br w:type="page"/>
      </w:r>
    </w:p>
    <w:p w:rsidR="00754B68" w:rsidRDefault="00754B68" w:rsidP="001D3F19">
      <w:pPr>
        <w:rPr>
          <w:b/>
          <w:sz w:val="20"/>
          <w:szCs w:val="20"/>
        </w:rPr>
      </w:pPr>
    </w:p>
    <w:p w:rsidR="00754B68" w:rsidRDefault="00754B68" w:rsidP="001D3F19">
      <w:pPr>
        <w:rPr>
          <w:b/>
          <w:sz w:val="20"/>
          <w:szCs w:val="20"/>
        </w:rPr>
      </w:pPr>
    </w:p>
    <w:p w:rsidR="00A9688E" w:rsidRPr="00754B68" w:rsidRDefault="00A9688E" w:rsidP="001D3F19">
      <w:pPr>
        <w:rPr>
          <w:b/>
          <w:sz w:val="20"/>
          <w:szCs w:val="20"/>
        </w:rPr>
      </w:pPr>
      <w:bookmarkStart w:id="364" w:name="_Toc370511736"/>
      <w:proofErr w:type="gramStart"/>
      <w:r w:rsidRPr="00754B68">
        <w:rPr>
          <w:b/>
          <w:sz w:val="20"/>
          <w:szCs w:val="20"/>
        </w:rPr>
        <w:t xml:space="preserve">Table </w:t>
      </w:r>
      <w:r w:rsidR="00E7089D">
        <w:rPr>
          <w:b/>
          <w:sz w:val="20"/>
          <w:szCs w:val="20"/>
        </w:rPr>
        <w:fldChar w:fldCharType="begin"/>
      </w:r>
      <w:r w:rsidR="00E7089D">
        <w:rPr>
          <w:b/>
          <w:sz w:val="20"/>
          <w:szCs w:val="20"/>
        </w:rPr>
        <w:instrText xml:space="preserve"> STYLEREF 1 \s </w:instrText>
      </w:r>
      <w:r w:rsidR="00E7089D">
        <w:rPr>
          <w:b/>
          <w:sz w:val="20"/>
          <w:szCs w:val="20"/>
        </w:rPr>
        <w:fldChar w:fldCharType="separate"/>
      </w:r>
      <w:r w:rsidR="00374B77">
        <w:rPr>
          <w:b/>
          <w:noProof/>
          <w:sz w:val="20"/>
          <w:szCs w:val="20"/>
          <w:cs/>
        </w:rPr>
        <w:t>‎</w:t>
      </w:r>
      <w:r w:rsidR="00374B77">
        <w:rPr>
          <w:b/>
          <w:noProof/>
          <w:sz w:val="20"/>
          <w:szCs w:val="20"/>
        </w:rPr>
        <w:t>0</w:t>
      </w:r>
      <w:r w:rsidR="00E7089D">
        <w:rPr>
          <w:b/>
          <w:sz w:val="20"/>
          <w:szCs w:val="20"/>
        </w:rPr>
        <w:fldChar w:fldCharType="end"/>
      </w:r>
      <w:r w:rsidR="00E7089D">
        <w:rPr>
          <w:b/>
          <w:sz w:val="20"/>
          <w:szCs w:val="20"/>
        </w:rPr>
        <w:t>.</w:t>
      </w:r>
      <w:proofErr w:type="gramEnd"/>
      <w:r w:rsidR="00E7089D">
        <w:rPr>
          <w:b/>
          <w:sz w:val="20"/>
          <w:szCs w:val="20"/>
        </w:rPr>
        <w:fldChar w:fldCharType="begin"/>
      </w:r>
      <w:r w:rsidR="00E7089D">
        <w:rPr>
          <w:b/>
          <w:sz w:val="20"/>
          <w:szCs w:val="20"/>
        </w:rPr>
        <w:instrText xml:space="preserve"> SEQ Table \* ARABIC \s 1 </w:instrText>
      </w:r>
      <w:r w:rsidR="00E7089D">
        <w:rPr>
          <w:b/>
          <w:sz w:val="20"/>
          <w:szCs w:val="20"/>
        </w:rPr>
        <w:fldChar w:fldCharType="separate"/>
      </w:r>
      <w:r w:rsidR="00374B77">
        <w:rPr>
          <w:b/>
          <w:noProof/>
          <w:sz w:val="20"/>
          <w:szCs w:val="20"/>
        </w:rPr>
        <w:t>10</w:t>
      </w:r>
      <w:r w:rsidR="00E7089D">
        <w:rPr>
          <w:b/>
          <w:sz w:val="20"/>
          <w:szCs w:val="20"/>
        </w:rPr>
        <w:fldChar w:fldCharType="end"/>
      </w:r>
      <w:r w:rsidRPr="00754B68">
        <w:rPr>
          <w:b/>
          <w:sz w:val="20"/>
          <w:szCs w:val="20"/>
        </w:rPr>
        <w:t xml:space="preserve"> </w:t>
      </w:r>
      <w:r w:rsidR="00754B68" w:rsidRPr="00754B68">
        <w:rPr>
          <w:b/>
          <w:sz w:val="20"/>
          <w:szCs w:val="20"/>
        </w:rPr>
        <w:t xml:space="preserve">Statistical analysis of the modulus of elasticity data after eight months for the experimental and control groups using </w:t>
      </w:r>
      <w:r w:rsidR="00754B68" w:rsidRPr="00754B68">
        <w:rPr>
          <w:rFonts w:eastAsia="Calibri"/>
          <w:b/>
          <w:sz w:val="20"/>
          <w:szCs w:val="20"/>
        </w:rPr>
        <w:t xml:space="preserve">non-parametric </w:t>
      </w:r>
      <w:r w:rsidR="00754B68" w:rsidRPr="00754B68">
        <w:rPr>
          <w:b/>
          <w:sz w:val="20"/>
          <w:szCs w:val="20"/>
        </w:rPr>
        <w:t>Mann-Whitney and Wilcoxon tests</w:t>
      </w:r>
      <w:r w:rsidR="001E57CD">
        <w:rPr>
          <w:b/>
          <w:sz w:val="20"/>
          <w:szCs w:val="20"/>
        </w:rPr>
        <w:t>.</w:t>
      </w:r>
      <w:bookmarkEnd w:id="364"/>
    </w:p>
    <w:tbl>
      <w:tblPr>
        <w:tblpPr w:leftFromText="180" w:rightFromText="180" w:vertAnchor="page" w:horzAnchor="margin" w:tblpY="41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9"/>
        <w:gridCol w:w="573"/>
        <w:gridCol w:w="1425"/>
        <w:gridCol w:w="1708"/>
        <w:gridCol w:w="1822"/>
        <w:gridCol w:w="1203"/>
        <w:gridCol w:w="26"/>
      </w:tblGrid>
      <w:tr w:rsidR="00A9688E" w:rsidTr="00A40948">
        <w:trPr>
          <w:gridAfter w:val="1"/>
          <w:wAfter w:w="15" w:type="pct"/>
          <w:trHeight w:val="660"/>
        </w:trPr>
        <w:tc>
          <w:tcPr>
            <w:tcW w:w="4985" w:type="pct"/>
            <w:gridSpan w:val="6"/>
            <w:vAlign w:val="center"/>
          </w:tcPr>
          <w:p w:rsidR="00A9688E" w:rsidRPr="004F5D7E" w:rsidRDefault="00A9688E" w:rsidP="001F6EED">
            <w:pPr>
              <w:suppressAutoHyphens/>
              <w:autoSpaceDN w:val="0"/>
              <w:jc w:val="center"/>
              <w:textAlignment w:val="baseline"/>
              <w:rPr>
                <w:rFonts w:ascii="Arial" w:eastAsia="Calibri" w:hAnsi="Arial" w:cs="Arial"/>
                <w:b/>
                <w:sz w:val="28"/>
              </w:rPr>
            </w:pPr>
            <w:r>
              <w:rPr>
                <w:rFonts w:ascii="Arial" w:eastAsia="Calibri" w:hAnsi="Arial" w:cs="Arial"/>
                <w:b/>
                <w:sz w:val="28"/>
              </w:rPr>
              <w:t>Eight</w:t>
            </w:r>
            <w:r w:rsidRPr="004F5D7E">
              <w:rPr>
                <w:rFonts w:ascii="Arial" w:eastAsia="Calibri" w:hAnsi="Arial" w:cs="Arial"/>
                <w:b/>
                <w:sz w:val="28"/>
              </w:rPr>
              <w:t xml:space="preserve"> Months</w:t>
            </w:r>
          </w:p>
        </w:tc>
      </w:tr>
      <w:tr w:rsidR="00A9688E" w:rsidRPr="0084209F" w:rsidTr="00A40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051" w:type="pct"/>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Treatment</w:t>
            </w:r>
          </w:p>
        </w:tc>
        <w:tc>
          <w:tcPr>
            <w:tcW w:w="335" w:type="pct"/>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N</w:t>
            </w:r>
          </w:p>
        </w:tc>
        <w:tc>
          <w:tcPr>
            <w:tcW w:w="833" w:type="pct"/>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Mean Rank</w:t>
            </w:r>
          </w:p>
        </w:tc>
        <w:tc>
          <w:tcPr>
            <w:tcW w:w="998" w:type="pct"/>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Sum of Ranks</w:t>
            </w:r>
          </w:p>
        </w:tc>
        <w:tc>
          <w:tcPr>
            <w:tcW w:w="1065" w:type="pct"/>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A9688E" w:rsidRPr="0084209F" w:rsidRDefault="00A9688E" w:rsidP="001F6EED">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Stat -test</w:t>
            </w:r>
          </w:p>
        </w:tc>
        <w:tc>
          <w:tcPr>
            <w:tcW w:w="702" w:type="pct"/>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A9688E" w:rsidRPr="0084209F" w:rsidRDefault="00A9688E" w:rsidP="001F6EED">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MOD</w:t>
            </w:r>
          </w:p>
        </w:tc>
        <w:tc>
          <w:tcPr>
            <w:tcW w:w="15" w:type="pct"/>
            <w:shd w:val="clear" w:color="auto" w:fill="auto"/>
            <w:tcMar>
              <w:top w:w="0" w:type="dxa"/>
              <w:left w:w="10" w:type="dxa"/>
              <w:bottom w:w="0" w:type="dxa"/>
              <w:right w:w="10" w:type="dxa"/>
            </w:tcMar>
            <w:vAlign w:val="center"/>
          </w:tcPr>
          <w:p w:rsidR="00A9688E" w:rsidRPr="0084209F" w:rsidRDefault="00A9688E" w:rsidP="001F6EED">
            <w:pPr>
              <w:suppressAutoHyphens/>
              <w:autoSpaceDN w:val="0"/>
              <w:spacing w:after="0" w:line="240" w:lineRule="auto"/>
              <w:jc w:val="center"/>
              <w:rPr>
                <w:rFonts w:ascii="Arial" w:eastAsia="Calibri" w:hAnsi="Arial" w:cs="Arial"/>
                <w:b/>
                <w:sz w:val="20"/>
                <w:szCs w:val="20"/>
              </w:rPr>
            </w:pPr>
          </w:p>
        </w:tc>
      </w:tr>
      <w:tr w:rsidR="00A9688E" w:rsidRPr="0084209F" w:rsidTr="00A40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33"/>
        </w:trPr>
        <w:tc>
          <w:tcPr>
            <w:tcW w:w="1051" w:type="pct"/>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control gr</w:t>
            </w:r>
          </w:p>
        </w:tc>
        <w:tc>
          <w:tcPr>
            <w:tcW w:w="335" w:type="pct"/>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833" w:type="pct"/>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9</w:t>
            </w:r>
          </w:p>
        </w:tc>
        <w:tc>
          <w:tcPr>
            <w:tcW w:w="998" w:type="pct"/>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13.00</w:t>
            </w:r>
          </w:p>
        </w:tc>
        <w:tc>
          <w:tcPr>
            <w:tcW w:w="1065"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Mann-Whitney U</w:t>
            </w:r>
          </w:p>
        </w:tc>
        <w:tc>
          <w:tcPr>
            <w:tcW w:w="71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9688E" w:rsidRPr="0084209F" w:rsidRDefault="007E0556" w:rsidP="001F6EED">
            <w:pPr>
              <w:suppressAutoHyphens/>
              <w:autoSpaceDN w:val="0"/>
              <w:jc w:val="center"/>
              <w:textAlignment w:val="baseline"/>
              <w:rPr>
                <w:rFonts w:ascii="Arial" w:eastAsia="Calibri" w:hAnsi="Arial"/>
              </w:rPr>
            </w:pPr>
            <w:r>
              <w:rPr>
                <w:rFonts w:ascii="Arial" w:eastAsia="Calibri" w:hAnsi="Arial"/>
              </w:rPr>
              <w:t>9</w:t>
            </w:r>
            <w:r w:rsidR="00A9688E" w:rsidRPr="0084209F">
              <w:rPr>
                <w:rFonts w:ascii="Arial" w:eastAsia="Calibri" w:hAnsi="Arial"/>
              </w:rPr>
              <w:t>.000</w:t>
            </w:r>
          </w:p>
        </w:tc>
      </w:tr>
      <w:tr w:rsidR="00A9688E" w:rsidRPr="0084209F" w:rsidTr="00A40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051" w:type="pct"/>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NSCH gr</w:t>
            </w:r>
          </w:p>
        </w:tc>
        <w:tc>
          <w:tcPr>
            <w:tcW w:w="335" w:type="pct"/>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833" w:type="pct"/>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9</w:t>
            </w:r>
          </w:p>
        </w:tc>
        <w:tc>
          <w:tcPr>
            <w:tcW w:w="998" w:type="pct"/>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6.00</w:t>
            </w:r>
          </w:p>
        </w:tc>
        <w:tc>
          <w:tcPr>
            <w:tcW w:w="1065"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Wilcoxon W</w:t>
            </w:r>
          </w:p>
        </w:tc>
        <w:tc>
          <w:tcPr>
            <w:tcW w:w="71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54.000</w:t>
            </w:r>
          </w:p>
        </w:tc>
      </w:tr>
      <w:tr w:rsidR="00A9688E" w:rsidRPr="0084209F" w:rsidTr="00A40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051" w:type="pct"/>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Total</w:t>
            </w:r>
          </w:p>
        </w:tc>
        <w:tc>
          <w:tcPr>
            <w:tcW w:w="335" w:type="pct"/>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18</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p>
        </w:tc>
        <w:tc>
          <w:tcPr>
            <w:tcW w:w="9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p>
        </w:tc>
        <w:tc>
          <w:tcPr>
            <w:tcW w:w="1065" w:type="pc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A9688E" w:rsidRPr="0084209F" w:rsidRDefault="00A9688E" w:rsidP="001F6EED">
            <w:pPr>
              <w:suppressAutoHyphens/>
              <w:autoSpaceDN w:val="0"/>
              <w:spacing w:after="0" w:line="240" w:lineRule="auto"/>
              <w:jc w:val="center"/>
              <w:rPr>
                <w:rFonts w:ascii="Arial" w:eastAsia="Calibri" w:hAnsi="Arial"/>
              </w:rPr>
            </w:pPr>
            <w:r w:rsidRPr="0084209F">
              <w:rPr>
                <w:rFonts w:ascii="Arial" w:eastAsia="SimSun" w:hAnsi="Arial" w:cs="Arial"/>
                <w:b/>
                <w:color w:val="000000"/>
                <w:sz w:val="20"/>
                <w:szCs w:val="20"/>
                <w:lang w:eastAsia="zh-CN"/>
              </w:rPr>
              <w:t>. Sig</w:t>
            </w:r>
          </w:p>
        </w:tc>
        <w:tc>
          <w:tcPr>
            <w:tcW w:w="717" w:type="pct"/>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A9688E" w:rsidRPr="0084209F" w:rsidRDefault="00A9688E" w:rsidP="001F6EED">
            <w:pPr>
              <w:suppressAutoHyphens/>
              <w:autoSpaceDN w:val="0"/>
              <w:spacing w:after="0" w:line="240" w:lineRule="auto"/>
              <w:jc w:val="center"/>
              <w:rPr>
                <w:rFonts w:ascii="Arial" w:eastAsia="Calibri" w:hAnsi="Arial"/>
              </w:rPr>
            </w:pPr>
            <w:r w:rsidRPr="0084209F">
              <w:rPr>
                <w:rFonts w:ascii="Arial" w:eastAsia="SimSun" w:hAnsi="Arial" w:cs="Arial"/>
                <w:b/>
                <w:color w:val="000000"/>
                <w:sz w:val="20"/>
                <w:szCs w:val="20"/>
                <w:lang w:eastAsia="zh-CN"/>
              </w:rPr>
              <w:t>0.00</w:t>
            </w:r>
            <w:r w:rsidR="007E0556">
              <w:rPr>
                <w:rFonts w:ascii="Arial" w:eastAsia="SimSun" w:hAnsi="Arial" w:cs="Arial"/>
                <w:b/>
                <w:color w:val="000000"/>
                <w:sz w:val="20"/>
                <w:szCs w:val="20"/>
                <w:lang w:eastAsia="zh-CN"/>
              </w:rPr>
              <w:t>4</w:t>
            </w:r>
          </w:p>
        </w:tc>
      </w:tr>
      <w:tr w:rsidR="00A9688E" w:rsidRPr="0084209F" w:rsidTr="00A40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051" w:type="pct"/>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control gr</w:t>
            </w:r>
          </w:p>
        </w:tc>
        <w:tc>
          <w:tcPr>
            <w:tcW w:w="335" w:type="pct"/>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833" w:type="pct"/>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13.67</w:t>
            </w:r>
          </w:p>
        </w:tc>
        <w:tc>
          <w:tcPr>
            <w:tcW w:w="998" w:type="pct"/>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A9688E" w:rsidRPr="0084209F" w:rsidRDefault="007E0556" w:rsidP="001F6EED">
            <w:pPr>
              <w:suppressAutoHyphens/>
              <w:autoSpaceDN w:val="0"/>
              <w:jc w:val="center"/>
              <w:textAlignment w:val="baseline"/>
              <w:rPr>
                <w:rFonts w:ascii="Arial" w:eastAsia="Calibri" w:hAnsi="Arial"/>
              </w:rPr>
            </w:pPr>
            <w:r>
              <w:rPr>
                <w:rFonts w:ascii="Arial" w:eastAsia="Calibri" w:hAnsi="Arial"/>
              </w:rPr>
              <w:t>100</w:t>
            </w:r>
            <w:r w:rsidR="00A9688E" w:rsidRPr="0084209F">
              <w:rPr>
                <w:rFonts w:ascii="Arial" w:eastAsia="Calibri" w:hAnsi="Arial"/>
              </w:rPr>
              <w:t>.00</w:t>
            </w:r>
          </w:p>
        </w:tc>
        <w:tc>
          <w:tcPr>
            <w:tcW w:w="1065"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Mann-Whitney U</w:t>
            </w:r>
          </w:p>
        </w:tc>
        <w:tc>
          <w:tcPr>
            <w:tcW w:w="71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3.000</w:t>
            </w:r>
          </w:p>
        </w:tc>
      </w:tr>
      <w:tr w:rsidR="00A9688E" w:rsidRPr="0084209F" w:rsidTr="00A40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051" w:type="pct"/>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MTA gr</w:t>
            </w:r>
          </w:p>
        </w:tc>
        <w:tc>
          <w:tcPr>
            <w:tcW w:w="335" w:type="pct"/>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833" w:type="pct"/>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5.33</w:t>
            </w:r>
          </w:p>
        </w:tc>
        <w:tc>
          <w:tcPr>
            <w:tcW w:w="998" w:type="pct"/>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48.00</w:t>
            </w:r>
          </w:p>
        </w:tc>
        <w:tc>
          <w:tcPr>
            <w:tcW w:w="1065"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Wilcoxon W</w:t>
            </w:r>
          </w:p>
        </w:tc>
        <w:tc>
          <w:tcPr>
            <w:tcW w:w="71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48.000</w:t>
            </w:r>
          </w:p>
        </w:tc>
      </w:tr>
      <w:tr w:rsidR="00A9688E" w:rsidRPr="0084209F" w:rsidTr="00A40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051" w:type="pct"/>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Total</w:t>
            </w:r>
          </w:p>
        </w:tc>
        <w:tc>
          <w:tcPr>
            <w:tcW w:w="335" w:type="pct"/>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18</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p>
        </w:tc>
        <w:tc>
          <w:tcPr>
            <w:tcW w:w="9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p>
        </w:tc>
        <w:tc>
          <w:tcPr>
            <w:tcW w:w="1065" w:type="pc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A9688E" w:rsidRPr="0084209F" w:rsidRDefault="00A9688E" w:rsidP="001F6EED">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Sig</w:t>
            </w:r>
          </w:p>
        </w:tc>
        <w:tc>
          <w:tcPr>
            <w:tcW w:w="717" w:type="pct"/>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A9688E" w:rsidRPr="0084209F" w:rsidRDefault="00A9688E" w:rsidP="001F6EED">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0.001</w:t>
            </w:r>
          </w:p>
        </w:tc>
      </w:tr>
      <w:tr w:rsidR="00A9688E" w:rsidRPr="0084209F" w:rsidTr="00A40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33"/>
        </w:trPr>
        <w:tc>
          <w:tcPr>
            <w:tcW w:w="1051" w:type="pct"/>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NSCH gr</w:t>
            </w:r>
          </w:p>
        </w:tc>
        <w:tc>
          <w:tcPr>
            <w:tcW w:w="335" w:type="pct"/>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833" w:type="pct"/>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11.</w:t>
            </w:r>
            <w:r w:rsidR="007E0556">
              <w:rPr>
                <w:rFonts w:ascii="Arial" w:eastAsia="Calibri" w:hAnsi="Arial"/>
              </w:rPr>
              <w:t>11</w:t>
            </w:r>
          </w:p>
        </w:tc>
        <w:tc>
          <w:tcPr>
            <w:tcW w:w="998" w:type="pct"/>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10</w:t>
            </w:r>
            <w:r>
              <w:rPr>
                <w:rFonts w:ascii="Arial" w:eastAsia="Calibri" w:hAnsi="Arial"/>
              </w:rPr>
              <w:t>4</w:t>
            </w:r>
            <w:r w:rsidRPr="0084209F">
              <w:rPr>
                <w:rFonts w:ascii="Arial" w:eastAsia="Calibri" w:hAnsi="Arial"/>
              </w:rPr>
              <w:t>.00</w:t>
            </w:r>
          </w:p>
        </w:tc>
        <w:tc>
          <w:tcPr>
            <w:tcW w:w="1065"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Mann-Whitney U</w:t>
            </w:r>
          </w:p>
        </w:tc>
        <w:tc>
          <w:tcPr>
            <w:tcW w:w="71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2</w:t>
            </w:r>
            <w:r>
              <w:rPr>
                <w:rFonts w:ascii="Arial" w:eastAsia="Calibri" w:hAnsi="Arial"/>
              </w:rPr>
              <w:t>2</w:t>
            </w:r>
            <w:r w:rsidRPr="0084209F">
              <w:rPr>
                <w:rFonts w:ascii="Arial" w:eastAsia="Calibri" w:hAnsi="Arial"/>
              </w:rPr>
              <w:t>.000</w:t>
            </w:r>
          </w:p>
        </w:tc>
      </w:tr>
      <w:tr w:rsidR="00A9688E" w:rsidRPr="0084209F" w:rsidTr="00A40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18"/>
        </w:trPr>
        <w:tc>
          <w:tcPr>
            <w:tcW w:w="1051" w:type="pct"/>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MTA gr</w:t>
            </w:r>
          </w:p>
        </w:tc>
        <w:tc>
          <w:tcPr>
            <w:tcW w:w="335" w:type="pct"/>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9</w:t>
            </w:r>
          </w:p>
        </w:tc>
        <w:tc>
          <w:tcPr>
            <w:tcW w:w="833" w:type="pct"/>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sidRPr="0084209F">
              <w:rPr>
                <w:rFonts w:ascii="Arial" w:eastAsia="Calibri" w:hAnsi="Arial"/>
              </w:rPr>
              <w:t>7.</w:t>
            </w:r>
            <w:r w:rsidR="007E0556">
              <w:rPr>
                <w:rFonts w:ascii="Arial" w:eastAsia="Calibri" w:hAnsi="Arial"/>
              </w:rPr>
              <w:t>89</w:t>
            </w:r>
          </w:p>
        </w:tc>
        <w:tc>
          <w:tcPr>
            <w:tcW w:w="998" w:type="pct"/>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Pr>
                <w:rFonts w:ascii="Arial" w:eastAsia="Calibri" w:hAnsi="Arial"/>
              </w:rPr>
              <w:t>67</w:t>
            </w:r>
            <w:r w:rsidRPr="0084209F">
              <w:rPr>
                <w:rFonts w:ascii="Arial" w:eastAsia="Calibri" w:hAnsi="Arial"/>
              </w:rPr>
              <w:t>.00</w:t>
            </w:r>
          </w:p>
        </w:tc>
        <w:tc>
          <w:tcPr>
            <w:tcW w:w="1065"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Wilcoxon W</w:t>
            </w:r>
          </w:p>
        </w:tc>
        <w:tc>
          <w:tcPr>
            <w:tcW w:w="71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rPr>
            </w:pPr>
            <w:r>
              <w:rPr>
                <w:rFonts w:ascii="Arial" w:eastAsia="Calibri" w:hAnsi="Arial"/>
              </w:rPr>
              <w:t>67</w:t>
            </w:r>
            <w:r w:rsidRPr="0084209F">
              <w:rPr>
                <w:rFonts w:ascii="Arial" w:eastAsia="Calibri" w:hAnsi="Arial"/>
              </w:rPr>
              <w:t>.000</w:t>
            </w:r>
          </w:p>
        </w:tc>
      </w:tr>
      <w:tr w:rsidR="00A9688E" w:rsidRPr="0084209F" w:rsidTr="00A40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33"/>
        </w:trPr>
        <w:tc>
          <w:tcPr>
            <w:tcW w:w="1051" w:type="pct"/>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Total</w:t>
            </w:r>
          </w:p>
        </w:tc>
        <w:tc>
          <w:tcPr>
            <w:tcW w:w="335" w:type="pct"/>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18</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p>
        </w:tc>
        <w:tc>
          <w:tcPr>
            <w:tcW w:w="9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p>
        </w:tc>
        <w:tc>
          <w:tcPr>
            <w:tcW w:w="1065" w:type="pct"/>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A9688E" w:rsidRPr="0084209F" w:rsidRDefault="00A9688E" w:rsidP="001F6EED">
            <w:pPr>
              <w:suppressAutoHyphens/>
              <w:autoSpaceDN w:val="0"/>
              <w:jc w:val="center"/>
              <w:textAlignment w:val="baseline"/>
              <w:rPr>
                <w:rFonts w:ascii="Arial" w:eastAsia="Calibri" w:hAnsi="Arial" w:cs="Arial"/>
                <w:b/>
                <w:sz w:val="20"/>
                <w:szCs w:val="20"/>
              </w:rPr>
            </w:pPr>
            <w:r w:rsidRPr="0084209F">
              <w:rPr>
                <w:rFonts w:ascii="Arial" w:eastAsia="Calibri" w:hAnsi="Arial" w:cs="Arial"/>
                <w:b/>
                <w:sz w:val="20"/>
                <w:szCs w:val="20"/>
              </w:rPr>
              <w:t>. Sig</w:t>
            </w:r>
          </w:p>
        </w:tc>
        <w:tc>
          <w:tcPr>
            <w:tcW w:w="717" w:type="pct"/>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rsidR="00A9688E" w:rsidRPr="0084209F" w:rsidRDefault="00A9688E" w:rsidP="001F6EED">
            <w:pPr>
              <w:suppressAutoHyphens/>
              <w:autoSpaceDN w:val="0"/>
              <w:spacing w:after="0" w:line="240" w:lineRule="auto"/>
              <w:jc w:val="center"/>
              <w:rPr>
                <w:rFonts w:ascii="Arial" w:eastAsia="Calibri" w:hAnsi="Arial" w:cs="Arial"/>
                <w:b/>
                <w:sz w:val="20"/>
                <w:szCs w:val="20"/>
              </w:rPr>
            </w:pPr>
            <w:r w:rsidRPr="0084209F">
              <w:rPr>
                <w:rFonts w:ascii="Arial" w:eastAsia="Calibri" w:hAnsi="Arial" w:cs="Arial"/>
                <w:b/>
                <w:sz w:val="20"/>
                <w:szCs w:val="20"/>
              </w:rPr>
              <w:t>0.</w:t>
            </w:r>
            <w:r>
              <w:rPr>
                <w:rFonts w:ascii="Arial" w:eastAsia="Calibri" w:hAnsi="Arial" w:cs="Arial"/>
                <w:b/>
                <w:sz w:val="20"/>
                <w:szCs w:val="20"/>
              </w:rPr>
              <w:t>113</w:t>
            </w:r>
          </w:p>
        </w:tc>
      </w:tr>
    </w:tbl>
    <w:p w:rsidR="00A9688E" w:rsidRPr="00A9688E" w:rsidRDefault="00A9688E" w:rsidP="00A9688E">
      <w:pPr>
        <w:rPr>
          <w:lang w:val="en-US" w:eastAsia="zh-CN"/>
        </w:rPr>
      </w:pPr>
    </w:p>
    <w:p w:rsidR="007E0556" w:rsidRDefault="007E0556">
      <w:pPr>
        <w:rPr>
          <w:rFonts w:eastAsia="Calibri"/>
          <w:b/>
          <w:bCs/>
          <w:sz w:val="28"/>
          <w:lang w:val="en-US"/>
        </w:rPr>
      </w:pPr>
      <w:r>
        <w:rPr>
          <w:rFonts w:eastAsia="Calibri"/>
          <w:lang w:val="en-US"/>
        </w:rPr>
        <w:br w:type="page"/>
      </w:r>
    </w:p>
    <w:p w:rsidR="0041603D" w:rsidRPr="00B013ED" w:rsidRDefault="0041603D" w:rsidP="00A077E8">
      <w:pPr>
        <w:pStyle w:val="Heading3"/>
        <w:spacing w:line="480" w:lineRule="auto"/>
        <w:rPr>
          <w:rFonts w:eastAsia="Calibri"/>
          <w:lang w:val="en-US"/>
        </w:rPr>
      </w:pPr>
      <w:bookmarkStart w:id="365" w:name="_Toc370819244"/>
      <w:r w:rsidRPr="00B013ED">
        <w:rPr>
          <w:rFonts w:eastAsia="Calibri"/>
          <w:lang w:val="en-US"/>
        </w:rPr>
        <w:lastRenderedPageBreak/>
        <w:t>Nano mapping scan</w:t>
      </w:r>
      <w:bookmarkEnd w:id="365"/>
    </w:p>
    <w:p w:rsidR="00754B68" w:rsidRPr="00A077E8" w:rsidRDefault="00754B68" w:rsidP="00533E59">
      <w:pPr>
        <w:autoSpaceDN w:val="0"/>
        <w:spacing w:line="480" w:lineRule="auto"/>
        <w:jc w:val="both"/>
        <w:rPr>
          <w:rFonts w:eastAsia="Calibri"/>
          <w:lang w:val="en-US"/>
        </w:rPr>
      </w:pPr>
      <w:r w:rsidRPr="00A077E8">
        <w:rPr>
          <w:rFonts w:eastAsia="Calibri"/>
          <w:lang w:val="en-US"/>
        </w:rPr>
        <w:t>Results are presented for</w:t>
      </w:r>
      <w:r>
        <w:rPr>
          <w:rFonts w:eastAsia="Calibri"/>
          <w:lang w:val="en-US"/>
        </w:rPr>
        <w:t xml:space="preserve"> </w:t>
      </w:r>
      <w:r w:rsidRPr="00A077E8">
        <w:rPr>
          <w:rFonts w:eastAsia="Calibri"/>
          <w:lang w:val="en-US"/>
        </w:rPr>
        <w:t>the map scan illustrating the mechanical properties throughout the dentine slabs</w:t>
      </w:r>
      <w:r>
        <w:rPr>
          <w:rFonts w:eastAsia="Calibri"/>
          <w:lang w:val="en-US"/>
        </w:rPr>
        <w:t xml:space="preserve"> </w:t>
      </w:r>
      <w:r w:rsidRPr="00A077E8">
        <w:rPr>
          <w:rFonts w:eastAsia="Calibri"/>
          <w:lang w:val="en-US"/>
        </w:rPr>
        <w:t xml:space="preserve">for all groups. </w:t>
      </w:r>
      <w:r>
        <w:rPr>
          <w:rFonts w:eastAsia="Calibri"/>
          <w:lang w:val="en-US"/>
        </w:rPr>
        <w:t>This was performed after 8 months of application of the test materials.</w:t>
      </w:r>
    </w:p>
    <w:p w:rsidR="00754B68" w:rsidRPr="00A077E8" w:rsidRDefault="00754B68" w:rsidP="00533E59">
      <w:pPr>
        <w:autoSpaceDN w:val="0"/>
        <w:spacing w:line="480" w:lineRule="auto"/>
        <w:jc w:val="both"/>
        <w:rPr>
          <w:rFonts w:eastAsia="Calibri"/>
          <w:lang w:val="en-US"/>
        </w:rPr>
      </w:pPr>
      <w:r w:rsidRPr="007E0556">
        <w:rPr>
          <w:rFonts w:eastAsia="Calibri"/>
          <w:lang w:val="en-US"/>
        </w:rPr>
        <w:t>A nano</w:t>
      </w:r>
      <w:r>
        <w:rPr>
          <w:rFonts w:eastAsia="Calibri"/>
          <w:lang w:val="en-US"/>
        </w:rPr>
        <w:t>-</w:t>
      </w:r>
      <w:r w:rsidRPr="007E0556">
        <w:rPr>
          <w:rFonts w:eastAsia="Calibri"/>
          <w:lang w:val="en-US"/>
        </w:rPr>
        <w:t>software that is built into the nano</w:t>
      </w:r>
      <w:r>
        <w:rPr>
          <w:rFonts w:eastAsia="Calibri"/>
          <w:lang w:val="en-US"/>
        </w:rPr>
        <w:t>-</w:t>
      </w:r>
      <w:r w:rsidRPr="007E0556">
        <w:rPr>
          <w:rFonts w:eastAsia="Calibri"/>
          <w:lang w:val="en-US"/>
        </w:rPr>
        <w:t>indentor assessment method was used to interpolate between the individual values of hardness and modulus of elasticity thereby creating a continuous map.</w:t>
      </w:r>
      <w:r w:rsidRPr="00A077E8">
        <w:rPr>
          <w:rFonts w:eastAsia="Calibri"/>
          <w:lang w:val="en-US"/>
        </w:rPr>
        <w:t xml:space="preserve"> </w:t>
      </w:r>
    </w:p>
    <w:p w:rsidR="00A077E8" w:rsidRPr="00287D2F" w:rsidRDefault="00754B68" w:rsidP="00287D2F">
      <w:pPr>
        <w:spacing w:line="480" w:lineRule="auto"/>
        <w:jc w:val="both"/>
        <w:rPr>
          <w:rFonts w:cstheme="minorBidi"/>
          <w:szCs w:val="24"/>
          <w:lang w:val="en-US"/>
        </w:rPr>
      </w:pPr>
      <w:r w:rsidRPr="00287D2F">
        <w:rPr>
          <w:rFonts w:cstheme="minorBidi"/>
          <w:szCs w:val="24"/>
          <w:lang w:val="en-US"/>
        </w:rPr>
        <w:t>Hardness values were presented in map scan indicated by different colours, and every colour represents a value of hardness or modulus of elasticity throughout the dentine slab surface. It is clear that the control group showed the highest hardness</w:t>
      </w:r>
      <w:r w:rsidR="00287D2F" w:rsidRPr="00287D2F">
        <w:rPr>
          <w:rFonts w:cstheme="minorBidi"/>
          <w:szCs w:val="24"/>
          <w:lang w:val="en-US"/>
        </w:rPr>
        <w:t xml:space="preserve"> </w:t>
      </w:r>
      <w:r w:rsidR="007E0556" w:rsidRPr="00287D2F">
        <w:rPr>
          <w:rFonts w:cstheme="minorBidi"/>
          <w:szCs w:val="24"/>
          <w:lang w:val="en-US"/>
        </w:rPr>
        <w:fldChar w:fldCharType="begin"/>
      </w:r>
      <w:r w:rsidR="007E0556" w:rsidRPr="00287D2F">
        <w:rPr>
          <w:rFonts w:cstheme="minorBidi"/>
          <w:szCs w:val="24"/>
          <w:lang w:val="en-US"/>
        </w:rPr>
        <w:instrText xml:space="preserve"> REF _Ref361129859 \h  \* MERGEFORMAT </w:instrText>
      </w:r>
      <w:r w:rsidR="007E0556" w:rsidRPr="00287D2F">
        <w:rPr>
          <w:rFonts w:cstheme="minorBidi"/>
          <w:szCs w:val="24"/>
          <w:lang w:val="en-US"/>
        </w:rPr>
      </w:r>
      <w:r w:rsidR="007E0556" w:rsidRPr="00287D2F">
        <w:rPr>
          <w:rFonts w:cstheme="minorBidi"/>
          <w:szCs w:val="24"/>
          <w:lang w:val="en-US"/>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noProof/>
          <w:sz w:val="20"/>
          <w:szCs w:val="20"/>
        </w:rPr>
        <w:t>0.14</w:t>
      </w:r>
      <w:r w:rsidR="007E0556" w:rsidRPr="00287D2F">
        <w:rPr>
          <w:rFonts w:cstheme="minorBidi"/>
          <w:szCs w:val="24"/>
          <w:lang w:val="en-US"/>
        </w:rPr>
        <w:fldChar w:fldCharType="end"/>
      </w:r>
      <w:r w:rsidR="007E0556" w:rsidRPr="00287D2F">
        <w:rPr>
          <w:rFonts w:cstheme="minorBidi"/>
          <w:szCs w:val="24"/>
          <w:lang w:val="en-US"/>
        </w:rPr>
        <w:t xml:space="preserve"> </w:t>
      </w:r>
      <w:r w:rsidR="00A077E8" w:rsidRPr="00287D2F">
        <w:rPr>
          <w:rFonts w:cstheme="minorBidi"/>
          <w:szCs w:val="24"/>
          <w:lang w:val="en-US"/>
        </w:rPr>
        <w:t>and modulus of elasticity</w:t>
      </w:r>
      <w:r w:rsidR="004C2E30" w:rsidRPr="00287D2F">
        <w:rPr>
          <w:rFonts w:cstheme="minorBidi"/>
          <w:szCs w:val="24"/>
          <w:lang w:val="en-US"/>
        </w:rPr>
        <w:t xml:space="preserve"> (</w:t>
      </w:r>
      <w:r w:rsidR="00AE1540" w:rsidRPr="00287D2F">
        <w:rPr>
          <w:rFonts w:cstheme="minorBidi"/>
          <w:szCs w:val="24"/>
          <w:lang w:val="en-US"/>
        </w:rPr>
        <w:fldChar w:fldCharType="begin"/>
      </w:r>
      <w:r w:rsidR="00AE1540" w:rsidRPr="00287D2F">
        <w:rPr>
          <w:rFonts w:cstheme="minorBidi"/>
          <w:szCs w:val="24"/>
          <w:lang w:val="en-US"/>
        </w:rPr>
        <w:instrText xml:space="preserve"> REF _Ref361612720 \h  \* MERGEFORMAT </w:instrText>
      </w:r>
      <w:r w:rsidR="00AE1540" w:rsidRPr="00287D2F">
        <w:rPr>
          <w:rFonts w:cstheme="minorBidi"/>
          <w:szCs w:val="24"/>
          <w:lang w:val="en-US"/>
        </w:rPr>
      </w:r>
      <w:r w:rsidR="00AE1540" w:rsidRPr="00287D2F">
        <w:rPr>
          <w:rFonts w:cstheme="minorBidi"/>
          <w:szCs w:val="24"/>
          <w:lang w:val="en-US"/>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b/>
          <w:bCs/>
          <w:noProof/>
          <w:sz w:val="20"/>
          <w:szCs w:val="20"/>
        </w:rPr>
        <w:t>0.17</w:t>
      </w:r>
      <w:r w:rsidR="00AE1540" w:rsidRPr="00287D2F">
        <w:rPr>
          <w:rFonts w:cstheme="minorBidi"/>
          <w:szCs w:val="24"/>
          <w:lang w:val="en-US"/>
        </w:rPr>
        <w:fldChar w:fldCharType="end"/>
      </w:r>
      <w:r w:rsidR="004C2E30" w:rsidRPr="00287D2F">
        <w:rPr>
          <w:rFonts w:cstheme="minorBidi"/>
          <w:szCs w:val="24"/>
          <w:lang w:val="en-US"/>
        </w:rPr>
        <w:t>),</w:t>
      </w:r>
      <w:r w:rsidR="00A077E8" w:rsidRPr="00287D2F">
        <w:rPr>
          <w:rFonts w:cstheme="minorBidi"/>
          <w:szCs w:val="24"/>
          <w:lang w:val="en-US"/>
        </w:rPr>
        <w:t xml:space="preserve"> followed by NSCH</w:t>
      </w:r>
      <w:r w:rsidR="00882F9F" w:rsidRPr="00287D2F">
        <w:rPr>
          <w:rFonts w:cstheme="minorBidi"/>
          <w:szCs w:val="24"/>
          <w:lang w:val="en-US"/>
        </w:rPr>
        <w:t xml:space="preserve"> </w:t>
      </w:r>
      <w:r w:rsidR="004C2E30" w:rsidRPr="00287D2F">
        <w:rPr>
          <w:rFonts w:cstheme="minorBidi"/>
          <w:szCs w:val="24"/>
          <w:lang w:val="en-US"/>
        </w:rPr>
        <w:t>(</w:t>
      </w:r>
      <w:r w:rsidR="002C09FC" w:rsidRPr="00287D2F">
        <w:rPr>
          <w:rFonts w:cstheme="minorBidi"/>
          <w:szCs w:val="24"/>
          <w:lang w:val="en-US"/>
        </w:rPr>
        <w:fldChar w:fldCharType="begin"/>
      </w:r>
      <w:r w:rsidR="002C09FC" w:rsidRPr="00287D2F">
        <w:rPr>
          <w:rFonts w:cstheme="minorBidi"/>
          <w:szCs w:val="24"/>
          <w:lang w:val="en-US"/>
        </w:rPr>
        <w:instrText xml:space="preserve"> REF _Ref360450326 \h  \* MERGEFORMAT </w:instrText>
      </w:r>
      <w:r w:rsidR="002C09FC" w:rsidRPr="00287D2F">
        <w:rPr>
          <w:rFonts w:cstheme="minorBidi"/>
          <w:szCs w:val="24"/>
          <w:lang w:val="en-US"/>
        </w:rPr>
      </w:r>
      <w:r w:rsidR="002C09FC" w:rsidRPr="00287D2F">
        <w:rPr>
          <w:rFonts w:cstheme="minorBidi"/>
          <w:szCs w:val="24"/>
          <w:lang w:val="en-US"/>
        </w:rPr>
        <w:fldChar w:fldCharType="separate"/>
      </w:r>
      <w:r w:rsidR="00374B77" w:rsidRPr="00374B77">
        <w:rPr>
          <w:rFonts w:cstheme="minorBidi"/>
          <w:szCs w:val="24"/>
        </w:rPr>
        <w:t xml:space="preserve">Figure </w:t>
      </w:r>
      <w:r w:rsidR="00374B77" w:rsidRPr="00374B77">
        <w:rPr>
          <w:rFonts w:cstheme="minorBidi"/>
          <w:szCs w:val="24"/>
          <w:cs/>
        </w:rPr>
        <w:t>‎</w:t>
      </w:r>
      <w:r w:rsidR="00374B77">
        <w:rPr>
          <w:rFonts w:ascii="Arial" w:hAnsi="Arial" w:cs="Arial"/>
          <w:b/>
          <w:noProof/>
          <w:sz w:val="20"/>
          <w:szCs w:val="20"/>
        </w:rPr>
        <w:t>0.15</w:t>
      </w:r>
      <w:r w:rsidR="002C09FC" w:rsidRPr="00287D2F">
        <w:rPr>
          <w:rFonts w:cstheme="minorBidi"/>
          <w:szCs w:val="24"/>
          <w:lang w:val="en-US"/>
        </w:rPr>
        <w:fldChar w:fldCharType="end"/>
      </w:r>
      <w:r w:rsidR="004C2E30" w:rsidRPr="00287D2F">
        <w:rPr>
          <w:rFonts w:cstheme="minorBidi"/>
          <w:szCs w:val="24"/>
          <w:lang w:val="en-US"/>
        </w:rPr>
        <w:t>)</w:t>
      </w:r>
      <w:r w:rsidR="00D61C02" w:rsidRPr="00287D2F">
        <w:rPr>
          <w:rFonts w:cstheme="minorBidi"/>
          <w:szCs w:val="24"/>
          <w:lang w:val="en-US"/>
        </w:rPr>
        <w:t xml:space="preserve"> and </w:t>
      </w:r>
      <w:r w:rsidR="004C2E30" w:rsidRPr="00287D2F">
        <w:rPr>
          <w:rFonts w:cstheme="minorBidi"/>
          <w:szCs w:val="24"/>
          <w:lang w:val="en-US"/>
        </w:rPr>
        <w:t>(</w:t>
      </w:r>
      <w:r w:rsidR="002C09FC" w:rsidRPr="00287D2F">
        <w:rPr>
          <w:rFonts w:cstheme="minorBidi"/>
          <w:szCs w:val="24"/>
          <w:lang w:val="en-US"/>
        </w:rPr>
        <w:fldChar w:fldCharType="begin"/>
      </w:r>
      <w:r w:rsidR="002C09FC" w:rsidRPr="00287D2F">
        <w:rPr>
          <w:rFonts w:cstheme="minorBidi"/>
          <w:szCs w:val="24"/>
          <w:lang w:val="en-US"/>
        </w:rPr>
        <w:instrText xml:space="preserve"> REF _Ref361129949 \h  \* MERGEFORMAT </w:instrText>
      </w:r>
      <w:r w:rsidR="002C09FC" w:rsidRPr="00287D2F">
        <w:rPr>
          <w:rFonts w:cstheme="minorBidi"/>
          <w:szCs w:val="24"/>
          <w:lang w:val="en-US"/>
        </w:rPr>
      </w:r>
      <w:r w:rsidR="002C09FC" w:rsidRPr="00287D2F">
        <w:rPr>
          <w:rFonts w:cstheme="minorBidi"/>
          <w:szCs w:val="24"/>
          <w:lang w:val="en-US"/>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b/>
          <w:bCs/>
          <w:noProof/>
          <w:sz w:val="20"/>
          <w:szCs w:val="20"/>
        </w:rPr>
        <w:t>0.18</w:t>
      </w:r>
      <w:r w:rsidR="002C09FC" w:rsidRPr="00287D2F">
        <w:rPr>
          <w:rFonts w:cstheme="minorBidi"/>
          <w:szCs w:val="24"/>
          <w:lang w:val="en-US"/>
        </w:rPr>
        <w:fldChar w:fldCharType="end"/>
      </w:r>
      <w:r w:rsidRPr="00287D2F">
        <w:rPr>
          <w:rFonts w:cstheme="minorBidi"/>
          <w:szCs w:val="24"/>
          <w:lang w:val="en-US"/>
        </w:rPr>
        <w:t>)</w:t>
      </w:r>
      <w:r w:rsidR="00882F9F" w:rsidRPr="00287D2F">
        <w:rPr>
          <w:rFonts w:cstheme="minorBidi"/>
          <w:szCs w:val="24"/>
          <w:lang w:val="en-US"/>
        </w:rPr>
        <w:t>,</w:t>
      </w:r>
      <w:r w:rsidR="00A077E8" w:rsidRPr="00287D2F">
        <w:rPr>
          <w:rFonts w:cstheme="minorBidi"/>
          <w:szCs w:val="24"/>
          <w:lang w:val="en-US"/>
        </w:rPr>
        <w:t xml:space="preserve"> with </w:t>
      </w:r>
      <w:r w:rsidR="004C2E30" w:rsidRPr="00287D2F">
        <w:rPr>
          <w:rFonts w:cstheme="minorBidi"/>
          <w:szCs w:val="24"/>
          <w:lang w:val="en-US"/>
        </w:rPr>
        <w:t>the</w:t>
      </w:r>
      <w:r w:rsidR="00A077E8" w:rsidRPr="00287D2F">
        <w:rPr>
          <w:rFonts w:cstheme="minorBidi"/>
          <w:szCs w:val="24"/>
          <w:lang w:val="en-US"/>
        </w:rPr>
        <w:t xml:space="preserve"> MTA group showing the least hardness</w:t>
      </w:r>
      <w:r w:rsidR="00882F9F" w:rsidRPr="00287D2F">
        <w:rPr>
          <w:rFonts w:cstheme="minorBidi"/>
          <w:szCs w:val="24"/>
          <w:lang w:val="en-US"/>
        </w:rPr>
        <w:t xml:space="preserve"> and modulus of elasticity</w:t>
      </w:r>
      <w:r w:rsidR="00A077E8" w:rsidRPr="00287D2F">
        <w:rPr>
          <w:rFonts w:cstheme="minorBidi"/>
          <w:szCs w:val="24"/>
          <w:lang w:val="en-US"/>
        </w:rPr>
        <w:t xml:space="preserve"> on scanning </w:t>
      </w:r>
      <w:r w:rsidR="004C2E30" w:rsidRPr="00287D2F">
        <w:rPr>
          <w:rFonts w:cstheme="minorBidi"/>
          <w:szCs w:val="24"/>
        </w:rPr>
        <w:t>(</w:t>
      </w:r>
      <w:r w:rsidR="00F224D6" w:rsidRPr="00287D2F">
        <w:rPr>
          <w:rFonts w:cstheme="minorBidi"/>
          <w:szCs w:val="24"/>
        </w:rPr>
        <w:fldChar w:fldCharType="begin"/>
      </w:r>
      <w:r w:rsidR="00F224D6" w:rsidRPr="00287D2F">
        <w:rPr>
          <w:rFonts w:cstheme="minorBidi"/>
          <w:szCs w:val="24"/>
        </w:rPr>
        <w:instrText xml:space="preserve"> PRINT  \* MERGEFORMAT </w:instrText>
      </w:r>
      <w:r w:rsidR="00F224D6" w:rsidRPr="00287D2F">
        <w:rPr>
          <w:rFonts w:cstheme="minorBidi"/>
          <w:szCs w:val="24"/>
        </w:rPr>
        <w:fldChar w:fldCharType="end"/>
      </w:r>
      <w:r w:rsidR="00F224D6" w:rsidRPr="00287D2F">
        <w:rPr>
          <w:rFonts w:cstheme="minorBidi"/>
          <w:szCs w:val="24"/>
        </w:rPr>
        <w:fldChar w:fldCharType="begin"/>
      </w:r>
      <w:r w:rsidR="00F224D6" w:rsidRPr="00287D2F">
        <w:rPr>
          <w:rFonts w:cstheme="minorBidi"/>
          <w:szCs w:val="24"/>
        </w:rPr>
        <w:instrText xml:space="preserve"> REF _Ref361719859 \h  \* MERGEFORMAT </w:instrText>
      </w:r>
      <w:r w:rsidR="00F224D6" w:rsidRPr="00287D2F">
        <w:rPr>
          <w:rFonts w:cstheme="minorBidi"/>
          <w:szCs w:val="24"/>
        </w:rPr>
      </w:r>
      <w:r w:rsidR="00F224D6" w:rsidRPr="00287D2F">
        <w:rPr>
          <w:rFonts w:cstheme="minorBidi"/>
          <w:szCs w:val="24"/>
        </w:rPr>
        <w:fldChar w:fldCharType="separate"/>
      </w:r>
      <w:r w:rsidR="00374B77" w:rsidRPr="00374B77">
        <w:rPr>
          <w:rFonts w:cstheme="minorBidi"/>
          <w:szCs w:val="24"/>
        </w:rPr>
        <w:t xml:space="preserve">Figure </w:t>
      </w:r>
      <w:r w:rsidR="00374B77" w:rsidRPr="00374B77">
        <w:rPr>
          <w:rFonts w:cstheme="minorBidi"/>
          <w:szCs w:val="24"/>
          <w:cs/>
        </w:rPr>
        <w:t>‎</w:t>
      </w:r>
      <w:r w:rsidR="00374B77">
        <w:rPr>
          <w:b/>
          <w:noProof/>
          <w:sz w:val="20"/>
          <w:szCs w:val="20"/>
        </w:rPr>
        <w:t>0.16</w:t>
      </w:r>
      <w:r w:rsidR="00F224D6" w:rsidRPr="00287D2F">
        <w:rPr>
          <w:rFonts w:cstheme="minorBidi"/>
          <w:szCs w:val="24"/>
        </w:rPr>
        <w:fldChar w:fldCharType="end"/>
      </w:r>
      <w:r w:rsidR="004C2E30" w:rsidRPr="00287D2F">
        <w:rPr>
          <w:rFonts w:cstheme="minorBidi"/>
          <w:szCs w:val="24"/>
        </w:rPr>
        <w:t>)</w:t>
      </w:r>
      <w:r w:rsidR="00882F9F" w:rsidRPr="00287D2F">
        <w:rPr>
          <w:rFonts w:cstheme="minorBidi"/>
          <w:szCs w:val="24"/>
          <w:lang w:val="en-US"/>
        </w:rPr>
        <w:t xml:space="preserve"> and </w:t>
      </w:r>
      <w:r w:rsidR="004C2E30" w:rsidRPr="00287D2F">
        <w:rPr>
          <w:rFonts w:cstheme="minorBidi"/>
          <w:szCs w:val="24"/>
        </w:rPr>
        <w:t>(</w:t>
      </w:r>
      <w:r w:rsidR="00287D2F" w:rsidRPr="00287D2F">
        <w:rPr>
          <w:rFonts w:cstheme="minorBidi"/>
          <w:szCs w:val="24"/>
        </w:rPr>
        <w:fldChar w:fldCharType="begin"/>
      </w:r>
      <w:r w:rsidR="00287D2F" w:rsidRPr="00287D2F">
        <w:rPr>
          <w:rFonts w:cstheme="minorBidi"/>
          <w:szCs w:val="24"/>
        </w:rPr>
        <w:instrText xml:space="preserve"> PRINT  \* MERGEFORMAT </w:instrText>
      </w:r>
      <w:r w:rsidR="00287D2F" w:rsidRPr="00287D2F">
        <w:rPr>
          <w:rFonts w:cstheme="minorBidi"/>
          <w:szCs w:val="24"/>
        </w:rPr>
        <w:fldChar w:fldCharType="end"/>
      </w:r>
      <w:r w:rsidR="00287D2F" w:rsidRPr="00287D2F">
        <w:rPr>
          <w:rFonts w:cstheme="minorBidi"/>
          <w:szCs w:val="24"/>
        </w:rPr>
        <w:fldChar w:fldCharType="begin"/>
      </w:r>
      <w:r w:rsidR="00287D2F" w:rsidRPr="00287D2F">
        <w:rPr>
          <w:rFonts w:cstheme="minorBidi"/>
          <w:szCs w:val="24"/>
        </w:rPr>
        <w:instrText xml:space="preserve"> REF _Ref361719975 \h  \* MERGEFORMAT </w:instrText>
      </w:r>
      <w:r w:rsidR="00287D2F" w:rsidRPr="00287D2F">
        <w:rPr>
          <w:rFonts w:cstheme="minorBidi"/>
          <w:szCs w:val="24"/>
        </w:rPr>
      </w:r>
      <w:r w:rsidR="00287D2F" w:rsidRPr="00287D2F">
        <w:rPr>
          <w:rFonts w:cstheme="minorBidi"/>
          <w:szCs w:val="24"/>
        </w:rPr>
        <w:fldChar w:fldCharType="separate"/>
      </w:r>
      <w:r w:rsidR="00374B77" w:rsidRPr="00374B77">
        <w:rPr>
          <w:rFonts w:cstheme="minorBidi"/>
          <w:szCs w:val="24"/>
        </w:rPr>
        <w:t xml:space="preserve">Figure </w:t>
      </w:r>
      <w:r w:rsidR="00374B77" w:rsidRPr="00374B77">
        <w:rPr>
          <w:rFonts w:cstheme="minorBidi"/>
          <w:szCs w:val="24"/>
          <w:cs/>
        </w:rPr>
        <w:t>‎</w:t>
      </w:r>
      <w:r w:rsidR="00374B77">
        <w:rPr>
          <w:rFonts w:ascii="Arial" w:hAnsi="Arial" w:cs="Arial"/>
          <w:b/>
          <w:noProof/>
          <w:sz w:val="20"/>
          <w:szCs w:val="20"/>
        </w:rPr>
        <w:t>0.19</w:t>
      </w:r>
      <w:r w:rsidR="00287D2F" w:rsidRPr="00287D2F">
        <w:rPr>
          <w:rFonts w:cstheme="minorBidi"/>
          <w:szCs w:val="24"/>
        </w:rPr>
        <w:fldChar w:fldCharType="end"/>
      </w:r>
      <w:r w:rsidR="004C2E30" w:rsidRPr="00287D2F">
        <w:rPr>
          <w:rFonts w:cstheme="minorBidi"/>
          <w:szCs w:val="24"/>
        </w:rPr>
        <w:t>)</w:t>
      </w:r>
      <w:r w:rsidR="00882F9F" w:rsidRPr="00287D2F">
        <w:rPr>
          <w:rFonts w:cstheme="minorBidi"/>
          <w:szCs w:val="24"/>
        </w:rPr>
        <w:t>.</w:t>
      </w:r>
    </w:p>
    <w:p w:rsidR="00854543" w:rsidRPr="00163BA2" w:rsidRDefault="004A2211" w:rsidP="00533E59">
      <w:pPr>
        <w:autoSpaceDN w:val="0"/>
        <w:spacing w:line="480" w:lineRule="auto"/>
        <w:jc w:val="both"/>
        <w:rPr>
          <w:rFonts w:cstheme="minorBidi"/>
          <w:szCs w:val="24"/>
        </w:rPr>
      </w:pPr>
      <w:r w:rsidRPr="00163BA2">
        <w:rPr>
          <w:rFonts w:cstheme="minorBidi"/>
          <w:szCs w:val="24"/>
        </w:rPr>
        <w:fldChar w:fldCharType="begin"/>
      </w:r>
      <w:r w:rsidRPr="00163BA2">
        <w:rPr>
          <w:rFonts w:cstheme="minorBidi"/>
          <w:szCs w:val="24"/>
        </w:rPr>
        <w:instrText xml:space="preserve"> REF _Ref360756001 \h </w:instrText>
      </w:r>
      <w:r w:rsidR="00754B68" w:rsidRPr="00163BA2">
        <w:rPr>
          <w:rFonts w:cstheme="minorBidi"/>
          <w:szCs w:val="24"/>
        </w:rPr>
        <w:instrText xml:space="preserve"> \* MERGEFORMAT </w:instrText>
      </w:r>
      <w:r w:rsidRPr="00163BA2">
        <w:rPr>
          <w:rFonts w:cstheme="minorBidi"/>
          <w:szCs w:val="24"/>
        </w:rPr>
      </w:r>
      <w:r w:rsidRPr="00163BA2">
        <w:rPr>
          <w:rFonts w:cstheme="minorBidi"/>
          <w:szCs w:val="24"/>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ascii="Arial" w:hAnsi="Arial" w:cs="Arial"/>
          <w:b/>
          <w:noProof/>
          <w:sz w:val="20"/>
          <w:szCs w:val="20"/>
        </w:rPr>
        <w:t>0.13</w:t>
      </w:r>
      <w:r w:rsidRPr="00163BA2">
        <w:rPr>
          <w:rFonts w:cstheme="minorBidi"/>
          <w:szCs w:val="24"/>
        </w:rPr>
        <w:fldChar w:fldCharType="end"/>
      </w:r>
      <w:r w:rsidRPr="00163BA2">
        <w:rPr>
          <w:rFonts w:cstheme="minorBidi"/>
          <w:szCs w:val="24"/>
        </w:rPr>
        <w:t xml:space="preserve"> Illustrate</w:t>
      </w:r>
      <w:r w:rsidR="004C2E30" w:rsidRPr="00163BA2">
        <w:rPr>
          <w:rFonts w:cstheme="minorBidi"/>
          <w:szCs w:val="24"/>
        </w:rPr>
        <w:t xml:space="preserve"> the colour scale for hardness and modulus which would help the reader to understand the map scan figures that are presented below.</w:t>
      </w:r>
    </w:p>
    <w:p w:rsidR="00DB4743" w:rsidRPr="00754B68" w:rsidRDefault="00C67C41" w:rsidP="00754B68">
      <w:pPr>
        <w:spacing w:line="480" w:lineRule="auto"/>
        <w:rPr>
          <w:rFonts w:ascii="Arial" w:eastAsia="Calibri" w:hAnsi="Arial" w:cs="Arial"/>
          <w:b/>
          <w:sz w:val="20"/>
          <w:szCs w:val="20"/>
          <w:lang w:val="en-US"/>
        </w:rPr>
      </w:pPr>
      <w:bookmarkStart w:id="366" w:name="_Ref360756001"/>
      <w:bookmarkStart w:id="367" w:name="_Toc361733603"/>
      <w:bookmarkStart w:id="368" w:name="_Toc361734246"/>
      <w:r w:rsidRPr="00754B68">
        <w:rPr>
          <w:rFonts w:ascii="Arial" w:hAnsi="Arial" w:cs="Arial"/>
          <w:b/>
          <w:sz w:val="20"/>
          <w:szCs w:val="20"/>
        </w:rPr>
        <w:t>Figure</w:t>
      </w:r>
      <w:r w:rsidR="001D7A5C" w:rsidRPr="00754B68">
        <w:rPr>
          <w:rFonts w:ascii="Arial" w:hAnsi="Arial" w:cs="Arial"/>
          <w:b/>
          <w:sz w:val="20"/>
          <w:szCs w:val="20"/>
        </w:rPr>
        <w:t xml:space="preserve"> </w:t>
      </w:r>
      <w:r w:rsidR="00DF37B0">
        <w:rPr>
          <w:rFonts w:ascii="Arial" w:hAnsi="Arial" w:cs="Arial"/>
          <w:b/>
          <w:sz w:val="20"/>
          <w:szCs w:val="20"/>
        </w:rPr>
        <w:fldChar w:fldCharType="begin"/>
      </w:r>
      <w:r w:rsidR="00DF37B0">
        <w:rPr>
          <w:rFonts w:ascii="Arial" w:hAnsi="Arial" w:cs="Arial"/>
          <w:b/>
          <w:sz w:val="20"/>
          <w:szCs w:val="20"/>
        </w:rPr>
        <w:instrText xml:space="preserve"> STYLEREF 1 \s </w:instrText>
      </w:r>
      <w:r w:rsidR="00DF37B0">
        <w:rPr>
          <w:rFonts w:ascii="Arial" w:hAnsi="Arial" w:cs="Arial"/>
          <w:b/>
          <w:sz w:val="20"/>
          <w:szCs w:val="20"/>
        </w:rPr>
        <w:fldChar w:fldCharType="separate"/>
      </w:r>
      <w:r w:rsidR="00374B77">
        <w:rPr>
          <w:rFonts w:ascii="Arial" w:hAnsi="Arial" w:cs="Arial"/>
          <w:b/>
          <w:noProof/>
          <w:sz w:val="20"/>
          <w:szCs w:val="20"/>
          <w:cs/>
        </w:rPr>
        <w:t>‎</w:t>
      </w:r>
      <w:r w:rsidR="00374B77">
        <w:rPr>
          <w:rFonts w:ascii="Arial" w:hAnsi="Arial" w:cs="Arial"/>
          <w:b/>
          <w:noProof/>
          <w:sz w:val="20"/>
          <w:szCs w:val="20"/>
        </w:rPr>
        <w:t>0</w:t>
      </w:r>
      <w:r w:rsidR="00DF37B0">
        <w:rPr>
          <w:rFonts w:ascii="Arial" w:hAnsi="Arial" w:cs="Arial"/>
          <w:b/>
          <w:sz w:val="20"/>
          <w:szCs w:val="20"/>
        </w:rPr>
        <w:fldChar w:fldCharType="end"/>
      </w:r>
      <w:r w:rsidR="00DF37B0">
        <w:rPr>
          <w:rFonts w:ascii="Arial" w:hAnsi="Arial" w:cs="Arial"/>
          <w:b/>
          <w:sz w:val="20"/>
          <w:szCs w:val="20"/>
        </w:rPr>
        <w:t>.</w:t>
      </w:r>
      <w:r w:rsidR="00DF37B0">
        <w:rPr>
          <w:rFonts w:ascii="Arial" w:hAnsi="Arial" w:cs="Arial"/>
          <w:b/>
          <w:sz w:val="20"/>
          <w:szCs w:val="20"/>
        </w:rPr>
        <w:fldChar w:fldCharType="begin"/>
      </w:r>
      <w:r w:rsidR="00DF37B0">
        <w:rPr>
          <w:rFonts w:ascii="Arial" w:hAnsi="Arial" w:cs="Arial"/>
          <w:b/>
          <w:sz w:val="20"/>
          <w:szCs w:val="20"/>
        </w:rPr>
        <w:instrText xml:space="preserve"> SEQ Figure \* ARABIC \s 1 </w:instrText>
      </w:r>
      <w:r w:rsidR="00DF37B0">
        <w:rPr>
          <w:rFonts w:ascii="Arial" w:hAnsi="Arial" w:cs="Arial"/>
          <w:b/>
          <w:sz w:val="20"/>
          <w:szCs w:val="20"/>
        </w:rPr>
        <w:fldChar w:fldCharType="separate"/>
      </w:r>
      <w:proofErr w:type="gramStart"/>
      <w:r w:rsidR="00374B77">
        <w:rPr>
          <w:rFonts w:ascii="Arial" w:hAnsi="Arial" w:cs="Arial"/>
          <w:b/>
          <w:noProof/>
          <w:sz w:val="20"/>
          <w:szCs w:val="20"/>
        </w:rPr>
        <w:t>13</w:t>
      </w:r>
      <w:r w:rsidR="00DF37B0">
        <w:rPr>
          <w:rFonts w:ascii="Arial" w:hAnsi="Arial" w:cs="Arial"/>
          <w:b/>
          <w:sz w:val="20"/>
          <w:szCs w:val="20"/>
        </w:rPr>
        <w:fldChar w:fldCharType="end"/>
      </w:r>
      <w:bookmarkEnd w:id="366"/>
      <w:r w:rsidR="001D7A5C" w:rsidRPr="00754B68">
        <w:rPr>
          <w:rFonts w:ascii="Arial" w:hAnsi="Arial" w:cs="Arial"/>
          <w:b/>
          <w:sz w:val="20"/>
          <w:szCs w:val="20"/>
        </w:rPr>
        <w:t xml:space="preserve"> </w:t>
      </w:r>
      <w:r w:rsidR="00754B68" w:rsidRPr="00754B68">
        <w:rPr>
          <w:rFonts w:ascii="Arial" w:eastAsia="Calibri" w:hAnsi="Arial" w:cs="Arial"/>
          <w:b/>
          <w:sz w:val="20"/>
          <w:szCs w:val="20"/>
        </w:rPr>
        <w:t xml:space="preserve">Colour </w:t>
      </w:r>
      <w:r w:rsidR="00754B68" w:rsidRPr="00754B68">
        <w:rPr>
          <w:rFonts w:ascii="Arial" w:eastAsia="Calibri" w:hAnsi="Arial" w:cs="Arial"/>
          <w:b/>
          <w:sz w:val="20"/>
          <w:szCs w:val="20"/>
          <w:lang w:val="en-US"/>
        </w:rPr>
        <w:t>scale to illustrate the hardness and modulus of elasticity</w:t>
      </w:r>
      <w:r w:rsidR="001E57CD">
        <w:rPr>
          <w:rFonts w:ascii="Arial" w:eastAsia="Calibri" w:hAnsi="Arial" w:cs="Arial"/>
          <w:b/>
          <w:sz w:val="20"/>
          <w:szCs w:val="20"/>
          <w:lang w:val="en-US"/>
        </w:rPr>
        <w:t>.</w:t>
      </w:r>
      <w:bookmarkEnd w:id="367"/>
      <w:bookmarkEnd w:id="368"/>
      <w:proofErr w:type="gramEnd"/>
    </w:p>
    <w:p w:rsidR="00854543" w:rsidRDefault="00550B6B" w:rsidP="00854543">
      <w:pPr>
        <w:rPr>
          <w:lang w:val="en-US" w:eastAsia="zh-CN"/>
        </w:rPr>
      </w:pPr>
      <w:r w:rsidRPr="00B013ED">
        <w:rPr>
          <w:rFonts w:eastAsia="Times New Roman"/>
          <w:b/>
          <w:bCs/>
          <w:noProof/>
          <w:sz w:val="20"/>
          <w:szCs w:val="20"/>
          <w:lang w:eastAsia="en-GB"/>
        </w:rPr>
        <mc:AlternateContent>
          <mc:Choice Requires="wps">
            <w:drawing>
              <wp:anchor distT="0" distB="0" distL="114300" distR="114300" simplePos="0" relativeHeight="251708416" behindDoc="0" locked="0" layoutInCell="1" allowOverlap="1" wp14:anchorId="7327FD9C" wp14:editId="60393172">
                <wp:simplePos x="0" y="0"/>
                <wp:positionH relativeFrom="column">
                  <wp:posOffset>3448050</wp:posOffset>
                </wp:positionH>
                <wp:positionV relativeFrom="paragraph">
                  <wp:posOffset>62865</wp:posOffset>
                </wp:positionV>
                <wp:extent cx="1781175" cy="447675"/>
                <wp:effectExtent l="0" t="0" r="28575" b="285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447675"/>
                        </a:xfrm>
                        <a:prstGeom prst="rect">
                          <a:avLst/>
                        </a:prstGeom>
                        <a:noFill/>
                        <a:ln w="25402">
                          <a:solidFill>
                            <a:srgbClr val="385D8A"/>
                          </a:solidFill>
                          <a:prstDash val="solid"/>
                        </a:ln>
                      </wps:spPr>
                      <wps:txbx>
                        <w:txbxContent>
                          <w:p w:rsidR="003208E6" w:rsidRPr="00DB4743" w:rsidRDefault="003208E6" w:rsidP="00DB4743">
                            <w:pPr>
                              <w:spacing w:line="240" w:lineRule="auto"/>
                              <w:jc w:val="center"/>
                              <w:rPr>
                                <w:sz w:val="20"/>
                                <w:szCs w:val="20"/>
                                <w:lang w:val="en-US"/>
                              </w:rPr>
                            </w:pPr>
                            <w:r w:rsidRPr="00DB4743">
                              <w:rPr>
                                <w:sz w:val="20"/>
                                <w:szCs w:val="20"/>
                                <w:lang w:val="en-US"/>
                              </w:rPr>
                              <w:t>High hardness</w:t>
                            </w:r>
                            <w:r>
                              <w:rPr>
                                <w:sz w:val="20"/>
                                <w:szCs w:val="20"/>
                                <w:lang w:val="en-US"/>
                              </w:rPr>
                              <w:t xml:space="preserve"> &amp;</w:t>
                            </w:r>
                            <w:r w:rsidRPr="00DB4743">
                              <w:rPr>
                                <w:rFonts w:eastAsia="Calibri"/>
                                <w:sz w:val="20"/>
                                <w:szCs w:val="20"/>
                                <w:lang w:val="en-US"/>
                              </w:rPr>
                              <w:t xml:space="preserve"> modulus of elasticity</w:t>
                            </w: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id="Rectangle 45" o:spid="_x0000_s1041" style="position:absolute;margin-left:271.5pt;margin-top:4.95pt;width:140.25pt;height:3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" filled="f" strokecolor="#385d8a" strokeweight=".70561mm">
                <v:path arrowok="t"/>
                <v:textbox>
                  <w:txbxContent>
                    <w:p w:rsidR="003208E6" w:rsidRPr="00DB4743" w:rsidRDefault="003208E6" w:rsidP="00DB4743">
                      <w:pPr>
                        <w:spacing w:line="240" w:lineRule="auto"/>
                        <w:jc w:val="center"/>
                        <w:rPr>
                          <w:sz w:val="20"/>
                          <w:szCs w:val="20"/>
                          <w:lang w:val="en-US"/>
                        </w:rPr>
                      </w:pPr>
                      <w:r w:rsidRPr="00DB4743">
                        <w:rPr>
                          <w:sz w:val="20"/>
                          <w:szCs w:val="20"/>
                          <w:lang w:val="en-US"/>
                        </w:rPr>
                        <w:t>High hardness</w:t>
                      </w:r>
                      <w:r>
                        <w:rPr>
                          <w:sz w:val="20"/>
                          <w:szCs w:val="20"/>
                          <w:lang w:val="en-US"/>
                        </w:rPr>
                        <w:t xml:space="preserve"> &amp;</w:t>
                      </w:r>
                      <w:r w:rsidRPr="00DB4743">
                        <w:rPr>
                          <w:rFonts w:eastAsia="Calibri"/>
                          <w:sz w:val="20"/>
                          <w:szCs w:val="20"/>
                          <w:lang w:val="en-US"/>
                        </w:rPr>
                        <w:t xml:space="preserve"> modulus of elasticity</w:t>
                      </w:r>
                    </w:p>
                  </w:txbxContent>
                </v:textbox>
              </v:rect>
            </w:pict>
          </mc:Fallback>
        </mc:AlternateContent>
      </w:r>
      <w:r w:rsidRPr="00B013ED">
        <w:rPr>
          <w:rFonts w:eastAsia="Times New Roman"/>
          <w:b/>
          <w:bCs/>
          <w:noProof/>
          <w:sz w:val="20"/>
          <w:szCs w:val="20"/>
          <w:lang w:eastAsia="en-GB"/>
        </w:rPr>
        <mc:AlternateContent>
          <mc:Choice Requires="wps">
            <w:drawing>
              <wp:anchor distT="0" distB="0" distL="114300" distR="114300" simplePos="0" relativeHeight="251707392" behindDoc="0" locked="0" layoutInCell="1" allowOverlap="1" wp14:anchorId="0D2AD249" wp14:editId="3ED1F544">
                <wp:simplePos x="0" y="0"/>
                <wp:positionH relativeFrom="column">
                  <wp:posOffset>28575</wp:posOffset>
                </wp:positionH>
                <wp:positionV relativeFrom="paragraph">
                  <wp:posOffset>62865</wp:posOffset>
                </wp:positionV>
                <wp:extent cx="1609725" cy="447675"/>
                <wp:effectExtent l="0" t="0" r="28575" b="285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447675"/>
                        </a:xfrm>
                        <a:prstGeom prst="rect">
                          <a:avLst/>
                        </a:prstGeom>
                        <a:noFill/>
                        <a:ln w="25402">
                          <a:solidFill>
                            <a:srgbClr val="385D8A"/>
                          </a:solidFill>
                          <a:prstDash val="solid"/>
                        </a:ln>
                      </wps:spPr>
                      <wps:txbx>
                        <w:txbxContent>
                          <w:p w:rsidR="003208E6" w:rsidRPr="00DB4743" w:rsidRDefault="003208E6" w:rsidP="00DB4743">
                            <w:pPr>
                              <w:spacing w:line="240" w:lineRule="auto"/>
                              <w:jc w:val="center"/>
                              <w:rPr>
                                <w:sz w:val="20"/>
                                <w:szCs w:val="20"/>
                                <w:lang w:val="en-US"/>
                              </w:rPr>
                            </w:pPr>
                            <w:r>
                              <w:rPr>
                                <w:sz w:val="20"/>
                                <w:szCs w:val="20"/>
                                <w:lang w:val="en-US"/>
                              </w:rPr>
                              <w:t xml:space="preserve">Low </w:t>
                            </w:r>
                            <w:r w:rsidRPr="00DB4743">
                              <w:rPr>
                                <w:sz w:val="20"/>
                                <w:szCs w:val="20"/>
                                <w:lang w:val="en-US"/>
                              </w:rPr>
                              <w:t>hardness</w:t>
                            </w:r>
                            <w:r w:rsidRPr="00DB4743">
                              <w:rPr>
                                <w:rFonts w:eastAsia="Calibri"/>
                                <w:sz w:val="20"/>
                                <w:szCs w:val="20"/>
                                <w:lang w:val="en-US"/>
                              </w:rPr>
                              <w:t xml:space="preserve"> </w:t>
                            </w:r>
                            <w:r>
                              <w:rPr>
                                <w:rFonts w:eastAsia="Calibri"/>
                                <w:sz w:val="20"/>
                                <w:szCs w:val="20"/>
                                <w:lang w:val="en-US"/>
                              </w:rPr>
                              <w:t xml:space="preserve">&amp; </w:t>
                            </w:r>
                            <w:r w:rsidRPr="00DB4743">
                              <w:rPr>
                                <w:rFonts w:eastAsia="Calibri"/>
                                <w:sz w:val="20"/>
                                <w:szCs w:val="20"/>
                                <w:lang w:val="en-US"/>
                              </w:rPr>
                              <w:t>modulus of elasticity</w:t>
                            </w:r>
                          </w:p>
                          <w:p w:rsidR="003208E6" w:rsidRDefault="003208E6" w:rsidP="0041603D">
                            <w:pPr>
                              <w:jc w:val="center"/>
                              <w:rPr>
                                <w:color w:val="000000"/>
                                <w:lang w:val="en-US"/>
                              </w:rPr>
                            </w:pP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id="Rectangle 47" o:spid="_x0000_s1042" style="position:absolute;margin-left:2.25pt;margin-top:4.95pt;width:126.7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" filled="f" strokecolor="#385d8a" strokeweight=".70561mm">
                <v:path arrowok="t"/>
                <v:textbox>
                  <w:txbxContent>
                    <w:p w:rsidR="003208E6" w:rsidRPr="00DB4743" w:rsidRDefault="003208E6" w:rsidP="00DB4743">
                      <w:pPr>
                        <w:spacing w:line="240" w:lineRule="auto"/>
                        <w:jc w:val="center"/>
                        <w:rPr>
                          <w:sz w:val="20"/>
                          <w:szCs w:val="20"/>
                          <w:lang w:val="en-US"/>
                        </w:rPr>
                      </w:pPr>
                      <w:r>
                        <w:rPr>
                          <w:sz w:val="20"/>
                          <w:szCs w:val="20"/>
                          <w:lang w:val="en-US"/>
                        </w:rPr>
                        <w:t xml:space="preserve">Low </w:t>
                      </w:r>
                      <w:r w:rsidRPr="00DB4743">
                        <w:rPr>
                          <w:sz w:val="20"/>
                          <w:szCs w:val="20"/>
                          <w:lang w:val="en-US"/>
                        </w:rPr>
                        <w:t>hardness</w:t>
                      </w:r>
                      <w:r w:rsidRPr="00DB4743">
                        <w:rPr>
                          <w:rFonts w:eastAsia="Calibri"/>
                          <w:sz w:val="20"/>
                          <w:szCs w:val="20"/>
                          <w:lang w:val="en-US"/>
                        </w:rPr>
                        <w:t xml:space="preserve"> </w:t>
                      </w:r>
                      <w:r>
                        <w:rPr>
                          <w:rFonts w:eastAsia="Calibri"/>
                          <w:sz w:val="20"/>
                          <w:szCs w:val="20"/>
                          <w:lang w:val="en-US"/>
                        </w:rPr>
                        <w:t xml:space="preserve">&amp; </w:t>
                      </w:r>
                      <w:r w:rsidRPr="00DB4743">
                        <w:rPr>
                          <w:rFonts w:eastAsia="Calibri"/>
                          <w:sz w:val="20"/>
                          <w:szCs w:val="20"/>
                          <w:lang w:val="en-US"/>
                        </w:rPr>
                        <w:t>modulus of elasticity</w:t>
                      </w:r>
                    </w:p>
                    <w:p w:rsidR="003208E6" w:rsidRDefault="003208E6" w:rsidP="0041603D">
                      <w:pPr>
                        <w:jc w:val="center"/>
                        <w:rPr>
                          <w:color w:val="000000"/>
                          <w:lang w:val="en-US"/>
                        </w:rPr>
                      </w:pPr>
                    </w:p>
                  </w:txbxContent>
                </v:textbox>
              </v:rect>
            </w:pict>
          </mc:Fallback>
        </mc:AlternateContent>
      </w:r>
    </w:p>
    <w:p w:rsidR="00DB4743" w:rsidRPr="0084209F" w:rsidRDefault="00550B6B" w:rsidP="00DB4743">
      <w:pPr>
        <w:rPr>
          <w:lang w:val="en-US" w:eastAsia="zh-CN"/>
        </w:rPr>
      </w:pPr>
      <w:r w:rsidRPr="00854543">
        <w:rPr>
          <w:rFonts w:eastAsia="Times New Roman" w:cstheme="minorBidi"/>
          <w:b/>
          <w:bCs/>
          <w:noProof/>
          <w:sz w:val="20"/>
          <w:szCs w:val="20"/>
          <w:lang w:eastAsia="en-GB"/>
        </w:rPr>
        <w:drawing>
          <wp:anchor distT="0" distB="0" distL="114300" distR="114300" simplePos="0" relativeHeight="251704320" behindDoc="0" locked="0" layoutInCell="1" allowOverlap="1" wp14:anchorId="17BAF4C4" wp14:editId="7A4CCC7B">
            <wp:simplePos x="0" y="0"/>
            <wp:positionH relativeFrom="column">
              <wp:posOffset>38100</wp:posOffset>
            </wp:positionH>
            <wp:positionV relativeFrom="paragraph">
              <wp:posOffset>305435</wp:posOffset>
            </wp:positionV>
            <wp:extent cx="5514975" cy="447675"/>
            <wp:effectExtent l="0" t="0" r="9525" b="9525"/>
            <wp:wrapSquare wrapText="bothSides"/>
            <wp:docPr id="48" name="Picture 6" descr="C:\Users\wageh\Desktop\5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rcRect l="6853" t="34138" r="4524" b="55715"/>
                    <a:stretch>
                      <a:fillRect/>
                    </a:stretch>
                  </pic:blipFill>
                  <pic:spPr>
                    <a:xfrm>
                      <a:off x="0" y="0"/>
                      <a:ext cx="5514975" cy="447675"/>
                    </a:xfrm>
                    <a:prstGeom prst="rect">
                      <a:avLst/>
                    </a:prstGeom>
                    <a:noFill/>
                    <a:ln>
                      <a:noFill/>
                      <a:prstDash/>
                    </a:ln>
                  </pic:spPr>
                </pic:pic>
              </a:graphicData>
            </a:graphic>
            <wp14:sizeRelH relativeFrom="margin">
              <wp14:pctWidth>0</wp14:pctWidth>
            </wp14:sizeRelH>
          </wp:anchor>
        </w:drawing>
      </w:r>
    </w:p>
    <w:p w:rsidR="004F5F80" w:rsidRDefault="004F5F80">
      <w:pPr>
        <w:rPr>
          <w:rFonts w:eastAsiaTheme="majorEastAsia" w:cstheme="majorBidi"/>
          <w:b/>
          <w:bCs/>
          <w:iCs/>
          <w:lang w:val="en-US"/>
        </w:rPr>
      </w:pPr>
      <w:r>
        <w:rPr>
          <w:lang w:val="en-US"/>
        </w:rPr>
        <w:br w:type="page"/>
      </w:r>
    </w:p>
    <w:p w:rsidR="004F5F80" w:rsidRDefault="004F5F80" w:rsidP="00BB1B7A">
      <w:pPr>
        <w:pStyle w:val="Heading4"/>
        <w:rPr>
          <w:lang w:val="en-US"/>
        </w:rPr>
      </w:pPr>
      <w:r w:rsidRPr="004F5F80">
        <w:rPr>
          <w:lang w:val="en-US"/>
        </w:rPr>
        <w:lastRenderedPageBreak/>
        <w:t xml:space="preserve">Map scans illustrating Hardness after </w:t>
      </w:r>
      <w:r w:rsidR="00CB2DB3">
        <w:rPr>
          <w:lang w:val="en-US"/>
        </w:rPr>
        <w:t>eight</w:t>
      </w:r>
      <w:r w:rsidRPr="004F5F80">
        <w:rPr>
          <w:lang w:val="en-US"/>
        </w:rPr>
        <w:t xml:space="preserve"> months</w:t>
      </w:r>
      <w:bookmarkStart w:id="369" w:name="_Ref360450257"/>
    </w:p>
    <w:p w:rsidR="0041603D" w:rsidRPr="00754B68" w:rsidRDefault="00C67C41" w:rsidP="00F752D6">
      <w:pPr>
        <w:pStyle w:val="Heading4"/>
        <w:numPr>
          <w:ilvl w:val="0"/>
          <w:numId w:val="0"/>
        </w:numPr>
        <w:rPr>
          <w:sz w:val="20"/>
          <w:szCs w:val="20"/>
          <w:lang w:val="en-US"/>
        </w:rPr>
      </w:pPr>
      <w:bookmarkStart w:id="370" w:name="_Ref361129859"/>
      <w:bookmarkStart w:id="371" w:name="_Toc361733604"/>
      <w:bookmarkStart w:id="372" w:name="_Toc361734247"/>
      <w:r w:rsidRPr="00754B68">
        <w:rPr>
          <w:rFonts w:cstheme="minorBidi"/>
          <w:sz w:val="20"/>
          <w:szCs w:val="20"/>
        </w:rPr>
        <w:t>Figure</w:t>
      </w:r>
      <w:r w:rsidR="009306BB" w:rsidRPr="00754B68">
        <w:rPr>
          <w:rFonts w:cstheme="minorBidi"/>
          <w:sz w:val="20"/>
          <w:szCs w:val="20"/>
        </w:rPr>
        <w:t xml:space="preserve"> </w:t>
      </w:r>
      <w:r w:rsidR="00DF37B0">
        <w:rPr>
          <w:rFonts w:cstheme="minorBidi"/>
          <w:sz w:val="20"/>
          <w:szCs w:val="20"/>
        </w:rPr>
        <w:fldChar w:fldCharType="begin"/>
      </w:r>
      <w:r w:rsidR="00DF37B0">
        <w:rPr>
          <w:rFonts w:cstheme="minorBidi"/>
          <w:sz w:val="20"/>
          <w:szCs w:val="20"/>
        </w:rPr>
        <w:instrText xml:space="preserve"> STYLEREF 1 \s </w:instrText>
      </w:r>
      <w:r w:rsidR="00DF37B0">
        <w:rPr>
          <w:rFonts w:cstheme="minorBidi"/>
          <w:sz w:val="20"/>
          <w:szCs w:val="20"/>
        </w:rPr>
        <w:fldChar w:fldCharType="separate"/>
      </w:r>
      <w:r w:rsidR="00374B77">
        <w:rPr>
          <w:rFonts w:cstheme="minorBidi"/>
          <w:noProof/>
          <w:sz w:val="20"/>
          <w:szCs w:val="20"/>
          <w:cs/>
        </w:rPr>
        <w:t>‎</w:t>
      </w:r>
      <w:r w:rsidR="00374B77">
        <w:rPr>
          <w:rFonts w:cstheme="minorBidi"/>
          <w:noProof/>
          <w:sz w:val="20"/>
          <w:szCs w:val="20"/>
        </w:rPr>
        <w:t>0</w:t>
      </w:r>
      <w:r w:rsidR="00DF37B0">
        <w:rPr>
          <w:rFonts w:cstheme="minorBidi"/>
          <w:sz w:val="20"/>
          <w:szCs w:val="20"/>
        </w:rPr>
        <w:fldChar w:fldCharType="end"/>
      </w:r>
      <w:r w:rsidR="00DF37B0">
        <w:rPr>
          <w:rFonts w:cstheme="minorBidi"/>
          <w:sz w:val="20"/>
          <w:szCs w:val="20"/>
        </w:rPr>
        <w:t>.</w:t>
      </w:r>
      <w:r w:rsidR="00DF37B0">
        <w:rPr>
          <w:rFonts w:cstheme="minorBidi"/>
          <w:sz w:val="20"/>
          <w:szCs w:val="20"/>
        </w:rPr>
        <w:fldChar w:fldCharType="begin"/>
      </w:r>
      <w:r w:rsidR="00DF37B0">
        <w:rPr>
          <w:rFonts w:cstheme="minorBidi"/>
          <w:sz w:val="20"/>
          <w:szCs w:val="20"/>
        </w:rPr>
        <w:instrText xml:space="preserve"> SEQ Figure \* ARABIC \s 1 </w:instrText>
      </w:r>
      <w:r w:rsidR="00DF37B0">
        <w:rPr>
          <w:rFonts w:cstheme="minorBidi"/>
          <w:sz w:val="20"/>
          <w:szCs w:val="20"/>
        </w:rPr>
        <w:fldChar w:fldCharType="separate"/>
      </w:r>
      <w:r w:rsidR="00374B77">
        <w:rPr>
          <w:rFonts w:cstheme="minorBidi"/>
          <w:noProof/>
          <w:sz w:val="20"/>
          <w:szCs w:val="20"/>
        </w:rPr>
        <w:t>14</w:t>
      </w:r>
      <w:r w:rsidR="00DF37B0">
        <w:rPr>
          <w:rFonts w:cstheme="minorBidi"/>
          <w:sz w:val="20"/>
          <w:szCs w:val="20"/>
        </w:rPr>
        <w:fldChar w:fldCharType="end"/>
      </w:r>
      <w:bookmarkEnd w:id="369"/>
      <w:bookmarkEnd w:id="370"/>
      <w:r w:rsidR="00DD6655" w:rsidRPr="00754B68">
        <w:rPr>
          <w:rFonts w:cstheme="minorBidi"/>
          <w:sz w:val="20"/>
          <w:szCs w:val="20"/>
        </w:rPr>
        <w:t xml:space="preserve"> </w:t>
      </w:r>
      <w:r w:rsidR="00754B68" w:rsidRPr="00754B68">
        <w:rPr>
          <w:rFonts w:eastAsia="Calibri" w:cstheme="minorBidi"/>
          <w:sz w:val="20"/>
          <w:szCs w:val="20"/>
          <w:lang w:val="en-US"/>
        </w:rPr>
        <w:t>Showing dentine surface hardness of the control group.  It can be seen that the dominant colours ranged between green and red indicating high hardness</w:t>
      </w:r>
      <w:r w:rsidR="001E57CD">
        <w:rPr>
          <w:rFonts w:eastAsia="Calibri" w:cstheme="minorBidi"/>
          <w:sz w:val="20"/>
          <w:szCs w:val="20"/>
          <w:lang w:val="en-US"/>
        </w:rPr>
        <w:t>.</w:t>
      </w:r>
      <w:bookmarkEnd w:id="371"/>
      <w:bookmarkEnd w:id="372"/>
    </w:p>
    <w:p w:rsidR="0041603D" w:rsidRPr="00B013ED" w:rsidRDefault="0055018A" w:rsidP="0041603D">
      <w:pPr>
        <w:autoSpaceDN w:val="0"/>
        <w:spacing w:line="480" w:lineRule="auto"/>
        <w:jc w:val="both"/>
        <w:rPr>
          <w:rFonts w:eastAsia="Times New Roman"/>
          <w:lang w:eastAsia="en-GB"/>
        </w:rPr>
      </w:pPr>
      <w:r w:rsidRPr="00B013ED">
        <w:rPr>
          <w:rFonts w:eastAsia="Calibri"/>
          <w:noProof/>
          <w:lang w:eastAsia="en-GB"/>
        </w:rPr>
        <w:drawing>
          <wp:anchor distT="0" distB="0" distL="114300" distR="114300" simplePos="0" relativeHeight="251714560" behindDoc="0" locked="0" layoutInCell="1" allowOverlap="1" wp14:anchorId="6F4D7D3F" wp14:editId="0ACACFC1">
            <wp:simplePos x="0" y="0"/>
            <wp:positionH relativeFrom="margin">
              <wp:posOffset>371475</wp:posOffset>
            </wp:positionH>
            <wp:positionV relativeFrom="margin">
              <wp:posOffset>752475</wp:posOffset>
            </wp:positionV>
            <wp:extent cx="4543425" cy="3238500"/>
            <wp:effectExtent l="0" t="0" r="9525" b="0"/>
            <wp:wrapSquare wrapText="bothSides"/>
            <wp:docPr id="56" name="Picture 56" descr="C:\Users\wageh\Desktop\85\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geh\Desktop\85\Slide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4342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6C15" w:rsidRPr="00B013ED" w:rsidRDefault="001D6C15" w:rsidP="0041603D">
      <w:pPr>
        <w:autoSpaceDN w:val="0"/>
        <w:spacing w:line="480" w:lineRule="auto"/>
        <w:jc w:val="both"/>
        <w:rPr>
          <w:rFonts w:eastAsia="Calibri"/>
          <w:sz w:val="20"/>
          <w:szCs w:val="20"/>
          <w:lang w:val="en-US"/>
        </w:rPr>
      </w:pPr>
    </w:p>
    <w:p w:rsidR="001D6C15" w:rsidRPr="00B013ED" w:rsidRDefault="001D6C15" w:rsidP="0041603D">
      <w:pPr>
        <w:autoSpaceDN w:val="0"/>
        <w:spacing w:line="480" w:lineRule="auto"/>
        <w:jc w:val="both"/>
        <w:rPr>
          <w:rFonts w:eastAsia="Calibri"/>
          <w:sz w:val="20"/>
          <w:szCs w:val="20"/>
          <w:lang w:val="en-US"/>
        </w:rPr>
      </w:pPr>
    </w:p>
    <w:p w:rsidR="001D6C15" w:rsidRPr="00B013ED" w:rsidRDefault="001D6C15" w:rsidP="0041603D">
      <w:pPr>
        <w:autoSpaceDN w:val="0"/>
        <w:spacing w:line="480" w:lineRule="auto"/>
        <w:jc w:val="both"/>
        <w:rPr>
          <w:rFonts w:eastAsia="Calibri"/>
          <w:sz w:val="20"/>
          <w:szCs w:val="20"/>
          <w:lang w:val="en-US"/>
        </w:rPr>
      </w:pPr>
    </w:p>
    <w:p w:rsidR="001D6C15" w:rsidRPr="00B013ED" w:rsidRDefault="001D6C15" w:rsidP="0041603D">
      <w:pPr>
        <w:autoSpaceDN w:val="0"/>
        <w:spacing w:line="480" w:lineRule="auto"/>
        <w:jc w:val="both"/>
        <w:rPr>
          <w:rFonts w:eastAsia="Calibri"/>
          <w:sz w:val="20"/>
          <w:szCs w:val="20"/>
          <w:lang w:val="en-US"/>
        </w:rPr>
      </w:pPr>
    </w:p>
    <w:p w:rsidR="001D6C15" w:rsidRPr="00B013ED" w:rsidRDefault="001D6C15" w:rsidP="0041603D">
      <w:pPr>
        <w:autoSpaceDN w:val="0"/>
        <w:spacing w:line="480" w:lineRule="auto"/>
        <w:jc w:val="both"/>
        <w:rPr>
          <w:rFonts w:eastAsia="Calibri"/>
          <w:sz w:val="20"/>
          <w:szCs w:val="20"/>
          <w:lang w:val="en-US"/>
        </w:rPr>
      </w:pPr>
    </w:p>
    <w:p w:rsidR="001D6C15" w:rsidRPr="00B013ED" w:rsidRDefault="001D6C15" w:rsidP="0041603D">
      <w:pPr>
        <w:autoSpaceDN w:val="0"/>
        <w:spacing w:line="480" w:lineRule="auto"/>
        <w:jc w:val="both"/>
        <w:rPr>
          <w:rFonts w:eastAsia="Calibri"/>
          <w:sz w:val="20"/>
          <w:szCs w:val="20"/>
          <w:lang w:val="en-US"/>
        </w:rPr>
      </w:pPr>
    </w:p>
    <w:p w:rsidR="001D6C15" w:rsidRPr="00B013ED" w:rsidRDefault="001D6C15" w:rsidP="0041603D">
      <w:pPr>
        <w:autoSpaceDN w:val="0"/>
        <w:spacing w:line="480" w:lineRule="auto"/>
        <w:jc w:val="both"/>
        <w:rPr>
          <w:rFonts w:eastAsia="Calibri"/>
          <w:sz w:val="20"/>
          <w:szCs w:val="20"/>
          <w:lang w:val="en-US"/>
        </w:rPr>
      </w:pPr>
    </w:p>
    <w:p w:rsidR="001D6C15" w:rsidRPr="00B013ED" w:rsidRDefault="001D6C15" w:rsidP="00BC6BDF">
      <w:pPr>
        <w:autoSpaceDN w:val="0"/>
        <w:spacing w:line="480" w:lineRule="auto"/>
        <w:jc w:val="both"/>
        <w:rPr>
          <w:rFonts w:eastAsia="Calibri"/>
          <w:sz w:val="20"/>
          <w:szCs w:val="20"/>
          <w:lang w:val="en-US"/>
        </w:rPr>
      </w:pPr>
    </w:p>
    <w:p w:rsidR="00DD6655" w:rsidRPr="00754B68" w:rsidRDefault="00754B68" w:rsidP="001D3F19">
      <w:pPr>
        <w:rPr>
          <w:rFonts w:ascii="Arial" w:hAnsi="Arial" w:cs="Arial"/>
          <w:b/>
          <w:sz w:val="20"/>
          <w:szCs w:val="20"/>
          <w:lang w:val="en-US"/>
        </w:rPr>
      </w:pPr>
      <w:bookmarkStart w:id="373" w:name="_Ref360450326"/>
      <w:bookmarkStart w:id="374" w:name="_Toc361733605"/>
      <w:bookmarkStart w:id="375" w:name="_Toc361734248"/>
      <w:r w:rsidRPr="00754B68">
        <w:rPr>
          <w:rFonts w:ascii="Arial" w:eastAsia="Calibri" w:hAnsi="Arial" w:cs="Arial"/>
          <w:b/>
          <w:bCs/>
          <w:noProof/>
          <w:sz w:val="20"/>
          <w:szCs w:val="20"/>
          <w:lang w:eastAsia="en-GB"/>
        </w:rPr>
        <w:drawing>
          <wp:anchor distT="0" distB="0" distL="114300" distR="114300" simplePos="0" relativeHeight="251713536" behindDoc="0" locked="0" layoutInCell="1" allowOverlap="1" wp14:anchorId="2190C7F4" wp14:editId="4A538EE4">
            <wp:simplePos x="0" y="0"/>
            <wp:positionH relativeFrom="margin">
              <wp:posOffset>371475</wp:posOffset>
            </wp:positionH>
            <wp:positionV relativeFrom="margin">
              <wp:posOffset>5133975</wp:posOffset>
            </wp:positionV>
            <wp:extent cx="4543425" cy="3239770"/>
            <wp:effectExtent l="0" t="0" r="9525" b="0"/>
            <wp:wrapSquare wrapText="bothSides"/>
            <wp:docPr id="57" name="Picture 57" descr="C:\Users\wageh\Desktop\85\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geh\Desktop\85\Slide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43425"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C41" w:rsidRPr="00754B68">
        <w:rPr>
          <w:rFonts w:ascii="Arial" w:hAnsi="Arial" w:cs="Arial"/>
          <w:b/>
          <w:sz w:val="20"/>
          <w:szCs w:val="20"/>
        </w:rPr>
        <w:t>Figure</w:t>
      </w:r>
      <w:r w:rsidR="00DD6655" w:rsidRPr="00754B68">
        <w:rPr>
          <w:rFonts w:ascii="Arial" w:hAnsi="Arial" w:cs="Arial"/>
          <w:b/>
          <w:sz w:val="20"/>
          <w:szCs w:val="20"/>
        </w:rPr>
        <w:t xml:space="preserve"> </w:t>
      </w:r>
      <w:r w:rsidR="00DF37B0">
        <w:rPr>
          <w:rFonts w:ascii="Arial" w:hAnsi="Arial" w:cs="Arial"/>
          <w:b/>
          <w:sz w:val="20"/>
          <w:szCs w:val="20"/>
        </w:rPr>
        <w:fldChar w:fldCharType="begin"/>
      </w:r>
      <w:r w:rsidR="00DF37B0">
        <w:rPr>
          <w:rFonts w:ascii="Arial" w:hAnsi="Arial" w:cs="Arial"/>
          <w:b/>
          <w:sz w:val="20"/>
          <w:szCs w:val="20"/>
        </w:rPr>
        <w:instrText xml:space="preserve"> STYLEREF 1 \s </w:instrText>
      </w:r>
      <w:r w:rsidR="00DF37B0">
        <w:rPr>
          <w:rFonts w:ascii="Arial" w:hAnsi="Arial" w:cs="Arial"/>
          <w:b/>
          <w:sz w:val="20"/>
          <w:szCs w:val="20"/>
        </w:rPr>
        <w:fldChar w:fldCharType="separate"/>
      </w:r>
      <w:r w:rsidR="00374B77">
        <w:rPr>
          <w:rFonts w:ascii="Arial" w:hAnsi="Arial" w:cs="Arial"/>
          <w:b/>
          <w:noProof/>
          <w:sz w:val="20"/>
          <w:szCs w:val="20"/>
          <w:cs/>
        </w:rPr>
        <w:t>‎</w:t>
      </w:r>
      <w:r w:rsidR="00374B77">
        <w:rPr>
          <w:rFonts w:ascii="Arial" w:hAnsi="Arial" w:cs="Arial"/>
          <w:b/>
          <w:noProof/>
          <w:sz w:val="20"/>
          <w:szCs w:val="20"/>
        </w:rPr>
        <w:t>0</w:t>
      </w:r>
      <w:r w:rsidR="00DF37B0">
        <w:rPr>
          <w:rFonts w:ascii="Arial" w:hAnsi="Arial" w:cs="Arial"/>
          <w:b/>
          <w:sz w:val="20"/>
          <w:szCs w:val="20"/>
        </w:rPr>
        <w:fldChar w:fldCharType="end"/>
      </w:r>
      <w:r w:rsidR="00DF37B0">
        <w:rPr>
          <w:rFonts w:ascii="Arial" w:hAnsi="Arial" w:cs="Arial"/>
          <w:b/>
          <w:sz w:val="20"/>
          <w:szCs w:val="20"/>
        </w:rPr>
        <w:t>.</w:t>
      </w:r>
      <w:r w:rsidR="00DF37B0">
        <w:rPr>
          <w:rFonts w:ascii="Arial" w:hAnsi="Arial" w:cs="Arial"/>
          <w:b/>
          <w:sz w:val="20"/>
          <w:szCs w:val="20"/>
        </w:rPr>
        <w:fldChar w:fldCharType="begin"/>
      </w:r>
      <w:r w:rsidR="00DF37B0">
        <w:rPr>
          <w:rFonts w:ascii="Arial" w:hAnsi="Arial" w:cs="Arial"/>
          <w:b/>
          <w:sz w:val="20"/>
          <w:szCs w:val="20"/>
        </w:rPr>
        <w:instrText xml:space="preserve"> SEQ Figure \* ARABIC \s 1 </w:instrText>
      </w:r>
      <w:r w:rsidR="00DF37B0">
        <w:rPr>
          <w:rFonts w:ascii="Arial" w:hAnsi="Arial" w:cs="Arial"/>
          <w:b/>
          <w:sz w:val="20"/>
          <w:szCs w:val="20"/>
        </w:rPr>
        <w:fldChar w:fldCharType="separate"/>
      </w:r>
      <w:r w:rsidR="00374B77">
        <w:rPr>
          <w:rFonts w:ascii="Arial" w:hAnsi="Arial" w:cs="Arial"/>
          <w:b/>
          <w:noProof/>
          <w:sz w:val="20"/>
          <w:szCs w:val="20"/>
        </w:rPr>
        <w:t>15</w:t>
      </w:r>
      <w:r w:rsidR="00DF37B0">
        <w:rPr>
          <w:rFonts w:ascii="Arial" w:hAnsi="Arial" w:cs="Arial"/>
          <w:b/>
          <w:sz w:val="20"/>
          <w:szCs w:val="20"/>
        </w:rPr>
        <w:fldChar w:fldCharType="end"/>
      </w:r>
      <w:bookmarkEnd w:id="373"/>
      <w:r w:rsidR="00BB1B7A" w:rsidRPr="00754B68">
        <w:rPr>
          <w:rFonts w:ascii="Arial" w:hAnsi="Arial" w:cs="Arial"/>
          <w:b/>
          <w:sz w:val="20"/>
          <w:szCs w:val="20"/>
        </w:rPr>
        <w:t xml:space="preserve"> </w:t>
      </w:r>
      <w:r w:rsidRPr="00754B68">
        <w:rPr>
          <w:rFonts w:ascii="Arial" w:hAnsi="Arial" w:cs="Arial"/>
          <w:b/>
          <w:sz w:val="20"/>
          <w:szCs w:val="20"/>
          <w:lang w:val="en-US"/>
        </w:rPr>
        <w:t>Showing dentine surface hardness of NSCH.  It can be seen that the dominant colours ranged between green and blue indicating soft or low hardness</w:t>
      </w:r>
      <w:r w:rsidR="001E57CD">
        <w:rPr>
          <w:rFonts w:ascii="Arial" w:hAnsi="Arial" w:cs="Arial"/>
          <w:b/>
          <w:sz w:val="20"/>
          <w:szCs w:val="20"/>
          <w:lang w:val="en-US"/>
        </w:rPr>
        <w:t>.</w:t>
      </w:r>
      <w:bookmarkEnd w:id="374"/>
      <w:bookmarkEnd w:id="375"/>
    </w:p>
    <w:p w:rsidR="0041603D" w:rsidRPr="00B013ED" w:rsidRDefault="0041603D" w:rsidP="0041603D">
      <w:pPr>
        <w:autoSpaceDN w:val="0"/>
        <w:spacing w:line="480" w:lineRule="auto"/>
        <w:rPr>
          <w:rFonts w:eastAsia="Calibri"/>
          <w:sz w:val="20"/>
          <w:szCs w:val="20"/>
          <w:lang w:val="en-US"/>
        </w:rPr>
      </w:pPr>
    </w:p>
    <w:p w:rsidR="0041603D" w:rsidRPr="00B013ED" w:rsidRDefault="0041603D" w:rsidP="0041603D">
      <w:pPr>
        <w:autoSpaceDN w:val="0"/>
        <w:spacing w:line="480" w:lineRule="auto"/>
        <w:rPr>
          <w:rFonts w:eastAsia="Times New Roman"/>
          <w:lang w:eastAsia="en-GB"/>
        </w:rPr>
      </w:pPr>
    </w:p>
    <w:p w:rsidR="0041603D" w:rsidRPr="00B013ED" w:rsidRDefault="0041603D" w:rsidP="0041603D">
      <w:pPr>
        <w:autoSpaceDN w:val="0"/>
        <w:spacing w:line="480" w:lineRule="auto"/>
        <w:jc w:val="both"/>
        <w:rPr>
          <w:rFonts w:eastAsia="Calibri"/>
          <w:b/>
          <w:bCs/>
          <w:lang w:val="en-US"/>
        </w:rPr>
      </w:pPr>
    </w:p>
    <w:p w:rsidR="0041603D" w:rsidRPr="00B013ED" w:rsidRDefault="0041603D" w:rsidP="0041603D">
      <w:pPr>
        <w:autoSpaceDN w:val="0"/>
        <w:spacing w:line="480" w:lineRule="auto"/>
        <w:jc w:val="both"/>
        <w:rPr>
          <w:rFonts w:eastAsia="Times New Roman"/>
          <w:lang w:eastAsia="en-GB"/>
        </w:rPr>
      </w:pPr>
    </w:p>
    <w:p w:rsidR="0041603D" w:rsidRPr="00B013ED" w:rsidRDefault="0041603D" w:rsidP="0041603D">
      <w:pPr>
        <w:autoSpaceDN w:val="0"/>
        <w:spacing w:line="480" w:lineRule="auto"/>
        <w:jc w:val="both"/>
        <w:rPr>
          <w:rFonts w:eastAsia="Calibri"/>
          <w:b/>
          <w:bCs/>
        </w:rPr>
      </w:pPr>
    </w:p>
    <w:p w:rsidR="00BC6BDF" w:rsidRPr="00B013ED" w:rsidRDefault="00BC6BDF" w:rsidP="00D74798">
      <w:pPr>
        <w:autoSpaceDN w:val="0"/>
        <w:spacing w:line="480" w:lineRule="auto"/>
        <w:rPr>
          <w:rFonts w:eastAsia="Calibri"/>
          <w:b/>
          <w:bCs/>
        </w:rPr>
      </w:pPr>
    </w:p>
    <w:p w:rsidR="00D83D3D" w:rsidRPr="0084209F" w:rsidRDefault="00DD6655" w:rsidP="0084209F">
      <w:pPr>
        <w:autoSpaceDN w:val="0"/>
        <w:spacing w:line="480" w:lineRule="auto"/>
        <w:jc w:val="both"/>
        <w:rPr>
          <w:rFonts w:eastAsia="Calibri"/>
          <w:b/>
          <w:bCs/>
          <w:sz w:val="20"/>
          <w:szCs w:val="20"/>
          <w:lang w:val="en-US"/>
        </w:rPr>
      </w:pPr>
      <w:r>
        <w:rPr>
          <w:rFonts w:eastAsia="Calibri"/>
          <w:b/>
          <w:bCs/>
          <w:sz w:val="20"/>
          <w:szCs w:val="20"/>
          <w:lang w:val="en-US"/>
        </w:rPr>
        <w:t xml:space="preserve"> </w:t>
      </w:r>
    </w:p>
    <w:p w:rsidR="00754B68" w:rsidRDefault="00754B68">
      <w:pPr>
        <w:rPr>
          <w:b/>
          <w:sz w:val="20"/>
          <w:szCs w:val="20"/>
        </w:rPr>
      </w:pPr>
      <w:bookmarkStart w:id="376" w:name="_Ref360450350"/>
      <w:r>
        <w:rPr>
          <w:b/>
          <w:sz w:val="20"/>
          <w:szCs w:val="20"/>
        </w:rPr>
        <w:br w:type="page"/>
      </w:r>
    </w:p>
    <w:p w:rsidR="00754B68" w:rsidRDefault="00754B68" w:rsidP="001D3F19">
      <w:pPr>
        <w:rPr>
          <w:b/>
          <w:sz w:val="20"/>
          <w:szCs w:val="20"/>
        </w:rPr>
      </w:pPr>
    </w:p>
    <w:p w:rsidR="0041603D" w:rsidRPr="00754B68" w:rsidRDefault="00C67C41" w:rsidP="001D3F19">
      <w:pPr>
        <w:rPr>
          <w:b/>
          <w:sz w:val="20"/>
          <w:szCs w:val="20"/>
          <w:lang w:val="en-US"/>
        </w:rPr>
      </w:pPr>
      <w:bookmarkStart w:id="377" w:name="_Ref361719859"/>
      <w:bookmarkStart w:id="378" w:name="_Toc361733606"/>
      <w:bookmarkStart w:id="379" w:name="_Toc361734249"/>
      <w:r w:rsidRPr="00754B68">
        <w:rPr>
          <w:b/>
          <w:sz w:val="20"/>
          <w:szCs w:val="20"/>
        </w:rPr>
        <w:t>Figure</w:t>
      </w:r>
      <w:r w:rsidR="00BB1B7A" w:rsidRPr="00754B68">
        <w:rPr>
          <w:b/>
          <w:sz w:val="20"/>
          <w:szCs w:val="20"/>
        </w:rPr>
        <w:t xml:space="preserve"> </w:t>
      </w:r>
      <w:r w:rsidR="00DF37B0">
        <w:rPr>
          <w:b/>
          <w:sz w:val="20"/>
          <w:szCs w:val="20"/>
        </w:rPr>
        <w:fldChar w:fldCharType="begin"/>
      </w:r>
      <w:r w:rsidR="00DF37B0">
        <w:rPr>
          <w:b/>
          <w:sz w:val="20"/>
          <w:szCs w:val="20"/>
        </w:rPr>
        <w:instrText xml:space="preserve"> STYLEREF 1 \s </w:instrText>
      </w:r>
      <w:r w:rsidR="00DF37B0">
        <w:rPr>
          <w:b/>
          <w:sz w:val="20"/>
          <w:szCs w:val="20"/>
        </w:rPr>
        <w:fldChar w:fldCharType="separate"/>
      </w:r>
      <w:r w:rsidR="00374B77">
        <w:rPr>
          <w:b/>
          <w:noProof/>
          <w:sz w:val="20"/>
          <w:szCs w:val="20"/>
          <w:cs/>
        </w:rPr>
        <w:t>‎</w:t>
      </w:r>
      <w:r w:rsidR="00374B77">
        <w:rPr>
          <w:b/>
          <w:noProof/>
          <w:sz w:val="20"/>
          <w:szCs w:val="20"/>
        </w:rPr>
        <w:t>0</w:t>
      </w:r>
      <w:r w:rsidR="00DF37B0">
        <w:rPr>
          <w:b/>
          <w:sz w:val="20"/>
          <w:szCs w:val="20"/>
        </w:rPr>
        <w:fldChar w:fldCharType="end"/>
      </w:r>
      <w:r w:rsidR="00DF37B0">
        <w:rPr>
          <w:b/>
          <w:sz w:val="20"/>
          <w:szCs w:val="20"/>
        </w:rPr>
        <w:t>.</w:t>
      </w:r>
      <w:r w:rsidR="00DF37B0">
        <w:rPr>
          <w:b/>
          <w:sz w:val="20"/>
          <w:szCs w:val="20"/>
        </w:rPr>
        <w:fldChar w:fldCharType="begin"/>
      </w:r>
      <w:r w:rsidR="00DF37B0">
        <w:rPr>
          <w:b/>
          <w:sz w:val="20"/>
          <w:szCs w:val="20"/>
        </w:rPr>
        <w:instrText xml:space="preserve"> SEQ Figure \* ARABIC \s 1 </w:instrText>
      </w:r>
      <w:r w:rsidR="00DF37B0">
        <w:rPr>
          <w:b/>
          <w:sz w:val="20"/>
          <w:szCs w:val="20"/>
        </w:rPr>
        <w:fldChar w:fldCharType="separate"/>
      </w:r>
      <w:r w:rsidR="00374B77">
        <w:rPr>
          <w:b/>
          <w:noProof/>
          <w:sz w:val="20"/>
          <w:szCs w:val="20"/>
        </w:rPr>
        <w:t>16</w:t>
      </w:r>
      <w:r w:rsidR="00DF37B0">
        <w:rPr>
          <w:b/>
          <w:sz w:val="20"/>
          <w:szCs w:val="20"/>
        </w:rPr>
        <w:fldChar w:fldCharType="end"/>
      </w:r>
      <w:bookmarkEnd w:id="376"/>
      <w:bookmarkEnd w:id="377"/>
      <w:r w:rsidR="00756DF9" w:rsidRPr="00754B68">
        <w:rPr>
          <w:b/>
          <w:sz w:val="20"/>
          <w:szCs w:val="20"/>
        </w:rPr>
        <w:t xml:space="preserve"> </w:t>
      </w:r>
      <w:r w:rsidR="00754B68" w:rsidRPr="00754B68">
        <w:rPr>
          <w:b/>
          <w:sz w:val="20"/>
          <w:szCs w:val="20"/>
          <w:lang w:val="en-US"/>
        </w:rPr>
        <w:t>Showing dentine surface hardness after 8 months of MTA application.   It can be seen that the dominant colour is blue indicating low hardness.</w:t>
      </w:r>
      <w:bookmarkEnd w:id="378"/>
      <w:bookmarkEnd w:id="379"/>
    </w:p>
    <w:p w:rsidR="0041603D" w:rsidRPr="00B013ED" w:rsidRDefault="001D7A5C" w:rsidP="0041603D">
      <w:pPr>
        <w:autoSpaceDN w:val="0"/>
        <w:spacing w:line="480" w:lineRule="auto"/>
        <w:jc w:val="both"/>
        <w:rPr>
          <w:rFonts w:eastAsia="Calibri"/>
          <w:sz w:val="20"/>
          <w:szCs w:val="20"/>
          <w:lang w:val="en-US"/>
        </w:rPr>
      </w:pPr>
      <w:r w:rsidRPr="00B013ED">
        <w:rPr>
          <w:rFonts w:eastAsia="Calibri"/>
          <w:noProof/>
          <w:sz w:val="20"/>
          <w:szCs w:val="20"/>
          <w:lang w:eastAsia="en-GB"/>
        </w:rPr>
        <w:drawing>
          <wp:anchor distT="0" distB="0" distL="114300" distR="114300" simplePos="0" relativeHeight="251715584" behindDoc="0" locked="0" layoutInCell="1" allowOverlap="1" wp14:anchorId="029DA3F6" wp14:editId="74A7D3C1">
            <wp:simplePos x="0" y="0"/>
            <wp:positionH relativeFrom="column">
              <wp:posOffset>438150</wp:posOffset>
            </wp:positionH>
            <wp:positionV relativeFrom="paragraph">
              <wp:posOffset>166370</wp:posOffset>
            </wp:positionV>
            <wp:extent cx="4457700" cy="3467100"/>
            <wp:effectExtent l="0" t="0" r="0" b="0"/>
            <wp:wrapSquare wrapText="bothSides"/>
            <wp:docPr id="58" name="Picture 58" descr="C:\Users\wageh\Desktop\85\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geh\Desktop\85\Slide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770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03D" w:rsidRPr="00B013ED" w:rsidRDefault="0041603D" w:rsidP="0041603D">
      <w:pPr>
        <w:autoSpaceDN w:val="0"/>
        <w:spacing w:line="480" w:lineRule="auto"/>
        <w:jc w:val="both"/>
        <w:rPr>
          <w:rFonts w:eastAsia="Calibri"/>
          <w:sz w:val="20"/>
          <w:szCs w:val="20"/>
          <w:lang w:val="en-US"/>
        </w:rPr>
      </w:pPr>
    </w:p>
    <w:p w:rsidR="0041603D" w:rsidRPr="00B013ED" w:rsidRDefault="0041603D" w:rsidP="0041603D">
      <w:pPr>
        <w:autoSpaceDN w:val="0"/>
        <w:spacing w:line="480" w:lineRule="auto"/>
        <w:jc w:val="both"/>
        <w:rPr>
          <w:rFonts w:eastAsia="Calibri"/>
          <w:sz w:val="20"/>
          <w:szCs w:val="20"/>
          <w:lang w:val="en-US"/>
        </w:rPr>
      </w:pPr>
    </w:p>
    <w:p w:rsidR="0041603D" w:rsidRPr="00B013ED" w:rsidRDefault="0041603D" w:rsidP="0041603D">
      <w:pPr>
        <w:autoSpaceDN w:val="0"/>
        <w:spacing w:line="480" w:lineRule="auto"/>
        <w:jc w:val="both"/>
        <w:rPr>
          <w:rFonts w:eastAsia="Calibri"/>
          <w:sz w:val="20"/>
          <w:szCs w:val="20"/>
          <w:lang w:val="en-US"/>
        </w:rPr>
      </w:pPr>
    </w:p>
    <w:p w:rsidR="0041603D" w:rsidRPr="00B013ED" w:rsidRDefault="0041603D" w:rsidP="0041603D">
      <w:pPr>
        <w:autoSpaceDN w:val="0"/>
        <w:spacing w:line="480" w:lineRule="auto"/>
        <w:jc w:val="both"/>
        <w:rPr>
          <w:rFonts w:eastAsia="Times New Roman"/>
          <w:lang w:eastAsia="en-GB"/>
        </w:rPr>
      </w:pPr>
    </w:p>
    <w:p w:rsidR="0041603D" w:rsidRPr="00B013ED" w:rsidRDefault="0041603D" w:rsidP="0041603D">
      <w:pPr>
        <w:autoSpaceDN w:val="0"/>
        <w:spacing w:line="480" w:lineRule="auto"/>
        <w:jc w:val="both"/>
        <w:rPr>
          <w:rFonts w:eastAsia="Times New Roman"/>
          <w:lang w:eastAsia="en-GB"/>
        </w:rPr>
      </w:pPr>
    </w:p>
    <w:p w:rsidR="0041603D" w:rsidRPr="00B013ED" w:rsidRDefault="0041603D" w:rsidP="0041603D">
      <w:pPr>
        <w:autoSpaceDN w:val="0"/>
        <w:spacing w:line="480" w:lineRule="auto"/>
        <w:jc w:val="both"/>
        <w:rPr>
          <w:rFonts w:eastAsia="Calibri"/>
          <w:b/>
          <w:bCs/>
          <w:lang w:val="en-US"/>
        </w:rPr>
      </w:pPr>
    </w:p>
    <w:p w:rsidR="0041603D" w:rsidRDefault="0041603D" w:rsidP="0041603D">
      <w:pPr>
        <w:autoSpaceDN w:val="0"/>
        <w:spacing w:line="480" w:lineRule="auto"/>
        <w:jc w:val="both"/>
        <w:rPr>
          <w:sz w:val="20"/>
          <w:szCs w:val="20"/>
        </w:rPr>
      </w:pPr>
    </w:p>
    <w:p w:rsidR="00A40948" w:rsidRPr="00B013ED" w:rsidRDefault="00A40948" w:rsidP="0041603D">
      <w:pPr>
        <w:autoSpaceDN w:val="0"/>
        <w:spacing w:line="480" w:lineRule="auto"/>
        <w:jc w:val="both"/>
        <w:rPr>
          <w:sz w:val="20"/>
          <w:szCs w:val="20"/>
        </w:rPr>
      </w:pPr>
    </w:p>
    <w:p w:rsidR="004C2E30" w:rsidRPr="004A2211" w:rsidRDefault="00A27F02" w:rsidP="004A2211">
      <w:pPr>
        <w:rPr>
          <w:sz w:val="20"/>
          <w:szCs w:val="20"/>
        </w:rPr>
      </w:pPr>
      <w:r>
        <w:rPr>
          <w:sz w:val="20"/>
          <w:szCs w:val="20"/>
        </w:rPr>
        <w:br w:type="page"/>
      </w:r>
      <w:bookmarkStart w:id="380" w:name="_Ref360450582"/>
    </w:p>
    <w:p w:rsidR="004C2E30" w:rsidRPr="0084209F" w:rsidRDefault="004C2E30" w:rsidP="0084209F">
      <w:pPr>
        <w:pStyle w:val="Heading4"/>
        <w:spacing w:line="480" w:lineRule="auto"/>
        <w:rPr>
          <w:rFonts w:cstheme="minorBidi"/>
          <w:sz w:val="20"/>
          <w:szCs w:val="20"/>
        </w:rPr>
      </w:pPr>
      <w:r w:rsidRPr="004F5F80">
        <w:rPr>
          <w:lang w:val="en-US"/>
        </w:rPr>
        <w:lastRenderedPageBreak/>
        <w:t xml:space="preserve">Map scans illustrating </w:t>
      </w:r>
      <w:r>
        <w:rPr>
          <w:lang w:val="en-US"/>
        </w:rPr>
        <w:t>modulus of elasticity</w:t>
      </w:r>
      <w:r w:rsidRPr="004F5F80">
        <w:rPr>
          <w:lang w:val="en-US"/>
        </w:rPr>
        <w:t xml:space="preserve"> after </w:t>
      </w:r>
      <w:r>
        <w:rPr>
          <w:lang w:val="en-US"/>
        </w:rPr>
        <w:t>eight</w:t>
      </w:r>
      <w:r w:rsidRPr="004F5F80">
        <w:rPr>
          <w:lang w:val="en-US"/>
        </w:rPr>
        <w:t xml:space="preserve"> months</w:t>
      </w:r>
    </w:p>
    <w:p w:rsidR="00821FCA" w:rsidRPr="00A27F02" w:rsidRDefault="00C67C41" w:rsidP="00A27F02">
      <w:pPr>
        <w:rPr>
          <w:rFonts w:cstheme="minorBidi"/>
          <w:b/>
          <w:bCs/>
          <w:sz w:val="20"/>
          <w:szCs w:val="20"/>
        </w:rPr>
      </w:pPr>
      <w:bookmarkStart w:id="381" w:name="_Ref361612720"/>
      <w:bookmarkStart w:id="382" w:name="_Toc361733607"/>
      <w:bookmarkStart w:id="383" w:name="_Toc361734250"/>
      <w:r>
        <w:rPr>
          <w:rFonts w:cstheme="minorBidi"/>
          <w:b/>
          <w:bCs/>
          <w:sz w:val="20"/>
          <w:szCs w:val="20"/>
        </w:rPr>
        <w:t>Figure</w:t>
      </w:r>
      <w:r w:rsidR="00821FCA" w:rsidRPr="00A27F02">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0</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17</w:t>
      </w:r>
      <w:r w:rsidR="00DF37B0">
        <w:rPr>
          <w:rFonts w:cstheme="minorBidi"/>
          <w:b/>
          <w:bCs/>
          <w:sz w:val="20"/>
          <w:szCs w:val="20"/>
        </w:rPr>
        <w:fldChar w:fldCharType="end"/>
      </w:r>
      <w:bookmarkEnd w:id="380"/>
      <w:bookmarkEnd w:id="381"/>
      <w:r w:rsidR="00821FCA" w:rsidRPr="00A27F02">
        <w:rPr>
          <w:rFonts w:cstheme="minorBidi"/>
          <w:b/>
          <w:bCs/>
          <w:sz w:val="20"/>
          <w:szCs w:val="20"/>
        </w:rPr>
        <w:t xml:space="preserve"> </w:t>
      </w:r>
      <w:r w:rsidR="00754B68" w:rsidRPr="00754B68">
        <w:rPr>
          <w:rFonts w:eastAsia="Calibri" w:cstheme="minorBidi"/>
          <w:b/>
          <w:bCs/>
          <w:sz w:val="20"/>
          <w:szCs w:val="20"/>
          <w:lang w:val="en-US"/>
        </w:rPr>
        <w:t>Showing dentine surface modulus of elasticity for the control group. It can be seen that the colour ranged between green and red meaning high modulus of elasticity.</w:t>
      </w:r>
      <w:bookmarkEnd w:id="382"/>
      <w:bookmarkEnd w:id="383"/>
    </w:p>
    <w:p w:rsidR="004A2211" w:rsidRDefault="004A2211" w:rsidP="004A2211">
      <w:pPr>
        <w:autoSpaceDN w:val="0"/>
        <w:spacing w:line="480" w:lineRule="auto"/>
        <w:jc w:val="center"/>
        <w:rPr>
          <w:rFonts w:eastAsia="Calibri"/>
          <w:noProof/>
          <w:sz w:val="20"/>
          <w:szCs w:val="20"/>
          <w:lang w:eastAsia="en-GB"/>
        </w:rPr>
      </w:pPr>
      <w:r w:rsidRPr="00B013ED">
        <w:rPr>
          <w:rFonts w:eastAsia="Calibri"/>
          <w:noProof/>
          <w:sz w:val="20"/>
          <w:szCs w:val="20"/>
          <w:lang w:eastAsia="en-GB"/>
        </w:rPr>
        <w:drawing>
          <wp:anchor distT="0" distB="0" distL="114300" distR="114300" simplePos="0" relativeHeight="251755520" behindDoc="0" locked="0" layoutInCell="1" allowOverlap="1" wp14:anchorId="65738694" wp14:editId="1BFEC917">
            <wp:simplePos x="0" y="0"/>
            <wp:positionH relativeFrom="column">
              <wp:posOffset>571500</wp:posOffset>
            </wp:positionH>
            <wp:positionV relativeFrom="paragraph">
              <wp:posOffset>88265</wp:posOffset>
            </wp:positionV>
            <wp:extent cx="4187190" cy="3057525"/>
            <wp:effectExtent l="0" t="0" r="3810" b="9525"/>
            <wp:wrapSquare wrapText="bothSides"/>
            <wp:docPr id="59" name="Picture 59" descr="C:\Users\wageh\Desktop\85\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geh\Desktop\85\Slide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719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211" w:rsidRDefault="004A2211" w:rsidP="004A2211">
      <w:pPr>
        <w:autoSpaceDN w:val="0"/>
        <w:spacing w:line="480" w:lineRule="auto"/>
      </w:pPr>
      <w:bookmarkStart w:id="384" w:name="_Ref360450708"/>
    </w:p>
    <w:p w:rsidR="004A2211" w:rsidRDefault="004A2211" w:rsidP="004A2211">
      <w:pPr>
        <w:autoSpaceDN w:val="0"/>
        <w:spacing w:line="480" w:lineRule="auto"/>
      </w:pPr>
    </w:p>
    <w:p w:rsidR="004A2211" w:rsidRDefault="004A2211" w:rsidP="004A2211">
      <w:pPr>
        <w:autoSpaceDN w:val="0"/>
        <w:spacing w:line="480" w:lineRule="auto"/>
      </w:pPr>
    </w:p>
    <w:p w:rsidR="004A2211" w:rsidRDefault="004A2211" w:rsidP="004A2211">
      <w:pPr>
        <w:autoSpaceDN w:val="0"/>
        <w:spacing w:line="480" w:lineRule="auto"/>
      </w:pPr>
    </w:p>
    <w:p w:rsidR="004A2211" w:rsidRDefault="004A2211" w:rsidP="004A2211">
      <w:pPr>
        <w:autoSpaceDN w:val="0"/>
        <w:spacing w:line="480" w:lineRule="auto"/>
      </w:pPr>
    </w:p>
    <w:p w:rsidR="004A2211" w:rsidRDefault="004A2211" w:rsidP="004A2211">
      <w:pPr>
        <w:autoSpaceDN w:val="0"/>
        <w:spacing w:line="480" w:lineRule="auto"/>
      </w:pPr>
    </w:p>
    <w:p w:rsidR="004A2211" w:rsidRDefault="004A2211" w:rsidP="004A2211">
      <w:pPr>
        <w:autoSpaceDN w:val="0"/>
        <w:spacing w:line="480" w:lineRule="auto"/>
      </w:pPr>
    </w:p>
    <w:p w:rsidR="0041603D" w:rsidRPr="0041150E" w:rsidRDefault="00C67C41" w:rsidP="0041150E">
      <w:pPr>
        <w:autoSpaceDN w:val="0"/>
        <w:spacing w:line="240" w:lineRule="auto"/>
        <w:rPr>
          <w:rFonts w:eastAsia="Times New Roman" w:cstheme="minorBidi"/>
          <w:b/>
          <w:bCs/>
          <w:sz w:val="20"/>
          <w:szCs w:val="20"/>
          <w:lang w:eastAsia="en-GB"/>
        </w:rPr>
      </w:pPr>
      <w:bookmarkStart w:id="385" w:name="_Ref361129949"/>
      <w:bookmarkStart w:id="386" w:name="_Toc361733608"/>
      <w:bookmarkStart w:id="387" w:name="_Toc361734251"/>
      <w:r>
        <w:rPr>
          <w:rFonts w:cstheme="minorBidi"/>
          <w:b/>
          <w:bCs/>
          <w:sz w:val="20"/>
          <w:szCs w:val="20"/>
        </w:rPr>
        <w:t>Figure</w:t>
      </w:r>
      <w:r w:rsidR="00A27F02" w:rsidRPr="0041150E">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0</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18</w:t>
      </w:r>
      <w:r w:rsidR="00DF37B0">
        <w:rPr>
          <w:rFonts w:cstheme="minorBidi"/>
          <w:b/>
          <w:bCs/>
          <w:sz w:val="20"/>
          <w:szCs w:val="20"/>
        </w:rPr>
        <w:fldChar w:fldCharType="end"/>
      </w:r>
      <w:bookmarkEnd w:id="384"/>
      <w:bookmarkEnd w:id="385"/>
      <w:r w:rsidR="00A27F02" w:rsidRPr="0041150E">
        <w:rPr>
          <w:rFonts w:cstheme="minorBidi"/>
          <w:b/>
          <w:bCs/>
          <w:sz w:val="20"/>
          <w:szCs w:val="20"/>
        </w:rPr>
        <w:t xml:space="preserve"> </w:t>
      </w:r>
      <w:r w:rsidR="00A27F02" w:rsidRPr="0041150E">
        <w:rPr>
          <w:rFonts w:cstheme="minorBidi"/>
          <w:b/>
          <w:bCs/>
          <w:sz w:val="20"/>
          <w:szCs w:val="20"/>
          <w:lang w:val="en-US"/>
        </w:rPr>
        <w:t xml:space="preserve">Showing dentine surface modulus of elasticity for the NSCH. It can be seen that </w:t>
      </w:r>
      <w:r w:rsidR="00D83D3D" w:rsidRPr="0041150E">
        <w:rPr>
          <w:rFonts w:cstheme="minorBidi"/>
          <w:b/>
          <w:bCs/>
          <w:sz w:val="20"/>
          <w:szCs w:val="20"/>
          <w:lang w:val="en-US"/>
        </w:rPr>
        <w:t xml:space="preserve">that the dominant colour is blue meaning low </w:t>
      </w:r>
      <w:r w:rsidR="00A27F02" w:rsidRPr="0041150E">
        <w:rPr>
          <w:rFonts w:cstheme="minorBidi"/>
          <w:b/>
          <w:bCs/>
          <w:sz w:val="20"/>
          <w:szCs w:val="20"/>
          <w:lang w:val="en-US"/>
        </w:rPr>
        <w:t>modulus of elasticity.</w:t>
      </w:r>
      <w:bookmarkEnd w:id="386"/>
      <w:bookmarkEnd w:id="387"/>
      <w:r w:rsidR="00A27F02" w:rsidRPr="0041150E">
        <w:rPr>
          <w:rFonts w:cstheme="minorBidi"/>
          <w:b/>
          <w:bCs/>
          <w:sz w:val="20"/>
          <w:szCs w:val="20"/>
          <w:lang w:val="en-US"/>
        </w:rPr>
        <w:t xml:space="preserve"> </w:t>
      </w:r>
      <w:r w:rsidR="00BC6BDF" w:rsidRPr="0041150E">
        <w:rPr>
          <w:rFonts w:cstheme="minorBidi"/>
          <w:b/>
          <w:bCs/>
          <w:sz w:val="20"/>
          <w:szCs w:val="20"/>
          <w:lang w:val="en-US"/>
        </w:rPr>
        <w:t xml:space="preserve">  </w:t>
      </w:r>
    </w:p>
    <w:p w:rsidR="004A2211" w:rsidRDefault="0041150E" w:rsidP="0041603D">
      <w:pPr>
        <w:autoSpaceDN w:val="0"/>
        <w:spacing w:line="480" w:lineRule="auto"/>
        <w:jc w:val="both"/>
        <w:rPr>
          <w:rFonts w:eastAsia="Calibri"/>
          <w:noProof/>
          <w:sz w:val="20"/>
          <w:szCs w:val="20"/>
          <w:lang w:eastAsia="en-GB"/>
        </w:rPr>
      </w:pPr>
      <w:r w:rsidRPr="0041150E">
        <w:rPr>
          <w:rFonts w:eastAsia="Times New Roman" w:cstheme="minorBidi"/>
          <w:b/>
          <w:bCs/>
          <w:noProof/>
          <w:sz w:val="20"/>
          <w:szCs w:val="20"/>
          <w:lang w:eastAsia="en-GB"/>
        </w:rPr>
        <w:drawing>
          <wp:anchor distT="0" distB="0" distL="114300" distR="114300" simplePos="0" relativeHeight="251717632" behindDoc="0" locked="0" layoutInCell="1" allowOverlap="1" wp14:anchorId="18752B5C" wp14:editId="620D1E25">
            <wp:simplePos x="0" y="0"/>
            <wp:positionH relativeFrom="margin">
              <wp:posOffset>696595</wp:posOffset>
            </wp:positionH>
            <wp:positionV relativeFrom="margin">
              <wp:posOffset>5324475</wp:posOffset>
            </wp:positionV>
            <wp:extent cx="4062095" cy="2952750"/>
            <wp:effectExtent l="0" t="0" r="0" b="0"/>
            <wp:wrapSquare wrapText="bothSides"/>
            <wp:docPr id="60" name="Picture 60" descr="C:\Users\wageh\Desktop\85\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geh\Desktop\85\Slide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6209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03D" w:rsidRPr="00B013ED" w:rsidRDefault="0041603D" w:rsidP="0041603D">
      <w:pPr>
        <w:autoSpaceDN w:val="0"/>
        <w:spacing w:line="480" w:lineRule="auto"/>
        <w:jc w:val="both"/>
        <w:rPr>
          <w:rFonts w:eastAsia="Times New Roman"/>
          <w:lang w:eastAsia="en-GB"/>
        </w:rPr>
      </w:pPr>
    </w:p>
    <w:p w:rsidR="004A2211" w:rsidRDefault="004A2211" w:rsidP="0041603D">
      <w:pPr>
        <w:autoSpaceDN w:val="0"/>
        <w:spacing w:line="480" w:lineRule="auto"/>
        <w:jc w:val="both"/>
        <w:rPr>
          <w:rFonts w:eastAsia="Calibri"/>
          <w:noProof/>
          <w:sz w:val="20"/>
          <w:szCs w:val="20"/>
          <w:lang w:eastAsia="en-GB"/>
        </w:rPr>
      </w:pPr>
    </w:p>
    <w:p w:rsidR="004A2211" w:rsidRDefault="004A2211" w:rsidP="0041603D">
      <w:pPr>
        <w:autoSpaceDN w:val="0"/>
        <w:spacing w:line="480" w:lineRule="auto"/>
        <w:jc w:val="both"/>
        <w:rPr>
          <w:rFonts w:eastAsia="Calibri"/>
          <w:noProof/>
          <w:sz w:val="20"/>
          <w:szCs w:val="20"/>
          <w:lang w:eastAsia="en-GB"/>
        </w:rPr>
      </w:pPr>
    </w:p>
    <w:p w:rsidR="0041603D" w:rsidRPr="00B013ED" w:rsidRDefault="0041603D" w:rsidP="0041603D">
      <w:pPr>
        <w:autoSpaceDN w:val="0"/>
        <w:spacing w:line="480" w:lineRule="auto"/>
        <w:jc w:val="both"/>
        <w:rPr>
          <w:rFonts w:eastAsia="Times New Roman"/>
          <w:lang w:eastAsia="en-GB"/>
        </w:rPr>
      </w:pPr>
    </w:p>
    <w:p w:rsidR="0041603D" w:rsidRPr="00B013ED" w:rsidRDefault="0041603D" w:rsidP="0041603D">
      <w:pPr>
        <w:autoSpaceDN w:val="0"/>
        <w:spacing w:line="480" w:lineRule="auto"/>
        <w:jc w:val="both"/>
        <w:rPr>
          <w:rFonts w:eastAsia="Calibri"/>
          <w:sz w:val="20"/>
          <w:szCs w:val="20"/>
          <w:lang w:val="en-US"/>
        </w:rPr>
      </w:pPr>
    </w:p>
    <w:p w:rsidR="00A40948" w:rsidRDefault="00A40948" w:rsidP="0084209F">
      <w:pPr>
        <w:rPr>
          <w:rFonts w:eastAsia="Calibri"/>
          <w:sz w:val="20"/>
          <w:szCs w:val="20"/>
          <w:lang w:val="en-US"/>
        </w:rPr>
      </w:pPr>
    </w:p>
    <w:p w:rsidR="00A40948" w:rsidRDefault="00A40948" w:rsidP="0084209F">
      <w:pPr>
        <w:rPr>
          <w:rFonts w:eastAsia="Calibri"/>
          <w:sz w:val="20"/>
          <w:szCs w:val="20"/>
          <w:lang w:val="en-US"/>
        </w:rPr>
      </w:pPr>
    </w:p>
    <w:p w:rsidR="00A40948" w:rsidRDefault="00A40948" w:rsidP="0084209F">
      <w:pPr>
        <w:rPr>
          <w:rFonts w:eastAsia="Calibri"/>
          <w:sz w:val="20"/>
          <w:szCs w:val="20"/>
          <w:lang w:val="en-US"/>
        </w:rPr>
      </w:pPr>
    </w:p>
    <w:p w:rsidR="004A2211" w:rsidRPr="0084209F" w:rsidRDefault="004A2211" w:rsidP="0084209F">
      <w:pPr>
        <w:rPr>
          <w:rFonts w:ascii="Arial" w:hAnsi="Arial" w:cs="Arial"/>
          <w:b/>
          <w:bCs/>
          <w:sz w:val="20"/>
          <w:szCs w:val="20"/>
          <w:lang w:eastAsia="zh-CN"/>
        </w:rPr>
      </w:pPr>
      <w:r>
        <w:br w:type="page"/>
      </w:r>
    </w:p>
    <w:p w:rsidR="00754B68" w:rsidRDefault="00754B68" w:rsidP="001D3F19">
      <w:pPr>
        <w:rPr>
          <w:rFonts w:ascii="Arial" w:hAnsi="Arial" w:cs="Arial"/>
          <w:b/>
          <w:sz w:val="20"/>
          <w:szCs w:val="20"/>
        </w:rPr>
      </w:pPr>
      <w:bookmarkStart w:id="388" w:name="_Ref361130064"/>
    </w:p>
    <w:p w:rsidR="0041603D" w:rsidRPr="0084209F" w:rsidRDefault="00C67C41" w:rsidP="001D3F19">
      <w:bookmarkStart w:id="389" w:name="_Ref361719975"/>
      <w:bookmarkStart w:id="390" w:name="_Toc361733609"/>
      <w:bookmarkStart w:id="391" w:name="_Toc361734252"/>
      <w:r w:rsidRPr="00754B68">
        <w:rPr>
          <w:rFonts w:ascii="Arial" w:hAnsi="Arial" w:cs="Arial"/>
          <w:b/>
          <w:sz w:val="20"/>
          <w:szCs w:val="20"/>
        </w:rPr>
        <w:t>Figure</w:t>
      </w:r>
      <w:r w:rsidR="001953FF" w:rsidRPr="00754B68">
        <w:rPr>
          <w:rFonts w:ascii="Arial" w:hAnsi="Arial" w:cs="Arial"/>
          <w:b/>
          <w:sz w:val="20"/>
          <w:szCs w:val="20"/>
        </w:rPr>
        <w:t xml:space="preserve"> </w:t>
      </w:r>
      <w:r w:rsidR="00DF37B0">
        <w:rPr>
          <w:rFonts w:ascii="Arial" w:hAnsi="Arial" w:cs="Arial"/>
          <w:b/>
          <w:sz w:val="20"/>
          <w:szCs w:val="20"/>
        </w:rPr>
        <w:fldChar w:fldCharType="begin"/>
      </w:r>
      <w:r w:rsidR="00DF37B0">
        <w:rPr>
          <w:rFonts w:ascii="Arial" w:hAnsi="Arial" w:cs="Arial"/>
          <w:b/>
          <w:sz w:val="20"/>
          <w:szCs w:val="20"/>
        </w:rPr>
        <w:instrText xml:space="preserve"> STYLEREF 1 \s </w:instrText>
      </w:r>
      <w:r w:rsidR="00DF37B0">
        <w:rPr>
          <w:rFonts w:ascii="Arial" w:hAnsi="Arial" w:cs="Arial"/>
          <w:b/>
          <w:sz w:val="20"/>
          <w:szCs w:val="20"/>
        </w:rPr>
        <w:fldChar w:fldCharType="separate"/>
      </w:r>
      <w:r w:rsidR="00374B77">
        <w:rPr>
          <w:rFonts w:ascii="Arial" w:hAnsi="Arial" w:cs="Arial"/>
          <w:b/>
          <w:noProof/>
          <w:sz w:val="20"/>
          <w:szCs w:val="20"/>
          <w:cs/>
        </w:rPr>
        <w:t>‎</w:t>
      </w:r>
      <w:r w:rsidR="00374B77">
        <w:rPr>
          <w:rFonts w:ascii="Arial" w:hAnsi="Arial" w:cs="Arial"/>
          <w:b/>
          <w:noProof/>
          <w:sz w:val="20"/>
          <w:szCs w:val="20"/>
        </w:rPr>
        <w:t>0</w:t>
      </w:r>
      <w:r w:rsidR="00DF37B0">
        <w:rPr>
          <w:rFonts w:ascii="Arial" w:hAnsi="Arial" w:cs="Arial"/>
          <w:b/>
          <w:sz w:val="20"/>
          <w:szCs w:val="20"/>
        </w:rPr>
        <w:fldChar w:fldCharType="end"/>
      </w:r>
      <w:r w:rsidR="00DF37B0">
        <w:rPr>
          <w:rFonts w:ascii="Arial" w:hAnsi="Arial" w:cs="Arial"/>
          <w:b/>
          <w:sz w:val="20"/>
          <w:szCs w:val="20"/>
        </w:rPr>
        <w:t>.</w:t>
      </w:r>
      <w:r w:rsidR="00DF37B0">
        <w:rPr>
          <w:rFonts w:ascii="Arial" w:hAnsi="Arial" w:cs="Arial"/>
          <w:b/>
          <w:sz w:val="20"/>
          <w:szCs w:val="20"/>
        </w:rPr>
        <w:fldChar w:fldCharType="begin"/>
      </w:r>
      <w:r w:rsidR="00DF37B0">
        <w:rPr>
          <w:rFonts w:ascii="Arial" w:hAnsi="Arial" w:cs="Arial"/>
          <w:b/>
          <w:sz w:val="20"/>
          <w:szCs w:val="20"/>
        </w:rPr>
        <w:instrText xml:space="preserve"> SEQ Figure \* ARABIC \s 1 </w:instrText>
      </w:r>
      <w:r w:rsidR="00DF37B0">
        <w:rPr>
          <w:rFonts w:ascii="Arial" w:hAnsi="Arial" w:cs="Arial"/>
          <w:b/>
          <w:sz w:val="20"/>
          <w:szCs w:val="20"/>
        </w:rPr>
        <w:fldChar w:fldCharType="separate"/>
      </w:r>
      <w:r w:rsidR="00374B77">
        <w:rPr>
          <w:rFonts w:ascii="Arial" w:hAnsi="Arial" w:cs="Arial"/>
          <w:b/>
          <w:noProof/>
          <w:sz w:val="20"/>
          <w:szCs w:val="20"/>
        </w:rPr>
        <w:t>19</w:t>
      </w:r>
      <w:r w:rsidR="00DF37B0">
        <w:rPr>
          <w:rFonts w:ascii="Arial" w:hAnsi="Arial" w:cs="Arial"/>
          <w:b/>
          <w:sz w:val="20"/>
          <w:szCs w:val="20"/>
        </w:rPr>
        <w:fldChar w:fldCharType="end"/>
      </w:r>
      <w:bookmarkEnd w:id="388"/>
      <w:bookmarkEnd w:id="389"/>
      <w:r w:rsidR="001953FF" w:rsidRPr="00754B68">
        <w:rPr>
          <w:rFonts w:ascii="Arial" w:hAnsi="Arial" w:cs="Arial"/>
          <w:b/>
          <w:sz w:val="20"/>
          <w:szCs w:val="20"/>
        </w:rPr>
        <w:t xml:space="preserve"> </w:t>
      </w:r>
      <w:r w:rsidR="00754B68" w:rsidRPr="00754B68">
        <w:rPr>
          <w:rFonts w:cstheme="minorBidi"/>
          <w:b/>
          <w:bCs/>
          <w:sz w:val="20"/>
          <w:szCs w:val="20"/>
          <w:lang w:val="en-US"/>
        </w:rPr>
        <w:t>Showing dentine surface modulus of elasticity for the MTA. It can be seen that that the dominant colour is blue indicating low modulus of elasticity.</w:t>
      </w:r>
      <w:bookmarkEnd w:id="390"/>
      <w:bookmarkEnd w:id="391"/>
      <w:r w:rsidR="00754B68" w:rsidRPr="00754B68">
        <w:rPr>
          <w:rFonts w:cstheme="minorBidi"/>
          <w:b/>
          <w:bCs/>
          <w:sz w:val="20"/>
          <w:szCs w:val="20"/>
          <w:lang w:val="en-US"/>
        </w:rPr>
        <w:t xml:space="preserve">   </w:t>
      </w:r>
    </w:p>
    <w:p w:rsidR="00A40948" w:rsidRDefault="00A40948" w:rsidP="0041150E">
      <w:pPr>
        <w:rPr>
          <w:rFonts w:eastAsia="Calibri"/>
          <w:b/>
          <w:bCs/>
          <w:lang w:val="en-US"/>
        </w:rPr>
      </w:pPr>
    </w:p>
    <w:p w:rsidR="00A40948" w:rsidRDefault="00A40948" w:rsidP="0041150E">
      <w:pPr>
        <w:rPr>
          <w:rFonts w:eastAsia="Calibri"/>
          <w:b/>
          <w:bCs/>
          <w:lang w:val="en-US"/>
        </w:rPr>
      </w:pPr>
    </w:p>
    <w:p w:rsidR="00A40948" w:rsidRDefault="00A40948" w:rsidP="0041150E">
      <w:pPr>
        <w:rPr>
          <w:rFonts w:eastAsia="Calibri"/>
          <w:b/>
          <w:bCs/>
          <w:lang w:val="en-US"/>
        </w:rPr>
      </w:pPr>
    </w:p>
    <w:p w:rsidR="00A40948" w:rsidRDefault="00A40948" w:rsidP="0041150E">
      <w:pPr>
        <w:rPr>
          <w:rFonts w:eastAsia="Calibri"/>
          <w:b/>
          <w:bCs/>
          <w:lang w:val="en-US"/>
        </w:rPr>
      </w:pPr>
    </w:p>
    <w:p w:rsidR="00A40948" w:rsidRDefault="00A40948" w:rsidP="0041150E">
      <w:pPr>
        <w:rPr>
          <w:rFonts w:eastAsia="Calibri"/>
          <w:b/>
          <w:bCs/>
          <w:lang w:val="en-US"/>
        </w:rPr>
      </w:pPr>
    </w:p>
    <w:p w:rsidR="00A40948" w:rsidRDefault="00A40948" w:rsidP="0041150E">
      <w:pPr>
        <w:rPr>
          <w:rFonts w:eastAsia="Calibri"/>
          <w:b/>
          <w:bCs/>
          <w:lang w:val="en-US"/>
        </w:rPr>
      </w:pPr>
    </w:p>
    <w:p w:rsidR="00A40948" w:rsidRDefault="00A40948" w:rsidP="0041150E">
      <w:pPr>
        <w:rPr>
          <w:rFonts w:eastAsia="Calibri"/>
          <w:b/>
          <w:bCs/>
          <w:lang w:val="en-US"/>
        </w:rPr>
      </w:pPr>
    </w:p>
    <w:p w:rsidR="00A40948" w:rsidRDefault="00A40948" w:rsidP="0041150E">
      <w:pPr>
        <w:rPr>
          <w:rFonts w:eastAsia="Calibri"/>
          <w:b/>
          <w:bCs/>
          <w:lang w:val="en-US"/>
        </w:rPr>
      </w:pPr>
    </w:p>
    <w:p w:rsidR="00A40948" w:rsidRDefault="00A40948" w:rsidP="0041150E">
      <w:pPr>
        <w:rPr>
          <w:rFonts w:eastAsia="Calibri"/>
          <w:b/>
          <w:bCs/>
          <w:lang w:val="en-US"/>
        </w:rPr>
      </w:pPr>
    </w:p>
    <w:p w:rsidR="00A40948" w:rsidRDefault="00A40948" w:rsidP="0041150E">
      <w:pPr>
        <w:rPr>
          <w:rFonts w:eastAsia="Calibri"/>
          <w:b/>
          <w:bCs/>
          <w:lang w:val="en-US"/>
        </w:rPr>
      </w:pPr>
    </w:p>
    <w:p w:rsidR="00A40948" w:rsidRDefault="00A40948" w:rsidP="0041150E">
      <w:pPr>
        <w:rPr>
          <w:rFonts w:eastAsia="Calibri"/>
          <w:b/>
          <w:bCs/>
          <w:lang w:val="en-US"/>
        </w:rPr>
      </w:pPr>
    </w:p>
    <w:p w:rsidR="00A40948" w:rsidRDefault="00A40948" w:rsidP="0041150E">
      <w:pPr>
        <w:rPr>
          <w:rFonts w:eastAsia="Calibri"/>
          <w:b/>
          <w:bCs/>
          <w:lang w:val="en-US"/>
        </w:rPr>
      </w:pPr>
    </w:p>
    <w:p w:rsidR="00A40948" w:rsidRDefault="00A40948" w:rsidP="0041150E">
      <w:pPr>
        <w:rPr>
          <w:rFonts w:eastAsia="Calibri"/>
          <w:b/>
          <w:bCs/>
          <w:lang w:val="en-US"/>
        </w:rPr>
      </w:pPr>
    </w:p>
    <w:p w:rsidR="0041603D" w:rsidRPr="0041150E" w:rsidRDefault="0084209F" w:rsidP="0041150E">
      <w:pPr>
        <w:rPr>
          <w:rFonts w:eastAsia="Calibri"/>
          <w:b/>
          <w:bCs/>
          <w:lang w:val="en-US"/>
        </w:rPr>
      </w:pPr>
      <w:r w:rsidRPr="001953FF">
        <w:rPr>
          <w:b/>
          <w:noProof/>
          <w:highlight w:val="yellow"/>
          <w:lang w:eastAsia="en-GB"/>
        </w:rPr>
        <w:drawing>
          <wp:anchor distT="0" distB="0" distL="114300" distR="114300" simplePos="0" relativeHeight="251711488" behindDoc="0" locked="0" layoutInCell="1" allowOverlap="1" wp14:anchorId="2C4A5459" wp14:editId="3A92AB2E">
            <wp:simplePos x="0" y="0"/>
            <wp:positionH relativeFrom="column">
              <wp:posOffset>419100</wp:posOffset>
            </wp:positionH>
            <wp:positionV relativeFrom="margin">
              <wp:posOffset>1263650</wp:posOffset>
            </wp:positionV>
            <wp:extent cx="4552950" cy="32766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2950" cy="3276600"/>
                    </a:xfrm>
                    <a:prstGeom prst="rect">
                      <a:avLst/>
                    </a:prstGeom>
                    <a:noFill/>
                  </pic:spPr>
                </pic:pic>
              </a:graphicData>
            </a:graphic>
            <wp14:sizeRelH relativeFrom="page">
              <wp14:pctWidth>0</wp14:pctWidth>
            </wp14:sizeRelH>
            <wp14:sizeRelV relativeFrom="page">
              <wp14:pctHeight>0</wp14:pctHeight>
            </wp14:sizeRelV>
          </wp:anchor>
        </w:drawing>
      </w:r>
      <w:r w:rsidR="0041603D" w:rsidRPr="00B013ED">
        <w:rPr>
          <w:rFonts w:eastAsia="Calibri"/>
          <w:b/>
          <w:bCs/>
          <w:lang w:val="en-US"/>
        </w:rPr>
        <w:br w:type="page"/>
      </w:r>
    </w:p>
    <w:p w:rsidR="0030540C" w:rsidRPr="00B013ED" w:rsidRDefault="0030540C" w:rsidP="00756DF9">
      <w:pPr>
        <w:pStyle w:val="Heading3"/>
        <w:spacing w:line="480" w:lineRule="auto"/>
        <w:rPr>
          <w:rFonts w:eastAsia="Calibri"/>
          <w:lang w:val="en-US" w:eastAsia="zh-CN"/>
        </w:rPr>
      </w:pPr>
      <w:bookmarkStart w:id="392" w:name="_Toc370819245"/>
      <w:r w:rsidRPr="00B013ED">
        <w:rPr>
          <w:rFonts w:eastAsia="Calibri"/>
          <w:lang w:val="en-US" w:eastAsia="zh-CN"/>
        </w:rPr>
        <w:lastRenderedPageBreak/>
        <w:t>Nano-impact testing</w:t>
      </w:r>
      <w:bookmarkEnd w:id="392"/>
    </w:p>
    <w:p w:rsidR="00754B68" w:rsidRPr="00381B28" w:rsidRDefault="00754B68" w:rsidP="00381B28">
      <w:pPr>
        <w:pStyle w:val="table"/>
        <w:jc w:val="both"/>
        <w:rPr>
          <w:rFonts w:eastAsia="Calibri" w:cstheme="minorBidi"/>
          <w:szCs w:val="24"/>
          <w:lang w:val="en-US"/>
        </w:rPr>
      </w:pPr>
      <w:r w:rsidRPr="00381B28">
        <w:rPr>
          <w:rFonts w:eastAsia="Calibri" w:cstheme="minorBidi"/>
          <w:szCs w:val="24"/>
          <w:lang w:val="en-US"/>
        </w:rPr>
        <w:t xml:space="preserve">The impact test recorded the evolution of impact induced damage with time (i.e. deformation, fatigue wear and fracture) on repetitive impact of a test probe. The position of the surface was recorded with sub-nanometer precision when the probe was on the surface. </w:t>
      </w:r>
    </w:p>
    <w:p w:rsidR="00642B19" w:rsidRPr="00381B28" w:rsidRDefault="00754B68" w:rsidP="00381B28">
      <w:pPr>
        <w:pStyle w:val="Caption"/>
        <w:jc w:val="both"/>
        <w:rPr>
          <w:rFonts w:cstheme="minorBidi"/>
          <w:szCs w:val="24"/>
        </w:rPr>
      </w:pPr>
      <w:r w:rsidRPr="00381B28">
        <w:rPr>
          <w:rFonts w:cstheme="minorBidi"/>
          <w:szCs w:val="24"/>
          <w:lang w:val="en-US"/>
        </w:rPr>
        <w:t xml:space="preserve">The initial application of the 1mN load and 5 mN (micro newton) showed no result which means that no deformity or fractures and no changes were observed in all samples which were the same as the control group. However with a load of 15 mN there was a clear behaviour difference between the samples group, which reflected that there were changes in mechanical properties of dentine after applications of NSCH and MTA. This change affected the strength of the dentine samples. The sample treated with no material (control group) showed a </w:t>
      </w:r>
      <w:r w:rsidRPr="00381B28">
        <w:rPr>
          <w:rFonts w:eastAsia="Times New Roman" w:cstheme="minorBidi"/>
          <w:color w:val="000000"/>
          <w:szCs w:val="24"/>
        </w:rPr>
        <w:t xml:space="preserve">1450 nm depth after 300 </w:t>
      </w:r>
      <w:r w:rsidR="00BC4CFF" w:rsidRPr="00381B28">
        <w:rPr>
          <w:rFonts w:cstheme="minorBidi"/>
          <w:color w:val="000000"/>
          <w:szCs w:val="24"/>
        </w:rPr>
        <w:t>seconds</w:t>
      </w:r>
      <w:r w:rsidR="00BC4CFF" w:rsidRPr="00381B28">
        <w:rPr>
          <w:rFonts w:cstheme="minorBidi"/>
          <w:szCs w:val="24"/>
        </w:rPr>
        <w:fldChar w:fldCharType="begin"/>
      </w:r>
      <w:r w:rsidR="00BC4CFF" w:rsidRPr="00381B28">
        <w:rPr>
          <w:rFonts w:cstheme="minorBidi"/>
          <w:szCs w:val="24"/>
        </w:rPr>
        <w:instrText xml:space="preserve"> PRINT  \* MERGEFORMAT </w:instrText>
      </w:r>
      <w:r w:rsidR="00BC4CFF" w:rsidRPr="00381B28">
        <w:rPr>
          <w:rFonts w:cstheme="minorBidi"/>
          <w:szCs w:val="24"/>
        </w:rPr>
        <w:fldChar w:fldCharType="end"/>
      </w:r>
      <w:r w:rsidR="006F37BF" w:rsidRPr="00381B28">
        <w:rPr>
          <w:rFonts w:cstheme="minorBidi"/>
          <w:szCs w:val="24"/>
        </w:rPr>
        <w:t>.</w:t>
      </w:r>
      <w:r w:rsidR="00BC4CFF" w:rsidRPr="00381B28">
        <w:rPr>
          <w:rFonts w:cstheme="minorBidi"/>
          <w:szCs w:val="24"/>
        </w:rPr>
        <w:t xml:space="preserve"> </w:t>
      </w:r>
      <w:r w:rsidR="00BC4CFF" w:rsidRPr="00381B28">
        <w:rPr>
          <w:rFonts w:cstheme="minorBidi"/>
          <w:szCs w:val="24"/>
        </w:rPr>
        <w:fldChar w:fldCharType="begin"/>
      </w:r>
      <w:r w:rsidR="00BC4CFF" w:rsidRPr="00381B28">
        <w:rPr>
          <w:rFonts w:cstheme="minorBidi"/>
          <w:szCs w:val="24"/>
        </w:rPr>
        <w:instrText xml:space="preserve"> REF _Ref361724720 \h  \* MERGEFORMAT </w:instrText>
      </w:r>
      <w:r w:rsidR="00BC4CFF" w:rsidRPr="00381B28">
        <w:rPr>
          <w:rFonts w:cstheme="minorBidi"/>
          <w:szCs w:val="24"/>
        </w:rPr>
      </w:r>
      <w:r w:rsidR="00BC4CFF" w:rsidRPr="00381B28">
        <w:rPr>
          <w:rFonts w:cstheme="minorBidi"/>
          <w:szCs w:val="24"/>
        </w:rPr>
        <w:fldChar w:fldCharType="separate"/>
      </w:r>
      <w:r w:rsidR="00374B77" w:rsidRPr="00374B77">
        <w:rPr>
          <w:rFonts w:cstheme="minorBidi"/>
          <w:szCs w:val="24"/>
        </w:rPr>
        <w:t xml:space="preserve">Figure </w:t>
      </w:r>
      <w:r w:rsidR="00374B77" w:rsidRPr="00374B77">
        <w:rPr>
          <w:rFonts w:cstheme="minorBidi"/>
          <w:szCs w:val="24"/>
          <w:cs/>
        </w:rPr>
        <w:t>‎</w:t>
      </w:r>
      <w:r w:rsidR="00374B77">
        <w:rPr>
          <w:rFonts w:ascii="Arial" w:hAnsi="Arial" w:cs="Arial"/>
          <w:b/>
          <w:noProof/>
          <w:sz w:val="20"/>
          <w:szCs w:val="20"/>
        </w:rPr>
        <w:t>0.20</w:t>
      </w:r>
      <w:r w:rsidR="00BC4CFF" w:rsidRPr="00381B28">
        <w:rPr>
          <w:rFonts w:cstheme="minorBidi"/>
          <w:szCs w:val="24"/>
        </w:rPr>
        <w:fldChar w:fldCharType="end"/>
      </w:r>
      <w:r w:rsidR="00381B28" w:rsidRPr="00381B28">
        <w:rPr>
          <w:rFonts w:cstheme="minorBidi"/>
          <w:szCs w:val="24"/>
        </w:rPr>
        <w:t xml:space="preserve">.  </w:t>
      </w:r>
      <w:r w:rsidRPr="00381B28">
        <w:rPr>
          <w:rFonts w:cstheme="minorBidi"/>
          <w:bCs w:val="0"/>
          <w:szCs w:val="24"/>
        </w:rPr>
        <w:t>In, this experiment the dentine samples which were treated with NSCH for eight months showed indenter depth of 1800 after 200 s</w:t>
      </w:r>
      <w:r w:rsidR="0038197B">
        <w:rPr>
          <w:rFonts w:cstheme="minorBidi"/>
          <w:bCs w:val="0"/>
          <w:szCs w:val="24"/>
        </w:rPr>
        <w:t>econds</w:t>
      </w:r>
      <w:r w:rsidRPr="00381B28">
        <w:rPr>
          <w:rFonts w:cstheme="minorBidi"/>
          <w:bCs w:val="0"/>
          <w:szCs w:val="24"/>
        </w:rPr>
        <w:t xml:space="preserve"> </w:t>
      </w:r>
      <w:r w:rsidR="006F37BF" w:rsidRPr="00381B28">
        <w:rPr>
          <w:rFonts w:cstheme="minorBidi"/>
          <w:bCs w:val="0"/>
          <w:szCs w:val="24"/>
        </w:rPr>
        <w:fldChar w:fldCharType="begin"/>
      </w:r>
      <w:r w:rsidR="006F37BF" w:rsidRPr="00381B28">
        <w:rPr>
          <w:rFonts w:cstheme="minorBidi"/>
          <w:bCs w:val="0"/>
          <w:szCs w:val="24"/>
        </w:rPr>
        <w:instrText xml:space="preserve"> REF _Ref360450867 \h  \* MERGEFORMAT </w:instrText>
      </w:r>
      <w:r w:rsidR="006F37BF" w:rsidRPr="00381B28">
        <w:rPr>
          <w:rFonts w:cstheme="minorBidi"/>
          <w:bCs w:val="0"/>
          <w:szCs w:val="24"/>
        </w:rPr>
      </w:r>
      <w:r w:rsidR="006F37BF" w:rsidRPr="00381B28">
        <w:rPr>
          <w:rFonts w:cstheme="minorBidi"/>
          <w:bCs w:val="0"/>
          <w:szCs w:val="24"/>
        </w:rPr>
        <w:fldChar w:fldCharType="separate"/>
      </w:r>
      <w:r w:rsidR="00374B77" w:rsidRPr="00374B77">
        <w:rPr>
          <w:rFonts w:cstheme="minorBidi"/>
          <w:bCs w:val="0"/>
          <w:szCs w:val="24"/>
        </w:rPr>
        <w:t xml:space="preserve">Figure </w:t>
      </w:r>
      <w:r w:rsidR="00374B77" w:rsidRPr="00374B77">
        <w:rPr>
          <w:rFonts w:cstheme="minorBidi"/>
          <w:bCs w:val="0"/>
          <w:noProof/>
          <w:szCs w:val="24"/>
          <w:cs/>
        </w:rPr>
        <w:t>‎</w:t>
      </w:r>
      <w:r w:rsidR="00374B77">
        <w:rPr>
          <w:rFonts w:cstheme="minorBidi"/>
          <w:b/>
          <w:bCs w:val="0"/>
          <w:noProof/>
          <w:sz w:val="20"/>
          <w:szCs w:val="20"/>
        </w:rPr>
        <w:t>0.21</w:t>
      </w:r>
      <w:r w:rsidR="006F37BF" w:rsidRPr="00381B28">
        <w:rPr>
          <w:rFonts w:cstheme="minorBidi"/>
          <w:bCs w:val="0"/>
          <w:szCs w:val="24"/>
        </w:rPr>
        <w:fldChar w:fldCharType="end"/>
      </w:r>
      <w:r w:rsidR="0038197B">
        <w:rPr>
          <w:rFonts w:cstheme="minorBidi"/>
          <w:bCs w:val="0"/>
          <w:szCs w:val="24"/>
        </w:rPr>
        <w:t xml:space="preserve"> </w:t>
      </w:r>
      <w:r w:rsidRPr="00381B28">
        <w:rPr>
          <w:rFonts w:cstheme="minorBidi"/>
          <w:bCs w:val="0"/>
          <w:szCs w:val="24"/>
        </w:rPr>
        <w:t>and the other samples treated with MTA, showed the least resistance to impact by 1900 nm depth after only 110 s</w:t>
      </w:r>
      <w:r w:rsidR="0038197B">
        <w:rPr>
          <w:rFonts w:cstheme="minorBidi"/>
          <w:bCs w:val="0"/>
          <w:szCs w:val="24"/>
        </w:rPr>
        <w:t>econds</w:t>
      </w:r>
      <w:r w:rsidR="00BC4CFF" w:rsidRPr="00381B28">
        <w:rPr>
          <w:rFonts w:cstheme="minorBidi"/>
          <w:bCs w:val="0"/>
          <w:szCs w:val="24"/>
        </w:rPr>
        <w:t xml:space="preserve">. </w:t>
      </w:r>
      <w:r w:rsidR="00220EAC" w:rsidRPr="00381B28">
        <w:rPr>
          <w:rFonts w:cstheme="minorBidi"/>
          <w:bCs w:val="0"/>
          <w:szCs w:val="24"/>
        </w:rPr>
        <w:t xml:space="preserve"> </w:t>
      </w:r>
      <w:r w:rsidRPr="00381B28">
        <w:rPr>
          <w:rFonts w:cstheme="minorBidi"/>
          <w:bCs w:val="0"/>
          <w:szCs w:val="24"/>
        </w:rPr>
        <w:t xml:space="preserve">This behaviour might be related to lower hardness </w:t>
      </w:r>
      <w:r w:rsidRPr="00381B28">
        <w:rPr>
          <w:rFonts w:eastAsia="Calibri" w:cstheme="minorBidi"/>
          <w:bCs w:val="0"/>
          <w:szCs w:val="24"/>
          <w:lang w:val="en-US"/>
        </w:rPr>
        <w:t>indicating that the experimental samples are more brittle and prone to fractures.</w:t>
      </w:r>
    </w:p>
    <w:p w:rsidR="001E57CD" w:rsidRPr="00BC4CFF" w:rsidRDefault="001E57CD" w:rsidP="00BC4CFF">
      <w:pPr>
        <w:jc w:val="both"/>
        <w:rPr>
          <w:rFonts w:ascii="Arial" w:hAnsi="Arial" w:cs="Arial"/>
          <w:bCs/>
          <w:sz w:val="20"/>
          <w:szCs w:val="20"/>
        </w:rPr>
      </w:pPr>
      <w:bookmarkStart w:id="393" w:name="_Ref361130154"/>
      <w:bookmarkStart w:id="394" w:name="_Toc360367437"/>
      <w:r w:rsidRPr="00BC4CFF">
        <w:rPr>
          <w:rFonts w:ascii="Arial" w:hAnsi="Arial" w:cs="Arial"/>
          <w:bCs/>
          <w:sz w:val="20"/>
          <w:szCs w:val="20"/>
        </w:rPr>
        <w:br w:type="page"/>
      </w:r>
    </w:p>
    <w:p w:rsidR="001E57CD" w:rsidRDefault="001E57CD" w:rsidP="001D3F19">
      <w:pPr>
        <w:rPr>
          <w:rFonts w:ascii="Arial" w:hAnsi="Arial" w:cs="Arial"/>
          <w:b/>
          <w:sz w:val="20"/>
          <w:szCs w:val="20"/>
        </w:rPr>
      </w:pPr>
    </w:p>
    <w:p w:rsidR="00642B19" w:rsidRPr="00754B68" w:rsidRDefault="00C67C41" w:rsidP="001D3F19">
      <w:pPr>
        <w:rPr>
          <w:rFonts w:ascii="Arial" w:hAnsi="Arial" w:cs="Arial"/>
          <w:b/>
          <w:sz w:val="20"/>
          <w:szCs w:val="20"/>
        </w:rPr>
      </w:pPr>
      <w:bookmarkStart w:id="395" w:name="_Ref361724720"/>
      <w:bookmarkStart w:id="396" w:name="_Toc361733610"/>
      <w:bookmarkStart w:id="397" w:name="_Toc361734253"/>
      <w:r w:rsidRPr="00754B68">
        <w:rPr>
          <w:rFonts w:ascii="Arial" w:hAnsi="Arial" w:cs="Arial"/>
          <w:b/>
          <w:sz w:val="20"/>
          <w:szCs w:val="20"/>
        </w:rPr>
        <w:t>Figure</w:t>
      </w:r>
      <w:r w:rsidR="0030540C" w:rsidRPr="00754B68">
        <w:rPr>
          <w:rFonts w:ascii="Arial" w:hAnsi="Arial" w:cs="Arial"/>
          <w:b/>
          <w:sz w:val="20"/>
          <w:szCs w:val="20"/>
        </w:rPr>
        <w:t xml:space="preserve"> </w:t>
      </w:r>
      <w:r w:rsidR="00DF37B0">
        <w:rPr>
          <w:rFonts w:ascii="Arial" w:hAnsi="Arial" w:cs="Arial"/>
          <w:b/>
          <w:sz w:val="20"/>
          <w:szCs w:val="20"/>
        </w:rPr>
        <w:fldChar w:fldCharType="begin"/>
      </w:r>
      <w:r w:rsidR="00DF37B0">
        <w:rPr>
          <w:rFonts w:ascii="Arial" w:hAnsi="Arial" w:cs="Arial"/>
          <w:b/>
          <w:sz w:val="20"/>
          <w:szCs w:val="20"/>
        </w:rPr>
        <w:instrText xml:space="preserve"> STYLEREF 1 \s </w:instrText>
      </w:r>
      <w:r w:rsidR="00DF37B0">
        <w:rPr>
          <w:rFonts w:ascii="Arial" w:hAnsi="Arial" w:cs="Arial"/>
          <w:b/>
          <w:sz w:val="20"/>
          <w:szCs w:val="20"/>
        </w:rPr>
        <w:fldChar w:fldCharType="separate"/>
      </w:r>
      <w:r w:rsidR="00374B77">
        <w:rPr>
          <w:rFonts w:ascii="Arial" w:hAnsi="Arial" w:cs="Arial"/>
          <w:b/>
          <w:noProof/>
          <w:sz w:val="20"/>
          <w:szCs w:val="20"/>
          <w:cs/>
        </w:rPr>
        <w:t>‎</w:t>
      </w:r>
      <w:r w:rsidR="00374B77">
        <w:rPr>
          <w:rFonts w:ascii="Arial" w:hAnsi="Arial" w:cs="Arial"/>
          <w:b/>
          <w:noProof/>
          <w:sz w:val="20"/>
          <w:szCs w:val="20"/>
        </w:rPr>
        <w:t>0</w:t>
      </w:r>
      <w:r w:rsidR="00DF37B0">
        <w:rPr>
          <w:rFonts w:ascii="Arial" w:hAnsi="Arial" w:cs="Arial"/>
          <w:b/>
          <w:sz w:val="20"/>
          <w:szCs w:val="20"/>
        </w:rPr>
        <w:fldChar w:fldCharType="end"/>
      </w:r>
      <w:r w:rsidR="00DF37B0">
        <w:rPr>
          <w:rFonts w:ascii="Arial" w:hAnsi="Arial" w:cs="Arial"/>
          <w:b/>
          <w:sz w:val="20"/>
          <w:szCs w:val="20"/>
        </w:rPr>
        <w:t>.</w:t>
      </w:r>
      <w:r w:rsidR="00DF37B0">
        <w:rPr>
          <w:rFonts w:ascii="Arial" w:hAnsi="Arial" w:cs="Arial"/>
          <w:b/>
          <w:sz w:val="20"/>
          <w:szCs w:val="20"/>
        </w:rPr>
        <w:fldChar w:fldCharType="begin"/>
      </w:r>
      <w:r w:rsidR="00DF37B0">
        <w:rPr>
          <w:rFonts w:ascii="Arial" w:hAnsi="Arial" w:cs="Arial"/>
          <w:b/>
          <w:sz w:val="20"/>
          <w:szCs w:val="20"/>
        </w:rPr>
        <w:instrText xml:space="preserve"> SEQ Figure \* ARABIC \s 1 </w:instrText>
      </w:r>
      <w:r w:rsidR="00DF37B0">
        <w:rPr>
          <w:rFonts w:ascii="Arial" w:hAnsi="Arial" w:cs="Arial"/>
          <w:b/>
          <w:sz w:val="20"/>
          <w:szCs w:val="20"/>
        </w:rPr>
        <w:fldChar w:fldCharType="separate"/>
      </w:r>
      <w:r w:rsidR="00374B77">
        <w:rPr>
          <w:rFonts w:ascii="Arial" w:hAnsi="Arial" w:cs="Arial"/>
          <w:b/>
          <w:noProof/>
          <w:sz w:val="20"/>
          <w:szCs w:val="20"/>
        </w:rPr>
        <w:t>20</w:t>
      </w:r>
      <w:r w:rsidR="00DF37B0">
        <w:rPr>
          <w:rFonts w:ascii="Arial" w:hAnsi="Arial" w:cs="Arial"/>
          <w:b/>
          <w:sz w:val="20"/>
          <w:szCs w:val="20"/>
        </w:rPr>
        <w:fldChar w:fldCharType="end"/>
      </w:r>
      <w:bookmarkEnd w:id="393"/>
      <w:bookmarkEnd w:id="395"/>
      <w:r w:rsidR="0030540C" w:rsidRPr="00754B68">
        <w:rPr>
          <w:rFonts w:ascii="Arial" w:hAnsi="Arial" w:cs="Arial"/>
          <w:b/>
          <w:sz w:val="20"/>
          <w:szCs w:val="20"/>
        </w:rPr>
        <w:t xml:space="preserve"> </w:t>
      </w:r>
      <w:bookmarkStart w:id="398" w:name="_Toc360367341"/>
      <w:bookmarkEnd w:id="394"/>
      <w:r w:rsidR="00754B68" w:rsidRPr="00754B68">
        <w:rPr>
          <w:rFonts w:ascii="Arial" w:hAnsi="Arial" w:cs="Arial"/>
          <w:b/>
          <w:sz w:val="20"/>
          <w:szCs w:val="20"/>
          <w:lang w:val="en-US"/>
        </w:rPr>
        <w:t>The rapid Nano-impact test showing the resistance to multiple impacts of the indenter force of 15 mN for control group for up to 300 seconds.</w:t>
      </w:r>
      <w:bookmarkEnd w:id="396"/>
      <w:bookmarkEnd w:id="397"/>
      <w:bookmarkEnd w:id="398"/>
    </w:p>
    <w:p w:rsidR="00642B19" w:rsidRPr="00B013ED" w:rsidRDefault="0030540C" w:rsidP="00642B19">
      <w:pPr>
        <w:autoSpaceDN w:val="0"/>
        <w:spacing w:after="0" w:line="480" w:lineRule="auto"/>
        <w:jc w:val="center"/>
        <w:rPr>
          <w:rFonts w:ascii="Arial" w:eastAsia="Calibri" w:hAnsi="Arial" w:cs="Arial"/>
          <w:b/>
          <w:bCs/>
          <w:szCs w:val="24"/>
          <w:lang w:val="en-US" w:eastAsia="zh-CN"/>
        </w:rPr>
      </w:pPr>
      <w:r w:rsidRPr="00B013ED">
        <w:rPr>
          <w:rFonts w:ascii="Arial" w:eastAsia="Times New Roman" w:hAnsi="Arial" w:cs="Arial"/>
          <w:noProof/>
          <w:szCs w:val="24"/>
          <w:lang w:eastAsia="en-GB"/>
        </w:rPr>
        <w:drawing>
          <wp:anchor distT="0" distB="0" distL="114300" distR="114300" simplePos="0" relativeHeight="251700224" behindDoc="0" locked="0" layoutInCell="1" allowOverlap="1" wp14:anchorId="27BDDD2D" wp14:editId="39DADC8B">
            <wp:simplePos x="0" y="0"/>
            <wp:positionH relativeFrom="column">
              <wp:posOffset>485775</wp:posOffset>
            </wp:positionH>
            <wp:positionV relativeFrom="paragraph">
              <wp:posOffset>292735</wp:posOffset>
            </wp:positionV>
            <wp:extent cx="4319905" cy="3059430"/>
            <wp:effectExtent l="0" t="0" r="4445" b="7620"/>
            <wp:wrapSquare wrapText="bothSides"/>
            <wp:docPr id="39" name="Picture 58" descr="H:\impact\15mN\ch2_15mN_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319905" cy="305943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642B19" w:rsidRPr="00B013ED" w:rsidRDefault="00642B19" w:rsidP="00642B19">
      <w:pPr>
        <w:autoSpaceDN w:val="0"/>
        <w:spacing w:after="0" w:line="240" w:lineRule="auto"/>
        <w:jc w:val="both"/>
        <w:rPr>
          <w:rFonts w:ascii="Arial" w:eastAsia="Times New Roman" w:hAnsi="Arial" w:cs="Arial"/>
          <w:sz w:val="20"/>
          <w:szCs w:val="20"/>
          <w:lang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30540C" w:rsidP="00754B68">
      <w:pPr>
        <w:autoSpaceDN w:val="0"/>
        <w:spacing w:after="0" w:line="240" w:lineRule="auto"/>
        <w:jc w:val="both"/>
        <w:rPr>
          <w:rFonts w:ascii="Arial" w:eastAsia="Times New Roman" w:hAnsi="Arial" w:cs="Arial"/>
          <w:sz w:val="20"/>
          <w:szCs w:val="20"/>
          <w:lang w:eastAsia="zh-CN"/>
        </w:rPr>
      </w:pPr>
      <w:bookmarkStart w:id="399" w:name="_Ref360450867"/>
      <w:bookmarkStart w:id="400" w:name="_Toc361733611"/>
      <w:bookmarkStart w:id="401" w:name="_Toc361734254"/>
      <w:r w:rsidRPr="00B013ED">
        <w:rPr>
          <w:rFonts w:eastAsia="Calibri" w:cstheme="minorBidi"/>
          <w:b/>
          <w:bCs/>
          <w:noProof/>
          <w:sz w:val="20"/>
          <w:szCs w:val="20"/>
          <w:lang w:eastAsia="en-GB"/>
        </w:rPr>
        <w:drawing>
          <wp:anchor distT="0" distB="0" distL="114300" distR="114300" simplePos="0" relativeHeight="251699200" behindDoc="0" locked="0" layoutInCell="1" allowOverlap="1" wp14:anchorId="1C4B8821" wp14:editId="18B22658">
            <wp:simplePos x="0" y="0"/>
            <wp:positionH relativeFrom="margin">
              <wp:posOffset>497205</wp:posOffset>
            </wp:positionH>
            <wp:positionV relativeFrom="margin">
              <wp:posOffset>5328285</wp:posOffset>
            </wp:positionV>
            <wp:extent cx="4319905" cy="3059430"/>
            <wp:effectExtent l="0" t="0" r="4445" b="7620"/>
            <wp:wrapSquare wrapText="bothSides"/>
            <wp:docPr id="40" name="Picture 17" descr="C:\Users\wageh\Desktop\impact\15mN\ch1_15mN_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319905" cy="30594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C67C41">
        <w:rPr>
          <w:rFonts w:cstheme="minorBidi"/>
          <w:b/>
          <w:bCs/>
          <w:sz w:val="20"/>
          <w:szCs w:val="20"/>
        </w:rPr>
        <w:t>Figure</w:t>
      </w:r>
      <w:r w:rsidRPr="00B013ED">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0</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21</w:t>
      </w:r>
      <w:r w:rsidR="00DF37B0">
        <w:rPr>
          <w:rFonts w:cstheme="minorBidi"/>
          <w:b/>
          <w:bCs/>
          <w:sz w:val="20"/>
          <w:szCs w:val="20"/>
        </w:rPr>
        <w:fldChar w:fldCharType="end"/>
      </w:r>
      <w:bookmarkEnd w:id="399"/>
      <w:r w:rsidR="00754B68">
        <w:rPr>
          <w:rFonts w:cstheme="minorBidi"/>
          <w:b/>
          <w:bCs/>
          <w:sz w:val="20"/>
          <w:szCs w:val="20"/>
        </w:rPr>
        <w:t xml:space="preserve"> </w:t>
      </w:r>
      <w:r w:rsidR="00754B68" w:rsidRPr="00B013ED">
        <w:rPr>
          <w:rFonts w:eastAsia="Calibri" w:cstheme="minorBidi"/>
          <w:b/>
          <w:bCs/>
          <w:sz w:val="20"/>
          <w:szCs w:val="20"/>
          <w:lang w:val="en-US" w:eastAsia="zh-CN"/>
        </w:rPr>
        <w:t>The rapid Nano-impact test show</w:t>
      </w:r>
      <w:r w:rsidR="00754B68">
        <w:rPr>
          <w:rFonts w:eastAsia="Calibri" w:cstheme="minorBidi"/>
          <w:b/>
          <w:bCs/>
          <w:sz w:val="20"/>
          <w:szCs w:val="20"/>
          <w:lang w:val="en-US" w:eastAsia="zh-CN"/>
        </w:rPr>
        <w:t>ing</w:t>
      </w:r>
      <w:r w:rsidR="00754B68" w:rsidRPr="00B013ED">
        <w:rPr>
          <w:rFonts w:eastAsia="Calibri" w:cstheme="minorBidi"/>
          <w:b/>
          <w:bCs/>
          <w:sz w:val="20"/>
          <w:szCs w:val="20"/>
          <w:lang w:val="en-US" w:eastAsia="zh-CN"/>
        </w:rPr>
        <w:t xml:space="preserve"> the resistance to multiple impacts</w:t>
      </w:r>
      <w:r w:rsidR="00754B68">
        <w:rPr>
          <w:rFonts w:eastAsia="Calibri" w:cstheme="minorBidi"/>
          <w:b/>
          <w:bCs/>
          <w:sz w:val="20"/>
          <w:szCs w:val="20"/>
          <w:lang w:val="en-US" w:eastAsia="zh-CN"/>
        </w:rPr>
        <w:t xml:space="preserve"> of the</w:t>
      </w:r>
      <w:r w:rsidR="00754B68" w:rsidRPr="00B013ED">
        <w:rPr>
          <w:rFonts w:eastAsia="Calibri" w:cstheme="minorBidi"/>
          <w:b/>
          <w:bCs/>
          <w:sz w:val="20"/>
          <w:szCs w:val="20"/>
          <w:lang w:val="en-US" w:eastAsia="zh-CN"/>
        </w:rPr>
        <w:t xml:space="preserve"> indenter force of 15</w:t>
      </w:r>
      <w:r w:rsidR="00754B68">
        <w:rPr>
          <w:rFonts w:eastAsia="Calibri" w:cstheme="minorBidi"/>
          <w:b/>
          <w:bCs/>
          <w:sz w:val="20"/>
          <w:szCs w:val="20"/>
          <w:lang w:val="en-US" w:eastAsia="zh-CN"/>
        </w:rPr>
        <w:t xml:space="preserve"> </w:t>
      </w:r>
      <w:r w:rsidR="00754B68" w:rsidRPr="00B013ED">
        <w:rPr>
          <w:rFonts w:eastAsia="Calibri" w:cstheme="minorBidi"/>
          <w:b/>
          <w:bCs/>
          <w:sz w:val="20"/>
          <w:szCs w:val="20"/>
          <w:lang w:val="en-US" w:eastAsia="zh-CN"/>
        </w:rPr>
        <w:t xml:space="preserve">mN for </w:t>
      </w:r>
      <w:r w:rsidR="00754B68" w:rsidRPr="00B013ED">
        <w:rPr>
          <w:rFonts w:eastAsia="Times New Roman" w:cstheme="minorBidi"/>
          <w:b/>
          <w:bCs/>
          <w:sz w:val="20"/>
          <w:szCs w:val="20"/>
          <w:lang w:eastAsia="zh-CN"/>
        </w:rPr>
        <w:t>NSCH group</w:t>
      </w:r>
      <w:r w:rsidR="00754B68">
        <w:rPr>
          <w:rFonts w:eastAsia="Times New Roman" w:cstheme="minorBidi"/>
          <w:b/>
          <w:bCs/>
          <w:sz w:val="20"/>
          <w:szCs w:val="20"/>
          <w:lang w:eastAsia="zh-CN"/>
        </w:rPr>
        <w:t xml:space="preserve">.  This shows a </w:t>
      </w:r>
      <w:r w:rsidR="00754B68" w:rsidRPr="00B013ED">
        <w:rPr>
          <w:rFonts w:eastAsia="Times New Roman" w:cstheme="minorBidi"/>
          <w:b/>
          <w:bCs/>
          <w:sz w:val="20"/>
          <w:szCs w:val="20"/>
          <w:lang w:eastAsia="zh-CN"/>
        </w:rPr>
        <w:t>decrease in resi</w:t>
      </w:r>
      <w:r w:rsidR="00754B68">
        <w:rPr>
          <w:rFonts w:eastAsia="Times New Roman" w:cstheme="minorBidi"/>
          <w:b/>
          <w:bCs/>
          <w:sz w:val="20"/>
          <w:szCs w:val="20"/>
          <w:lang w:eastAsia="zh-CN"/>
        </w:rPr>
        <w:t xml:space="preserve">stance time to 200 </w:t>
      </w:r>
      <w:r w:rsidR="00754B68" w:rsidRPr="001D7A5C">
        <w:rPr>
          <w:rFonts w:eastAsia="Calibri"/>
          <w:b/>
          <w:bCs/>
          <w:sz w:val="20"/>
          <w:szCs w:val="20"/>
          <w:lang w:val="en-US"/>
        </w:rPr>
        <w:t>seconds</w:t>
      </w:r>
      <w:r w:rsidR="00754B68" w:rsidRPr="001D7A5C">
        <w:rPr>
          <w:rFonts w:ascii="Arial" w:eastAsia="Times New Roman" w:hAnsi="Arial" w:cs="Arial"/>
          <w:b/>
          <w:bCs/>
          <w:sz w:val="20"/>
          <w:szCs w:val="20"/>
          <w:lang w:eastAsia="zh-CN"/>
        </w:rPr>
        <w:t>.</w:t>
      </w:r>
      <w:bookmarkEnd w:id="400"/>
      <w:bookmarkEnd w:id="401"/>
      <w:r w:rsidR="00754B68" w:rsidRPr="00B013ED">
        <w:rPr>
          <w:rFonts w:ascii="Arial" w:eastAsia="Times New Roman" w:hAnsi="Arial" w:cs="Arial"/>
          <w:sz w:val="20"/>
          <w:szCs w:val="20"/>
          <w:lang w:eastAsia="zh-CN"/>
        </w:rPr>
        <w:t xml:space="preserve">  </w:t>
      </w:r>
    </w:p>
    <w:p w:rsidR="00642B19" w:rsidRPr="00B013ED" w:rsidRDefault="00642B19" w:rsidP="00642B19">
      <w:pPr>
        <w:autoSpaceDN w:val="0"/>
        <w:spacing w:after="0" w:line="480" w:lineRule="auto"/>
        <w:jc w:val="both"/>
        <w:rPr>
          <w:rFonts w:ascii="Arial" w:eastAsia="Times New Roman" w:hAnsi="Arial" w:cs="Arial"/>
          <w:szCs w:val="24"/>
          <w:lang w:eastAsia="zh-CN"/>
        </w:rPr>
      </w:pPr>
    </w:p>
    <w:p w:rsidR="00642B19" w:rsidRPr="00B013ED" w:rsidRDefault="00642B19" w:rsidP="00642B19">
      <w:pPr>
        <w:autoSpaceDN w:val="0"/>
        <w:spacing w:after="0" w:line="480" w:lineRule="auto"/>
        <w:jc w:val="both"/>
        <w:rPr>
          <w:rFonts w:ascii="Arial" w:eastAsia="Calibri" w:hAnsi="Arial" w:cs="Arial"/>
          <w:sz w:val="20"/>
          <w:szCs w:val="20"/>
          <w:lang w:val="en-US" w:eastAsia="zh-CN"/>
        </w:rPr>
      </w:pPr>
    </w:p>
    <w:p w:rsidR="00642B19" w:rsidRPr="00B013ED" w:rsidRDefault="00642B19" w:rsidP="00642B19">
      <w:pPr>
        <w:autoSpaceDN w:val="0"/>
        <w:spacing w:after="0" w:line="480" w:lineRule="auto"/>
        <w:jc w:val="both"/>
        <w:rPr>
          <w:rFonts w:ascii="Arial" w:eastAsia="Calibri" w:hAnsi="Arial" w:cs="Arial"/>
          <w:sz w:val="20"/>
          <w:szCs w:val="20"/>
          <w:lang w:val="en-US" w:eastAsia="zh-CN"/>
        </w:rPr>
      </w:pPr>
    </w:p>
    <w:p w:rsidR="00642B19" w:rsidRPr="00B013ED" w:rsidRDefault="00642B19" w:rsidP="00642B19">
      <w:pPr>
        <w:autoSpaceDN w:val="0"/>
        <w:spacing w:after="0" w:line="480" w:lineRule="auto"/>
        <w:jc w:val="both"/>
        <w:rPr>
          <w:rFonts w:ascii="Arial" w:eastAsia="Calibri" w:hAnsi="Arial" w:cs="Arial"/>
          <w:sz w:val="20"/>
          <w:szCs w:val="20"/>
          <w:lang w:val="en-US" w:eastAsia="zh-CN"/>
        </w:rPr>
      </w:pPr>
    </w:p>
    <w:p w:rsidR="00642B19" w:rsidRPr="00B013ED" w:rsidRDefault="00642B19" w:rsidP="00642B19">
      <w:pPr>
        <w:autoSpaceDN w:val="0"/>
        <w:spacing w:after="0" w:line="480" w:lineRule="auto"/>
        <w:jc w:val="both"/>
        <w:rPr>
          <w:rFonts w:ascii="Arial" w:eastAsia="Calibri" w:hAnsi="Arial" w:cs="Arial"/>
          <w:sz w:val="20"/>
          <w:szCs w:val="20"/>
          <w:lang w:val="en-US" w:eastAsia="zh-CN"/>
        </w:rPr>
      </w:pPr>
    </w:p>
    <w:p w:rsidR="00642B19" w:rsidRPr="00B013ED" w:rsidRDefault="00642B19" w:rsidP="00642B19">
      <w:pPr>
        <w:autoSpaceDN w:val="0"/>
        <w:spacing w:after="0" w:line="480" w:lineRule="auto"/>
        <w:jc w:val="both"/>
        <w:rPr>
          <w:rFonts w:ascii="Arial" w:eastAsia="Calibri" w:hAnsi="Arial" w:cs="Arial"/>
          <w:sz w:val="20"/>
          <w:szCs w:val="20"/>
          <w:lang w:val="en-US" w:eastAsia="zh-CN"/>
        </w:rPr>
      </w:pPr>
    </w:p>
    <w:p w:rsidR="00642B19" w:rsidRPr="00B013ED" w:rsidRDefault="00642B19" w:rsidP="00642B19">
      <w:pPr>
        <w:autoSpaceDN w:val="0"/>
        <w:spacing w:after="0" w:line="480" w:lineRule="auto"/>
        <w:jc w:val="both"/>
        <w:rPr>
          <w:rFonts w:ascii="Arial" w:eastAsia="Calibri" w:hAnsi="Arial" w:cs="Arial"/>
          <w:sz w:val="20"/>
          <w:szCs w:val="20"/>
          <w:lang w:val="en-US" w:eastAsia="zh-CN"/>
        </w:rPr>
      </w:pPr>
    </w:p>
    <w:p w:rsidR="00642B19" w:rsidRPr="00B013ED" w:rsidRDefault="00642B19" w:rsidP="00642B19">
      <w:pPr>
        <w:autoSpaceDN w:val="0"/>
        <w:spacing w:after="0" w:line="480" w:lineRule="auto"/>
        <w:jc w:val="both"/>
        <w:rPr>
          <w:rFonts w:ascii="Arial" w:eastAsia="Calibri" w:hAnsi="Arial" w:cs="Arial"/>
          <w:sz w:val="20"/>
          <w:szCs w:val="20"/>
          <w:lang w:val="en-US" w:eastAsia="zh-CN"/>
        </w:rPr>
      </w:pPr>
    </w:p>
    <w:p w:rsidR="00642B19" w:rsidRPr="00B013ED" w:rsidRDefault="00642B19" w:rsidP="00642B19">
      <w:pPr>
        <w:autoSpaceDN w:val="0"/>
        <w:spacing w:after="0" w:line="480" w:lineRule="auto"/>
        <w:jc w:val="both"/>
        <w:rPr>
          <w:rFonts w:ascii="Arial" w:eastAsia="Calibri" w:hAnsi="Arial" w:cs="Arial"/>
          <w:sz w:val="20"/>
          <w:szCs w:val="20"/>
          <w:lang w:val="en-US" w:eastAsia="zh-CN"/>
        </w:rPr>
      </w:pPr>
    </w:p>
    <w:p w:rsidR="00642B19" w:rsidRPr="00B013ED" w:rsidRDefault="00642B19" w:rsidP="00642B19">
      <w:pPr>
        <w:autoSpaceDN w:val="0"/>
        <w:spacing w:after="0" w:line="480" w:lineRule="auto"/>
        <w:jc w:val="both"/>
        <w:rPr>
          <w:rFonts w:ascii="Arial" w:eastAsia="Calibri" w:hAnsi="Arial" w:cs="Arial"/>
          <w:sz w:val="20"/>
          <w:szCs w:val="20"/>
          <w:lang w:val="en-US" w:eastAsia="zh-CN"/>
        </w:rPr>
      </w:pPr>
    </w:p>
    <w:p w:rsidR="00642B19" w:rsidRPr="00B013ED" w:rsidRDefault="00642B19" w:rsidP="00642B19">
      <w:pPr>
        <w:autoSpaceDN w:val="0"/>
        <w:spacing w:after="0" w:line="48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ascii="Arial" w:eastAsia="Calibri" w:hAnsi="Arial" w:cs="Arial"/>
          <w:sz w:val="20"/>
          <w:szCs w:val="20"/>
          <w:lang w:val="en-US" w:eastAsia="zh-CN"/>
        </w:rPr>
      </w:pPr>
    </w:p>
    <w:p w:rsidR="00642B19" w:rsidRPr="00B013ED" w:rsidRDefault="00642B19" w:rsidP="00642B19">
      <w:pPr>
        <w:autoSpaceDN w:val="0"/>
        <w:spacing w:after="0" w:line="240" w:lineRule="auto"/>
        <w:jc w:val="both"/>
        <w:rPr>
          <w:rFonts w:eastAsia="Calibri" w:cstheme="minorBidi"/>
          <w:b/>
          <w:bCs/>
          <w:sz w:val="20"/>
          <w:szCs w:val="20"/>
          <w:lang w:val="en-US" w:eastAsia="zh-CN"/>
        </w:rPr>
      </w:pPr>
    </w:p>
    <w:p w:rsidR="001E57CD" w:rsidRDefault="001E57CD" w:rsidP="001D7A5C">
      <w:pPr>
        <w:autoSpaceDN w:val="0"/>
        <w:spacing w:after="0" w:line="240" w:lineRule="auto"/>
        <w:jc w:val="both"/>
        <w:rPr>
          <w:rFonts w:cstheme="minorBidi"/>
          <w:b/>
          <w:bCs/>
          <w:sz w:val="20"/>
          <w:szCs w:val="20"/>
        </w:rPr>
      </w:pPr>
      <w:bookmarkStart w:id="402" w:name="_Ref361130204"/>
    </w:p>
    <w:p w:rsidR="001E57CD" w:rsidRDefault="001E57CD" w:rsidP="001D7A5C">
      <w:pPr>
        <w:autoSpaceDN w:val="0"/>
        <w:spacing w:after="0" w:line="240" w:lineRule="auto"/>
        <w:jc w:val="both"/>
        <w:rPr>
          <w:rFonts w:cstheme="minorBidi"/>
          <w:b/>
          <w:bCs/>
          <w:sz w:val="20"/>
          <w:szCs w:val="20"/>
        </w:rPr>
      </w:pPr>
    </w:p>
    <w:p w:rsidR="00642B19" w:rsidRPr="00B013ED" w:rsidRDefault="00C67C41" w:rsidP="001D7A5C">
      <w:pPr>
        <w:autoSpaceDN w:val="0"/>
        <w:spacing w:after="0" w:line="240" w:lineRule="auto"/>
        <w:jc w:val="both"/>
        <w:rPr>
          <w:rFonts w:eastAsia="Times New Roman" w:cstheme="minorBidi"/>
          <w:b/>
          <w:bCs/>
          <w:sz w:val="20"/>
          <w:szCs w:val="20"/>
          <w:lang w:eastAsia="zh-CN"/>
        </w:rPr>
      </w:pPr>
      <w:bookmarkStart w:id="403" w:name="_Toc361733612"/>
      <w:bookmarkStart w:id="404" w:name="_Toc361734255"/>
      <w:r>
        <w:rPr>
          <w:rFonts w:cstheme="minorBidi"/>
          <w:b/>
          <w:bCs/>
          <w:sz w:val="20"/>
          <w:szCs w:val="20"/>
        </w:rPr>
        <w:lastRenderedPageBreak/>
        <w:t>Figure</w:t>
      </w:r>
      <w:r w:rsidR="0030540C" w:rsidRPr="00B013ED">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0</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22</w:t>
      </w:r>
      <w:r w:rsidR="00DF37B0">
        <w:rPr>
          <w:rFonts w:cstheme="minorBidi"/>
          <w:b/>
          <w:bCs/>
          <w:sz w:val="20"/>
          <w:szCs w:val="20"/>
        </w:rPr>
        <w:fldChar w:fldCharType="end"/>
      </w:r>
      <w:bookmarkStart w:id="405" w:name="_Toc360367343"/>
      <w:bookmarkEnd w:id="402"/>
      <w:r w:rsidR="00754B68">
        <w:rPr>
          <w:rFonts w:cstheme="minorBidi"/>
          <w:b/>
          <w:bCs/>
          <w:sz w:val="20"/>
          <w:szCs w:val="20"/>
        </w:rPr>
        <w:t xml:space="preserve"> T</w:t>
      </w:r>
      <w:r w:rsidR="00754B68" w:rsidRPr="00B013ED">
        <w:rPr>
          <w:rFonts w:eastAsia="Calibri" w:cstheme="minorBidi"/>
          <w:b/>
          <w:bCs/>
          <w:sz w:val="20"/>
          <w:szCs w:val="20"/>
          <w:lang w:val="en-US" w:eastAsia="zh-CN"/>
        </w:rPr>
        <w:t>he rapid Nano-impact test show</w:t>
      </w:r>
      <w:r w:rsidR="00754B68">
        <w:rPr>
          <w:rFonts w:eastAsia="Calibri" w:cstheme="minorBidi"/>
          <w:b/>
          <w:bCs/>
          <w:sz w:val="20"/>
          <w:szCs w:val="20"/>
          <w:lang w:val="en-US" w:eastAsia="zh-CN"/>
        </w:rPr>
        <w:t>ing the</w:t>
      </w:r>
      <w:r w:rsidR="00754B68" w:rsidRPr="00B013ED">
        <w:rPr>
          <w:rFonts w:eastAsia="Calibri" w:cstheme="minorBidi"/>
          <w:b/>
          <w:bCs/>
          <w:sz w:val="20"/>
          <w:szCs w:val="20"/>
          <w:lang w:val="en-US" w:eastAsia="zh-CN"/>
        </w:rPr>
        <w:t xml:space="preserve"> resistance to multiple impacts</w:t>
      </w:r>
      <w:r w:rsidR="00754B68">
        <w:rPr>
          <w:rFonts w:eastAsia="Calibri" w:cstheme="minorBidi"/>
          <w:b/>
          <w:bCs/>
          <w:sz w:val="20"/>
          <w:szCs w:val="20"/>
          <w:lang w:val="en-US" w:eastAsia="zh-CN"/>
        </w:rPr>
        <w:t xml:space="preserve"> with </w:t>
      </w:r>
      <w:proofErr w:type="gramStart"/>
      <w:r w:rsidR="00754B68">
        <w:rPr>
          <w:rFonts w:eastAsia="Calibri" w:cstheme="minorBidi"/>
          <w:b/>
          <w:bCs/>
          <w:sz w:val="20"/>
          <w:szCs w:val="20"/>
          <w:lang w:val="en-US" w:eastAsia="zh-CN"/>
        </w:rPr>
        <w:t>a</w:t>
      </w:r>
      <w:proofErr w:type="gramEnd"/>
      <w:r w:rsidR="00754B68" w:rsidRPr="00B013ED">
        <w:rPr>
          <w:rFonts w:eastAsia="Calibri" w:cstheme="minorBidi"/>
          <w:b/>
          <w:bCs/>
          <w:sz w:val="20"/>
          <w:szCs w:val="20"/>
          <w:lang w:val="en-US" w:eastAsia="zh-CN"/>
        </w:rPr>
        <w:t xml:space="preserve"> indenter force of 15</w:t>
      </w:r>
      <w:r w:rsidR="00754B68">
        <w:rPr>
          <w:rFonts w:eastAsia="Calibri" w:cstheme="minorBidi"/>
          <w:b/>
          <w:bCs/>
          <w:sz w:val="20"/>
          <w:szCs w:val="20"/>
          <w:lang w:val="en-US" w:eastAsia="zh-CN"/>
        </w:rPr>
        <w:t xml:space="preserve"> </w:t>
      </w:r>
      <w:r w:rsidR="00754B68" w:rsidRPr="00B013ED">
        <w:rPr>
          <w:rFonts w:eastAsia="Calibri" w:cstheme="minorBidi"/>
          <w:b/>
          <w:bCs/>
          <w:sz w:val="20"/>
          <w:szCs w:val="20"/>
          <w:lang w:val="en-US" w:eastAsia="zh-CN"/>
        </w:rPr>
        <w:t xml:space="preserve">mN for </w:t>
      </w:r>
      <w:r w:rsidR="00754B68" w:rsidRPr="00B013ED">
        <w:rPr>
          <w:rFonts w:eastAsia="Times New Roman" w:cstheme="minorBidi"/>
          <w:b/>
          <w:bCs/>
          <w:sz w:val="20"/>
          <w:szCs w:val="20"/>
          <w:lang w:eastAsia="zh-CN"/>
        </w:rPr>
        <w:t>MTA group</w:t>
      </w:r>
      <w:r w:rsidR="00754B68">
        <w:rPr>
          <w:rFonts w:eastAsia="Times New Roman" w:cstheme="minorBidi"/>
          <w:b/>
          <w:bCs/>
          <w:sz w:val="20"/>
          <w:szCs w:val="20"/>
          <w:lang w:eastAsia="zh-CN"/>
        </w:rPr>
        <w:t xml:space="preserve">.  This shows the </w:t>
      </w:r>
      <w:r w:rsidR="00754B68" w:rsidRPr="00B013ED">
        <w:rPr>
          <w:rFonts w:eastAsia="Times New Roman" w:cstheme="minorBidi"/>
          <w:b/>
          <w:bCs/>
          <w:sz w:val="20"/>
          <w:szCs w:val="20"/>
          <w:lang w:eastAsia="zh-CN"/>
        </w:rPr>
        <w:t>least time resistance compare</w:t>
      </w:r>
      <w:r w:rsidR="00754B68">
        <w:rPr>
          <w:rFonts w:eastAsia="Times New Roman" w:cstheme="minorBidi"/>
          <w:b/>
          <w:bCs/>
          <w:sz w:val="20"/>
          <w:szCs w:val="20"/>
          <w:lang w:eastAsia="zh-CN"/>
        </w:rPr>
        <w:t>d</w:t>
      </w:r>
      <w:r w:rsidR="00754B68" w:rsidRPr="00B013ED">
        <w:rPr>
          <w:rFonts w:eastAsia="Times New Roman" w:cstheme="minorBidi"/>
          <w:b/>
          <w:bCs/>
          <w:sz w:val="20"/>
          <w:szCs w:val="20"/>
          <w:lang w:eastAsia="zh-CN"/>
        </w:rPr>
        <w:t xml:space="preserve"> to the other groups</w:t>
      </w:r>
      <w:r w:rsidR="00754B68">
        <w:rPr>
          <w:rFonts w:eastAsia="Times New Roman" w:cstheme="minorBidi"/>
          <w:b/>
          <w:bCs/>
          <w:sz w:val="20"/>
          <w:szCs w:val="20"/>
          <w:lang w:eastAsia="zh-CN"/>
        </w:rPr>
        <w:t xml:space="preserve"> with a resistance </w:t>
      </w:r>
      <w:bookmarkEnd w:id="405"/>
      <w:r w:rsidR="00754B68">
        <w:rPr>
          <w:rFonts w:eastAsia="Times New Roman" w:cstheme="minorBidi"/>
          <w:b/>
          <w:bCs/>
          <w:sz w:val="20"/>
          <w:szCs w:val="20"/>
          <w:lang w:eastAsia="zh-CN"/>
        </w:rPr>
        <w:t xml:space="preserve">110 </w:t>
      </w:r>
      <w:r w:rsidR="00754B68" w:rsidRPr="001D7A5C">
        <w:rPr>
          <w:rFonts w:eastAsia="Calibri"/>
          <w:b/>
          <w:bCs/>
          <w:sz w:val="20"/>
          <w:szCs w:val="20"/>
          <w:lang w:val="en-US"/>
        </w:rPr>
        <w:t>seconds</w:t>
      </w:r>
      <w:r w:rsidR="001E57CD">
        <w:rPr>
          <w:rFonts w:eastAsia="Calibri"/>
          <w:b/>
          <w:bCs/>
          <w:sz w:val="20"/>
          <w:szCs w:val="20"/>
          <w:lang w:val="en-US"/>
        </w:rPr>
        <w:t>.</w:t>
      </w:r>
      <w:bookmarkEnd w:id="403"/>
      <w:bookmarkEnd w:id="404"/>
      <w:r w:rsidR="00754B68" w:rsidRPr="001D7A5C">
        <w:rPr>
          <w:rFonts w:eastAsia="Times New Roman" w:cstheme="minorBidi"/>
          <w:b/>
          <w:bCs/>
          <w:color w:val="FF0000"/>
          <w:sz w:val="20"/>
          <w:szCs w:val="20"/>
          <w:lang w:eastAsia="zh-CN"/>
        </w:rPr>
        <w:t xml:space="preserve">  </w:t>
      </w:r>
    </w:p>
    <w:p w:rsidR="00642B19" w:rsidRPr="00B013ED" w:rsidRDefault="00642B19" w:rsidP="00642B19">
      <w:pPr>
        <w:autoSpaceDN w:val="0"/>
        <w:spacing w:after="0" w:line="480" w:lineRule="auto"/>
        <w:jc w:val="both"/>
        <w:rPr>
          <w:rFonts w:ascii="Arial" w:eastAsia="Times New Roman" w:hAnsi="Arial" w:cs="Arial"/>
          <w:szCs w:val="24"/>
          <w:lang w:eastAsia="zh-CN"/>
        </w:rPr>
      </w:pPr>
    </w:p>
    <w:p w:rsidR="00642B19" w:rsidRPr="00B013ED" w:rsidRDefault="00642B19" w:rsidP="00642B19">
      <w:pPr>
        <w:autoSpaceDN w:val="0"/>
        <w:spacing w:after="0" w:line="480" w:lineRule="auto"/>
        <w:jc w:val="center"/>
        <w:rPr>
          <w:rFonts w:ascii="Arial" w:eastAsia="Times New Roman" w:hAnsi="Arial" w:cs="Arial"/>
          <w:szCs w:val="24"/>
          <w:lang w:eastAsia="zh-CN"/>
        </w:rPr>
      </w:pPr>
      <w:r w:rsidRPr="00B013ED">
        <w:rPr>
          <w:rFonts w:ascii="Arial" w:eastAsia="Times New Roman" w:hAnsi="Arial" w:cs="Arial"/>
          <w:noProof/>
          <w:szCs w:val="24"/>
          <w:lang w:eastAsia="en-GB"/>
        </w:rPr>
        <w:drawing>
          <wp:inline distT="0" distB="0" distL="0" distR="0" wp14:anchorId="0575B4F8" wp14:editId="0FAC4E03">
            <wp:extent cx="4319905" cy="3059430"/>
            <wp:effectExtent l="0" t="0" r="0" b="0"/>
            <wp:docPr id="44" name="Picture 18" descr="C:\Users\wageh\Desktop\impact\15mN\mta_15mN_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319905" cy="3059430"/>
                    </a:xfrm>
                    <a:prstGeom prst="rect">
                      <a:avLst/>
                    </a:prstGeom>
                    <a:noFill/>
                    <a:ln>
                      <a:noFill/>
                      <a:prstDash/>
                    </a:ln>
                  </pic:spPr>
                </pic:pic>
              </a:graphicData>
            </a:graphic>
          </wp:inline>
        </w:drawing>
      </w:r>
    </w:p>
    <w:p w:rsidR="00642B19" w:rsidRPr="00B013ED" w:rsidRDefault="00642B19" w:rsidP="002F3F06">
      <w:pPr>
        <w:spacing w:after="0" w:line="240" w:lineRule="auto"/>
        <w:rPr>
          <w:rFonts w:eastAsia="Calibri"/>
          <w:lang w:val="en-US"/>
        </w:rPr>
      </w:pPr>
    </w:p>
    <w:p w:rsidR="00642B19" w:rsidRPr="00B013ED" w:rsidRDefault="00642B19">
      <w:pPr>
        <w:rPr>
          <w:rFonts w:eastAsiaTheme="majorEastAsia"/>
          <w:b/>
          <w:bCs/>
          <w:sz w:val="32"/>
          <w:lang w:val="en-US"/>
        </w:rPr>
      </w:pPr>
      <w:r w:rsidRPr="00B013ED">
        <w:rPr>
          <w:lang w:val="en-US"/>
        </w:rPr>
        <w:br w:type="page"/>
      </w:r>
    </w:p>
    <w:p w:rsidR="00A37744" w:rsidRPr="00576A79" w:rsidRDefault="00805867" w:rsidP="002B54A2">
      <w:pPr>
        <w:pStyle w:val="Heading2"/>
        <w:rPr>
          <w:lang w:val="en-US"/>
        </w:rPr>
      </w:pPr>
      <w:bookmarkStart w:id="406" w:name="_Toc370819246"/>
      <w:r w:rsidRPr="00B013ED">
        <w:rPr>
          <w:lang w:val="en-US"/>
        </w:rPr>
        <w:lastRenderedPageBreak/>
        <w:t>Discussion</w:t>
      </w:r>
      <w:bookmarkEnd w:id="406"/>
    </w:p>
    <w:p w:rsidR="00A37744" w:rsidRPr="00B013ED" w:rsidRDefault="00A37744" w:rsidP="00576A79">
      <w:pPr>
        <w:pStyle w:val="Heading3"/>
        <w:spacing w:line="480" w:lineRule="auto"/>
        <w:rPr>
          <w:lang w:val="en-US"/>
        </w:rPr>
      </w:pPr>
      <w:bookmarkStart w:id="407" w:name="_Toc370819247"/>
      <w:r w:rsidRPr="00B013ED">
        <w:rPr>
          <w:lang w:val="en-US"/>
        </w:rPr>
        <w:t>Sample selection and storage</w:t>
      </w:r>
      <w:bookmarkEnd w:id="407"/>
    </w:p>
    <w:p w:rsidR="00754B68" w:rsidRPr="00B013ED" w:rsidRDefault="00754B68" w:rsidP="00754B68">
      <w:pPr>
        <w:spacing w:line="480" w:lineRule="auto"/>
        <w:jc w:val="both"/>
        <w:rPr>
          <w:rFonts w:cstheme="minorBidi"/>
          <w:szCs w:val="24"/>
          <w:lang w:val="en-US"/>
        </w:rPr>
      </w:pPr>
      <w:r w:rsidRPr="00855E3B">
        <w:rPr>
          <w:rFonts w:cstheme="minorBidi"/>
          <w:szCs w:val="24"/>
          <w:lang w:val="en-US"/>
        </w:rPr>
        <w:t xml:space="preserve">The teeth used in our study were collected from </w:t>
      </w:r>
      <w:r>
        <w:rPr>
          <w:rFonts w:cstheme="minorBidi"/>
          <w:szCs w:val="24"/>
          <w:lang w:val="en-US"/>
        </w:rPr>
        <w:t xml:space="preserve">the </w:t>
      </w:r>
      <w:r w:rsidRPr="00855E3B">
        <w:rPr>
          <w:rFonts w:cstheme="minorBidi"/>
          <w:szCs w:val="24"/>
          <w:lang w:val="en-US"/>
        </w:rPr>
        <w:t xml:space="preserve">One Day Unit or sedation clinic at Leeds Dental Institute. Ethical </w:t>
      </w:r>
      <w:r>
        <w:rPr>
          <w:rFonts w:cstheme="minorBidi"/>
          <w:szCs w:val="24"/>
          <w:lang w:val="en-US"/>
        </w:rPr>
        <w:t xml:space="preserve">approval was </w:t>
      </w:r>
      <w:r w:rsidRPr="00855E3B">
        <w:rPr>
          <w:rFonts w:cstheme="minorBidi"/>
          <w:szCs w:val="24"/>
          <w:lang w:val="en-US"/>
        </w:rPr>
        <w:t xml:space="preserve">obtained from </w:t>
      </w:r>
      <w:r>
        <w:rPr>
          <w:rFonts w:cstheme="minorBidi"/>
          <w:szCs w:val="24"/>
          <w:lang w:val="en-US"/>
        </w:rPr>
        <w:t xml:space="preserve">the </w:t>
      </w:r>
      <w:r w:rsidRPr="00855E3B">
        <w:rPr>
          <w:rFonts w:cstheme="minorBidi"/>
          <w:szCs w:val="24"/>
          <w:lang w:val="en-US"/>
        </w:rPr>
        <w:t xml:space="preserve">Leeds </w:t>
      </w:r>
      <w:r>
        <w:rPr>
          <w:rFonts w:cstheme="minorBidi"/>
          <w:szCs w:val="24"/>
          <w:lang w:val="en-US"/>
        </w:rPr>
        <w:t>D</w:t>
      </w:r>
      <w:r w:rsidRPr="00855E3B">
        <w:rPr>
          <w:rFonts w:cstheme="minorBidi"/>
          <w:szCs w:val="24"/>
          <w:lang w:val="en-US"/>
        </w:rPr>
        <w:t xml:space="preserve">ental </w:t>
      </w:r>
      <w:r>
        <w:rPr>
          <w:rFonts w:cstheme="minorBidi"/>
          <w:szCs w:val="24"/>
          <w:lang w:val="en-US"/>
        </w:rPr>
        <w:t>I</w:t>
      </w:r>
      <w:r w:rsidRPr="00855E3B">
        <w:rPr>
          <w:rFonts w:cstheme="minorBidi"/>
          <w:szCs w:val="24"/>
          <w:lang w:val="en-US"/>
        </w:rPr>
        <w:t>nstitute</w:t>
      </w:r>
      <w:r>
        <w:rPr>
          <w:rFonts w:cstheme="minorBidi"/>
          <w:szCs w:val="24"/>
          <w:lang w:val="en-US"/>
        </w:rPr>
        <w:t xml:space="preserve"> Tissue Bank</w:t>
      </w:r>
      <w:r w:rsidRPr="00B013ED">
        <w:rPr>
          <w:rFonts w:cstheme="minorBidi"/>
          <w:szCs w:val="24"/>
          <w:lang w:val="en-US"/>
        </w:rPr>
        <w:t>. The teeth had been extracted for orthodontic reasons. This was the only source of teeth that was available to the investigator. We presumed that all patients had been exposed to a similar level of fluoride and accepted that this might not have been the case.  Fluoride does have an effect on the hardness of dentine and its minerali</w:t>
      </w:r>
      <w:r>
        <w:rPr>
          <w:rFonts w:cstheme="minorBidi"/>
          <w:szCs w:val="24"/>
          <w:lang w:val="en-US"/>
        </w:rPr>
        <w:t>s</w:t>
      </w:r>
      <w:r w:rsidRPr="00B013ED">
        <w:rPr>
          <w:rFonts w:cstheme="minorBidi"/>
          <w:szCs w:val="24"/>
          <w:lang w:val="en-US"/>
        </w:rPr>
        <w:t xml:space="preserve">ation (Vieira </w:t>
      </w:r>
      <w:r w:rsidRPr="00B013ED">
        <w:rPr>
          <w:rFonts w:cstheme="minorBidi"/>
          <w:i/>
          <w:iCs/>
          <w:szCs w:val="24"/>
          <w:lang w:val="en-US"/>
        </w:rPr>
        <w:t>et al.,</w:t>
      </w:r>
      <w:r w:rsidRPr="00B013ED">
        <w:rPr>
          <w:rFonts w:cstheme="minorBidi"/>
          <w:szCs w:val="24"/>
          <w:lang w:val="en-US"/>
        </w:rPr>
        <w:t xml:space="preserve"> 2005).  However, by randomly distributing our slabs to the experimental and control groups we felt that any influence that this might have had on our results would be minimised.  </w:t>
      </w:r>
    </w:p>
    <w:p w:rsidR="00754B68" w:rsidRDefault="00754B68" w:rsidP="00754B68">
      <w:pPr>
        <w:spacing w:line="600" w:lineRule="auto"/>
        <w:jc w:val="both"/>
        <w:rPr>
          <w:rFonts w:cstheme="minorBidi"/>
          <w:szCs w:val="24"/>
          <w:lang w:val="en-US"/>
        </w:rPr>
      </w:pPr>
      <w:r w:rsidRPr="00B013ED">
        <w:rPr>
          <w:rFonts w:cstheme="minorBidi"/>
          <w:szCs w:val="24"/>
          <w:lang w:val="en-US"/>
        </w:rPr>
        <w:t xml:space="preserve">Goodies </w:t>
      </w:r>
      <w:r w:rsidRPr="00B013ED">
        <w:rPr>
          <w:rFonts w:cstheme="minorBidi"/>
          <w:i/>
          <w:iCs/>
          <w:szCs w:val="24"/>
          <w:lang w:val="en-US"/>
        </w:rPr>
        <w:t>et al.,</w:t>
      </w:r>
      <w:r w:rsidRPr="00B013ED">
        <w:rPr>
          <w:rFonts w:cstheme="minorBidi"/>
          <w:szCs w:val="24"/>
          <w:lang w:val="en-US"/>
        </w:rPr>
        <w:t xml:space="preserve"> (1993) compared the storage effect on dentine permeability and bond strength of 70% ethanol, 10% formalin, distilled water, distilled water with thymol and phosphate buffered with saline with thymol. Distilled water was reported to be the best choice to clean the teeth, since it had no effect on dentine. Thymol was also advocated as the solution of choice due to its minimal effect on the properties of dentine, and most researchers use thymol as a storage medi</w:t>
      </w:r>
      <w:r>
        <w:rPr>
          <w:rFonts w:cstheme="minorBidi"/>
          <w:szCs w:val="24"/>
          <w:lang w:val="en-US"/>
        </w:rPr>
        <w:t>um</w:t>
      </w:r>
      <w:r w:rsidRPr="00B013ED">
        <w:rPr>
          <w:rFonts w:cstheme="minorBidi"/>
          <w:szCs w:val="24"/>
          <w:lang w:val="en-US"/>
        </w:rPr>
        <w:t xml:space="preserve"> for teeth that are used for hard tissue research</w:t>
      </w:r>
      <w:r>
        <w:rPr>
          <w:rFonts w:cstheme="minorBidi"/>
          <w:szCs w:val="24"/>
          <w:lang w:val="en-US"/>
        </w:rPr>
        <w:t xml:space="preserve"> </w:t>
      </w:r>
      <w:r w:rsidRPr="00DB2D00">
        <w:rPr>
          <w:rFonts w:cstheme="minorBidi"/>
          <w:szCs w:val="24"/>
          <w:lang w:val="en-US"/>
        </w:rPr>
        <w:t xml:space="preserve">which has been used in </w:t>
      </w:r>
      <w:r>
        <w:rPr>
          <w:rFonts w:cstheme="minorBidi"/>
          <w:szCs w:val="24"/>
          <w:lang w:val="en-US"/>
        </w:rPr>
        <w:t>this</w:t>
      </w:r>
      <w:r w:rsidRPr="00DB2D00">
        <w:rPr>
          <w:rFonts w:cstheme="minorBidi"/>
          <w:szCs w:val="24"/>
          <w:lang w:val="en-US"/>
        </w:rPr>
        <w:t xml:space="preserve"> study.</w:t>
      </w:r>
    </w:p>
    <w:p w:rsidR="008719F4" w:rsidRDefault="008719F4">
      <w:pPr>
        <w:rPr>
          <w:rFonts w:eastAsiaTheme="majorEastAsia" w:cstheme="majorBidi"/>
          <w:b/>
          <w:bCs/>
          <w:iCs/>
          <w:lang w:val="en-US"/>
        </w:rPr>
      </w:pPr>
      <w:r>
        <w:rPr>
          <w:lang w:val="en-US"/>
        </w:rPr>
        <w:br w:type="page"/>
      </w:r>
    </w:p>
    <w:p w:rsidR="00A10BCE" w:rsidRPr="00A10BCE" w:rsidRDefault="00A10BCE" w:rsidP="00576A79">
      <w:pPr>
        <w:pStyle w:val="Heading4"/>
        <w:spacing w:line="480" w:lineRule="auto"/>
      </w:pPr>
      <w:r w:rsidRPr="00A10BCE">
        <w:lastRenderedPageBreak/>
        <w:t>Sample size calculation</w:t>
      </w:r>
    </w:p>
    <w:p w:rsidR="00754B68" w:rsidRDefault="00754B68" w:rsidP="00754B68">
      <w:pPr>
        <w:spacing w:after="0" w:line="480" w:lineRule="auto"/>
        <w:jc w:val="both"/>
      </w:pPr>
      <w:r>
        <w:t>Sample size plays an important role in research for the following reasons:</w:t>
      </w:r>
    </w:p>
    <w:p w:rsidR="00754B68" w:rsidRDefault="00754B68" w:rsidP="00122534">
      <w:pPr>
        <w:spacing w:after="0" w:line="480" w:lineRule="auto"/>
        <w:jc w:val="both"/>
      </w:pPr>
      <w:r>
        <w:t>1- If the sample size is too small, a real difference between the treatments could be missed.</w:t>
      </w:r>
    </w:p>
    <w:p w:rsidR="00754B68" w:rsidRDefault="00122534" w:rsidP="00754B68">
      <w:pPr>
        <w:spacing w:after="0" w:line="480" w:lineRule="auto"/>
        <w:jc w:val="both"/>
      </w:pPr>
      <w:r>
        <w:t>2</w:t>
      </w:r>
      <w:r w:rsidR="00754B68">
        <w:t>- It is unethical to recruit patients if the study could not have detected a useful effect.</w:t>
      </w:r>
    </w:p>
    <w:p w:rsidR="00A37744" w:rsidRPr="00B013ED" w:rsidRDefault="00A37744" w:rsidP="00576A79">
      <w:pPr>
        <w:pStyle w:val="Heading3"/>
        <w:spacing w:line="480" w:lineRule="auto"/>
        <w:rPr>
          <w:rFonts w:eastAsia="Times New Roman"/>
          <w:lang w:eastAsia="en-GB"/>
        </w:rPr>
      </w:pPr>
      <w:bookmarkStart w:id="408" w:name="_Toc370819248"/>
      <w:r w:rsidRPr="00B013ED">
        <w:rPr>
          <w:rFonts w:eastAsia="Times New Roman"/>
          <w:lang w:eastAsia="en-GB"/>
        </w:rPr>
        <w:t>Discussing the effect of each test group on dentine and compared to the literature:</w:t>
      </w:r>
      <w:bookmarkEnd w:id="408"/>
    </w:p>
    <w:p w:rsidR="00A37744" w:rsidRDefault="00993D6B" w:rsidP="00576A79">
      <w:pPr>
        <w:pStyle w:val="Heading4"/>
        <w:spacing w:line="480" w:lineRule="auto"/>
        <w:rPr>
          <w:rFonts w:eastAsia="Times New Roman"/>
          <w:lang w:eastAsia="en-GB"/>
        </w:rPr>
      </w:pPr>
      <w:r w:rsidRPr="00B013ED">
        <w:rPr>
          <w:rFonts w:eastAsia="Times New Roman"/>
          <w:lang w:eastAsia="en-GB"/>
        </w:rPr>
        <w:t xml:space="preserve">Non setting calcium hydroxide </w:t>
      </w:r>
      <w:r w:rsidR="00A37744" w:rsidRPr="00B013ED">
        <w:rPr>
          <w:rFonts w:eastAsia="Times New Roman"/>
          <w:lang w:eastAsia="en-GB"/>
        </w:rPr>
        <w:t>NSCH group:</w:t>
      </w:r>
    </w:p>
    <w:p w:rsidR="00754B68" w:rsidRPr="00A37744" w:rsidRDefault="00754B68" w:rsidP="00754B68">
      <w:pPr>
        <w:suppressAutoHyphens/>
        <w:autoSpaceDN w:val="0"/>
        <w:spacing w:after="120" w:line="480" w:lineRule="auto"/>
        <w:jc w:val="both"/>
        <w:textAlignment w:val="baseline"/>
        <w:rPr>
          <w:rFonts w:ascii="Arial" w:eastAsia="Times New Roman" w:hAnsi="Arial" w:cs="Arial"/>
          <w:szCs w:val="24"/>
          <w:lang w:eastAsia="en-GB"/>
        </w:rPr>
      </w:pPr>
      <w:r>
        <w:rPr>
          <w:rFonts w:ascii="Arial" w:eastAsia="Times New Roman" w:hAnsi="Arial" w:cs="Arial"/>
          <w:szCs w:val="24"/>
          <w:lang w:eastAsia="en-GB"/>
        </w:rPr>
        <w:t xml:space="preserve">Our </w:t>
      </w:r>
      <w:r w:rsidRPr="00A37744">
        <w:rPr>
          <w:rFonts w:ascii="Arial" w:eastAsia="Times New Roman" w:hAnsi="Arial" w:cs="Arial"/>
          <w:szCs w:val="24"/>
          <w:lang w:eastAsia="en-GB"/>
        </w:rPr>
        <w:t xml:space="preserve">results seem to be quite indicative of the detrimental effect of </w:t>
      </w:r>
      <w:r>
        <w:rPr>
          <w:rFonts w:ascii="Arial" w:eastAsia="Times New Roman" w:hAnsi="Arial" w:cs="Arial"/>
          <w:szCs w:val="24"/>
          <w:lang w:eastAsia="en-GB"/>
        </w:rPr>
        <w:t>NS</w:t>
      </w:r>
      <w:r w:rsidRPr="00A37744">
        <w:rPr>
          <w:rFonts w:ascii="Arial" w:eastAsia="Times New Roman" w:hAnsi="Arial" w:cs="Arial"/>
          <w:szCs w:val="24"/>
          <w:lang w:eastAsia="en-GB"/>
        </w:rPr>
        <w:t xml:space="preserve">CH on the fracture resistance of dentine.  A recent study (Rosenberg </w:t>
      </w:r>
      <w:r w:rsidRPr="00A37744">
        <w:rPr>
          <w:i/>
          <w:iCs/>
          <w:szCs w:val="24"/>
          <w:lang w:val="en-US"/>
        </w:rPr>
        <w:t>et al.,</w:t>
      </w:r>
      <w:r w:rsidRPr="00A37744">
        <w:rPr>
          <w:szCs w:val="24"/>
          <w:lang w:val="en-US"/>
        </w:rPr>
        <w:t xml:space="preserve"> </w:t>
      </w:r>
      <w:r w:rsidRPr="00A37744">
        <w:rPr>
          <w:rFonts w:ascii="Arial" w:eastAsia="Times New Roman" w:hAnsi="Arial" w:cs="Arial"/>
          <w:szCs w:val="24"/>
          <w:lang w:eastAsia="en-GB"/>
        </w:rPr>
        <w:t>2007) has also shown a significant decrease in the mean tensile fracture strength (MTFS) of dentine after the application of CH for 84 days.</w:t>
      </w:r>
    </w:p>
    <w:p w:rsidR="00754B68" w:rsidRPr="00A37744" w:rsidRDefault="00754B68" w:rsidP="00754B68">
      <w:pPr>
        <w:suppressAutoHyphens/>
        <w:autoSpaceDN w:val="0"/>
        <w:spacing w:after="120" w:line="480" w:lineRule="auto"/>
        <w:jc w:val="both"/>
        <w:textAlignment w:val="baseline"/>
        <w:rPr>
          <w:rFonts w:ascii="Arial" w:eastAsia="Times New Roman" w:hAnsi="Arial" w:cs="Arial"/>
          <w:szCs w:val="24"/>
          <w:lang w:eastAsia="en-GB"/>
        </w:rPr>
      </w:pPr>
      <w:r>
        <w:rPr>
          <w:rFonts w:ascii="Arial" w:eastAsia="Times New Roman" w:hAnsi="Arial" w:cs="Arial"/>
          <w:szCs w:val="24"/>
          <w:lang w:eastAsia="en-GB"/>
        </w:rPr>
        <w:t>A</w:t>
      </w:r>
      <w:r w:rsidRPr="00A37744">
        <w:rPr>
          <w:rFonts w:ascii="Arial" w:eastAsia="Times New Roman" w:hAnsi="Arial" w:cs="Arial"/>
          <w:szCs w:val="24"/>
          <w:lang w:eastAsia="en-GB"/>
        </w:rPr>
        <w:t xml:space="preserve"> previous study (Yoldas </w:t>
      </w:r>
      <w:r w:rsidRPr="00A37744">
        <w:rPr>
          <w:i/>
          <w:iCs/>
          <w:szCs w:val="24"/>
          <w:lang w:val="en-US"/>
        </w:rPr>
        <w:t>et al.,</w:t>
      </w:r>
      <w:r w:rsidRPr="00A37744">
        <w:rPr>
          <w:szCs w:val="24"/>
          <w:lang w:val="en-US"/>
        </w:rPr>
        <w:t xml:space="preserve"> </w:t>
      </w:r>
      <w:r w:rsidRPr="00A37744">
        <w:rPr>
          <w:rFonts w:ascii="Arial" w:eastAsia="Times New Roman" w:hAnsi="Arial" w:cs="Arial"/>
          <w:szCs w:val="24"/>
          <w:lang w:eastAsia="en-GB"/>
        </w:rPr>
        <w:t xml:space="preserve">2004) showed a statistically significant decrease in hardness of dentine as soon as 7 days after the application of CH.  From our study design we </w:t>
      </w:r>
      <w:r>
        <w:rPr>
          <w:rFonts w:ascii="Arial" w:eastAsia="Times New Roman" w:hAnsi="Arial" w:cs="Arial"/>
          <w:szCs w:val="24"/>
          <w:lang w:eastAsia="en-GB"/>
        </w:rPr>
        <w:t xml:space="preserve">could not ascertain this.  </w:t>
      </w:r>
      <w:r w:rsidRPr="00A37744">
        <w:rPr>
          <w:rFonts w:ascii="Arial" w:eastAsia="Times New Roman" w:hAnsi="Arial" w:cs="Arial"/>
          <w:szCs w:val="24"/>
          <w:lang w:eastAsia="en-GB"/>
        </w:rPr>
        <w:t xml:space="preserve">It would have been interesting to carry out the hardness measurements at more regular intervals to exactly pin point the time at which the changes start to become clinically relevant.  </w:t>
      </w:r>
    </w:p>
    <w:p w:rsidR="00754B68" w:rsidRPr="00A37744" w:rsidRDefault="00754B68" w:rsidP="00754B68">
      <w:pPr>
        <w:suppressAutoHyphens/>
        <w:autoSpaceDN w:val="0"/>
        <w:spacing w:after="120" w:line="480" w:lineRule="auto"/>
        <w:jc w:val="both"/>
        <w:textAlignment w:val="baseline"/>
        <w:rPr>
          <w:rFonts w:ascii="Arial" w:eastAsia="Times New Roman" w:hAnsi="Arial" w:cs="Arial"/>
          <w:szCs w:val="24"/>
          <w:lang w:eastAsia="en-GB"/>
        </w:rPr>
      </w:pPr>
      <w:r w:rsidRPr="00A37744">
        <w:rPr>
          <w:rFonts w:ascii="Arial" w:eastAsia="Times New Roman" w:hAnsi="Arial" w:cs="Arial"/>
          <w:szCs w:val="24"/>
          <w:lang w:eastAsia="en-GB"/>
        </w:rPr>
        <w:t xml:space="preserve">It is possible that </w:t>
      </w:r>
      <w:r>
        <w:rPr>
          <w:rFonts w:ascii="Arial" w:eastAsia="Times New Roman" w:hAnsi="Arial" w:cs="Arial"/>
          <w:szCs w:val="24"/>
          <w:lang w:eastAsia="en-GB"/>
        </w:rPr>
        <w:t>NS</w:t>
      </w:r>
      <w:r w:rsidRPr="00A37744">
        <w:rPr>
          <w:rFonts w:ascii="Arial" w:eastAsia="Times New Roman" w:hAnsi="Arial" w:cs="Arial"/>
          <w:szCs w:val="24"/>
          <w:lang w:eastAsia="en-GB"/>
        </w:rPr>
        <w:t xml:space="preserve">CH causes a change in matrix content, denatures proteins, effects the pH or changes the mechanical and chemical properties of root dentine walls (Andreasen </w:t>
      </w:r>
      <w:r w:rsidRPr="00A37744">
        <w:rPr>
          <w:i/>
          <w:iCs/>
          <w:szCs w:val="24"/>
          <w:lang w:val="en-US"/>
        </w:rPr>
        <w:t>et al.,</w:t>
      </w:r>
      <w:r w:rsidRPr="00A37744">
        <w:rPr>
          <w:szCs w:val="24"/>
          <w:lang w:val="en-US"/>
        </w:rPr>
        <w:t xml:space="preserve"> </w:t>
      </w:r>
      <w:r w:rsidRPr="00A37744">
        <w:rPr>
          <w:rFonts w:ascii="Arial" w:eastAsia="Times New Roman" w:hAnsi="Arial" w:cs="Arial"/>
          <w:szCs w:val="24"/>
          <w:lang w:eastAsia="en-GB"/>
        </w:rPr>
        <w:t xml:space="preserve">2002; White </w:t>
      </w:r>
      <w:r w:rsidRPr="00A37744">
        <w:rPr>
          <w:i/>
          <w:iCs/>
          <w:szCs w:val="24"/>
          <w:lang w:val="en-US"/>
        </w:rPr>
        <w:t>et al.,</w:t>
      </w:r>
      <w:r w:rsidRPr="00A37744">
        <w:rPr>
          <w:szCs w:val="24"/>
          <w:lang w:val="en-US"/>
        </w:rPr>
        <w:t xml:space="preserve"> </w:t>
      </w:r>
      <w:r w:rsidRPr="00A37744">
        <w:rPr>
          <w:rFonts w:ascii="Arial" w:eastAsia="Times New Roman" w:hAnsi="Arial" w:cs="Arial"/>
          <w:szCs w:val="24"/>
          <w:lang w:eastAsia="en-GB"/>
        </w:rPr>
        <w:t>2002;</w:t>
      </w:r>
      <w:r>
        <w:rPr>
          <w:rFonts w:ascii="Arial" w:eastAsia="Times New Roman" w:hAnsi="Arial" w:cs="Arial"/>
          <w:szCs w:val="24"/>
          <w:lang w:eastAsia="en-GB"/>
        </w:rPr>
        <w:t xml:space="preserve"> </w:t>
      </w:r>
      <w:r w:rsidRPr="00A37744">
        <w:rPr>
          <w:rFonts w:ascii="Arial" w:eastAsia="Times New Roman" w:hAnsi="Arial" w:cs="Arial"/>
          <w:szCs w:val="24"/>
          <w:lang w:eastAsia="en-GB"/>
        </w:rPr>
        <w:t xml:space="preserve">Doyon </w:t>
      </w:r>
      <w:r w:rsidRPr="00A37744">
        <w:rPr>
          <w:i/>
          <w:iCs/>
          <w:szCs w:val="24"/>
          <w:lang w:val="en-US"/>
        </w:rPr>
        <w:t>et al.,</w:t>
      </w:r>
      <w:r w:rsidRPr="00A37744">
        <w:rPr>
          <w:szCs w:val="24"/>
          <w:lang w:val="en-US"/>
        </w:rPr>
        <w:t xml:space="preserve"> </w:t>
      </w:r>
      <w:r w:rsidRPr="00A37744">
        <w:rPr>
          <w:rFonts w:ascii="Arial" w:eastAsia="Times New Roman" w:hAnsi="Arial" w:cs="Arial"/>
          <w:szCs w:val="24"/>
          <w:lang w:eastAsia="en-GB"/>
        </w:rPr>
        <w:t xml:space="preserve">2005; Andreasen </w:t>
      </w:r>
      <w:r w:rsidRPr="00A37744">
        <w:rPr>
          <w:i/>
          <w:iCs/>
          <w:szCs w:val="24"/>
          <w:lang w:val="en-US"/>
        </w:rPr>
        <w:t>et al.,</w:t>
      </w:r>
      <w:r w:rsidRPr="00A37744">
        <w:rPr>
          <w:szCs w:val="24"/>
          <w:lang w:val="en-US"/>
        </w:rPr>
        <w:t xml:space="preserve"> </w:t>
      </w:r>
      <w:r w:rsidRPr="00A37744">
        <w:rPr>
          <w:rFonts w:ascii="Arial" w:eastAsia="Times New Roman" w:hAnsi="Arial" w:cs="Arial"/>
          <w:szCs w:val="24"/>
          <w:lang w:eastAsia="en-GB"/>
        </w:rPr>
        <w:t xml:space="preserve">et al., 2006; Rosenberg </w:t>
      </w:r>
      <w:r w:rsidRPr="00A37744">
        <w:rPr>
          <w:i/>
          <w:iCs/>
          <w:szCs w:val="24"/>
          <w:lang w:val="en-US"/>
        </w:rPr>
        <w:t>et al.,</w:t>
      </w:r>
      <w:r w:rsidRPr="00A37744">
        <w:rPr>
          <w:szCs w:val="24"/>
          <w:lang w:val="en-US"/>
        </w:rPr>
        <w:t xml:space="preserve"> </w:t>
      </w:r>
      <w:r>
        <w:rPr>
          <w:rFonts w:ascii="Arial" w:eastAsia="Times New Roman" w:hAnsi="Arial" w:cs="Arial"/>
          <w:szCs w:val="24"/>
          <w:lang w:eastAsia="en-GB"/>
        </w:rPr>
        <w:t>2007).</w:t>
      </w:r>
      <w:r w:rsidRPr="00A37744">
        <w:rPr>
          <w:rFonts w:ascii="Arial" w:eastAsia="Times New Roman" w:hAnsi="Arial" w:cs="Arial"/>
          <w:szCs w:val="24"/>
          <w:lang w:eastAsia="en-GB"/>
        </w:rPr>
        <w:t xml:space="preserve"> Andreasen </w:t>
      </w:r>
      <w:r w:rsidRPr="00A37744">
        <w:rPr>
          <w:i/>
          <w:iCs/>
          <w:szCs w:val="24"/>
          <w:lang w:val="en-US"/>
        </w:rPr>
        <w:t>et al.,</w:t>
      </w:r>
      <w:r w:rsidRPr="00A37744">
        <w:rPr>
          <w:szCs w:val="24"/>
          <w:lang w:val="en-US"/>
        </w:rPr>
        <w:t xml:space="preserve"> </w:t>
      </w:r>
      <w:r w:rsidRPr="00A37744">
        <w:rPr>
          <w:rFonts w:ascii="Arial" w:eastAsia="Times New Roman" w:hAnsi="Arial" w:cs="Arial"/>
          <w:szCs w:val="24"/>
          <w:lang w:eastAsia="en-GB"/>
        </w:rPr>
        <w:t xml:space="preserve">(2002) in their study on sheep teeth concluded that it </w:t>
      </w:r>
      <w:r>
        <w:rPr>
          <w:rFonts w:ascii="Arial" w:eastAsia="Times New Roman" w:hAnsi="Arial" w:cs="Arial"/>
          <w:szCs w:val="24"/>
          <w:lang w:eastAsia="en-GB"/>
        </w:rPr>
        <w:t>wa</w:t>
      </w:r>
      <w:r w:rsidRPr="00A37744">
        <w:rPr>
          <w:rFonts w:ascii="Arial" w:eastAsia="Times New Roman" w:hAnsi="Arial" w:cs="Arial"/>
          <w:szCs w:val="24"/>
          <w:lang w:eastAsia="en-GB"/>
        </w:rPr>
        <w:t xml:space="preserve">s indeed the high pH </w:t>
      </w:r>
      <w:r w:rsidRPr="00A37744">
        <w:rPr>
          <w:rFonts w:ascii="Arial" w:eastAsia="Times New Roman" w:hAnsi="Arial" w:cs="Arial"/>
          <w:szCs w:val="24"/>
          <w:lang w:eastAsia="en-GB"/>
        </w:rPr>
        <w:lastRenderedPageBreak/>
        <w:t>of CH which cause</w:t>
      </w:r>
      <w:r>
        <w:rPr>
          <w:rFonts w:ascii="Arial" w:eastAsia="Times New Roman" w:hAnsi="Arial" w:cs="Arial"/>
          <w:szCs w:val="24"/>
          <w:lang w:eastAsia="en-GB"/>
        </w:rPr>
        <w:t>d</w:t>
      </w:r>
      <w:r w:rsidRPr="00A37744">
        <w:rPr>
          <w:rFonts w:ascii="Arial" w:eastAsia="Times New Roman" w:hAnsi="Arial" w:cs="Arial"/>
          <w:szCs w:val="24"/>
          <w:lang w:eastAsia="en-GB"/>
        </w:rPr>
        <w:t xml:space="preserve"> proteolysis and weaken</w:t>
      </w:r>
      <w:r>
        <w:rPr>
          <w:rFonts w:ascii="Arial" w:eastAsia="Times New Roman" w:hAnsi="Arial" w:cs="Arial"/>
          <w:szCs w:val="24"/>
          <w:lang w:eastAsia="en-GB"/>
        </w:rPr>
        <w:t>ed</w:t>
      </w:r>
      <w:r w:rsidRPr="00A37744">
        <w:rPr>
          <w:rFonts w:ascii="Arial" w:eastAsia="Times New Roman" w:hAnsi="Arial" w:cs="Arial"/>
          <w:szCs w:val="24"/>
          <w:lang w:eastAsia="en-GB"/>
        </w:rPr>
        <w:t xml:space="preserve"> the dentine by up to 50% which might lead to root fracture. White </w:t>
      </w:r>
      <w:r w:rsidRPr="00A37744">
        <w:rPr>
          <w:i/>
          <w:iCs/>
          <w:szCs w:val="24"/>
          <w:lang w:val="en-US"/>
        </w:rPr>
        <w:t>et al.,</w:t>
      </w:r>
      <w:r w:rsidRPr="00A37744">
        <w:rPr>
          <w:szCs w:val="24"/>
          <w:lang w:val="en-US"/>
        </w:rPr>
        <w:t xml:space="preserve"> </w:t>
      </w:r>
      <w:r w:rsidRPr="00A37744">
        <w:rPr>
          <w:rFonts w:ascii="Arial" w:eastAsia="Times New Roman" w:hAnsi="Arial" w:cs="Arial"/>
          <w:szCs w:val="24"/>
          <w:lang w:eastAsia="en-GB"/>
        </w:rPr>
        <w:t xml:space="preserve">(2002) reported a 32% decrease in dentine strength after use of calcium hydroxide. Yoldas </w:t>
      </w:r>
      <w:r w:rsidRPr="00A37744">
        <w:rPr>
          <w:i/>
          <w:iCs/>
          <w:szCs w:val="24"/>
          <w:lang w:val="en-US"/>
        </w:rPr>
        <w:t>et al.,</w:t>
      </w:r>
      <w:r w:rsidRPr="00A37744">
        <w:rPr>
          <w:szCs w:val="24"/>
          <w:lang w:val="en-US"/>
        </w:rPr>
        <w:t xml:space="preserve"> </w:t>
      </w:r>
      <w:r w:rsidRPr="00A37744">
        <w:rPr>
          <w:rFonts w:ascii="Arial" w:eastAsia="Times New Roman" w:hAnsi="Arial" w:cs="Arial"/>
          <w:szCs w:val="24"/>
          <w:lang w:eastAsia="en-GB"/>
        </w:rPr>
        <w:t xml:space="preserve">(2004) reported that the use of calcium hydroxide combinations for intra-canal dressing softened the dentine.  </w:t>
      </w:r>
    </w:p>
    <w:p w:rsidR="00754B68" w:rsidRPr="00A37744" w:rsidRDefault="00754B68" w:rsidP="00754B68">
      <w:pPr>
        <w:suppressAutoHyphens/>
        <w:autoSpaceDN w:val="0"/>
        <w:spacing w:after="120" w:line="480" w:lineRule="auto"/>
        <w:jc w:val="both"/>
        <w:textAlignment w:val="baseline"/>
        <w:rPr>
          <w:rFonts w:ascii="Arial" w:eastAsia="Times New Roman" w:hAnsi="Arial" w:cs="Arial"/>
          <w:szCs w:val="24"/>
          <w:lang w:eastAsia="en-GB"/>
        </w:rPr>
      </w:pPr>
      <w:r w:rsidRPr="00A37744">
        <w:rPr>
          <w:rFonts w:ascii="Arial" w:eastAsia="Times New Roman" w:hAnsi="Arial" w:cs="Arial"/>
          <w:szCs w:val="24"/>
          <w:lang w:eastAsia="en-GB"/>
        </w:rPr>
        <w:t xml:space="preserve">Though these previous studies have addressed this area some have flaws with their methodology. In a previous study (Doyon </w:t>
      </w:r>
      <w:r w:rsidRPr="00A37744">
        <w:rPr>
          <w:i/>
          <w:iCs/>
          <w:szCs w:val="24"/>
          <w:lang w:val="en-US"/>
        </w:rPr>
        <w:t>et al.,</w:t>
      </w:r>
      <w:r w:rsidRPr="00A37744">
        <w:rPr>
          <w:szCs w:val="24"/>
          <w:lang w:val="en-US"/>
        </w:rPr>
        <w:t xml:space="preserve"> </w:t>
      </w:r>
      <w:r w:rsidRPr="00A37744">
        <w:rPr>
          <w:rFonts w:ascii="Arial" w:eastAsia="Times New Roman" w:hAnsi="Arial" w:cs="Arial"/>
          <w:szCs w:val="24"/>
          <w:lang w:eastAsia="en-GB"/>
        </w:rPr>
        <w:t>2005) the teeth were stored at room temperature of 22C°, which is not reflective of body temperature and humidity.  It has</w:t>
      </w:r>
      <w:r w:rsidR="0038197B">
        <w:rPr>
          <w:rFonts w:ascii="Arial" w:eastAsia="Times New Roman" w:hAnsi="Arial" w:cs="Arial"/>
          <w:szCs w:val="24"/>
          <w:lang w:eastAsia="en-GB"/>
        </w:rPr>
        <w:t xml:space="preserve"> also</w:t>
      </w:r>
      <w:r w:rsidRPr="00A37744">
        <w:rPr>
          <w:rFonts w:ascii="Arial" w:eastAsia="Times New Roman" w:hAnsi="Arial" w:cs="Arial"/>
          <w:szCs w:val="24"/>
          <w:lang w:eastAsia="en-GB"/>
        </w:rPr>
        <w:t xml:space="preserve"> been shown that a dry environment has an effect on the hardness of dentine (Balooch </w:t>
      </w:r>
      <w:r w:rsidRPr="00A37744">
        <w:rPr>
          <w:i/>
          <w:iCs/>
          <w:szCs w:val="24"/>
          <w:lang w:val="en-US"/>
        </w:rPr>
        <w:t>et al.,</w:t>
      </w:r>
      <w:r w:rsidRPr="00A37744">
        <w:rPr>
          <w:szCs w:val="24"/>
          <w:lang w:val="en-US"/>
        </w:rPr>
        <w:t xml:space="preserve"> </w:t>
      </w:r>
      <w:r w:rsidRPr="00A37744">
        <w:rPr>
          <w:rFonts w:ascii="Arial" w:eastAsia="Times New Roman" w:hAnsi="Arial" w:cs="Arial"/>
          <w:szCs w:val="24"/>
          <w:lang w:eastAsia="en-GB"/>
        </w:rPr>
        <w:t>1998).</w:t>
      </w:r>
      <w:r>
        <w:rPr>
          <w:rFonts w:ascii="Arial" w:eastAsia="Times New Roman" w:hAnsi="Arial" w:cs="Arial"/>
          <w:szCs w:val="24"/>
          <w:lang w:eastAsia="en-GB"/>
        </w:rPr>
        <w:t xml:space="preserve">  Therefore in our study we kept the slabs moist and stored them at a temperature of 37</w:t>
      </w:r>
      <w:r w:rsidRPr="00483C33">
        <w:rPr>
          <w:rFonts w:ascii="Arial" w:eastAsia="Times New Roman" w:hAnsi="Arial" w:cs="Arial"/>
          <w:szCs w:val="24"/>
          <w:vertAlign w:val="superscript"/>
          <w:lang w:eastAsia="en-GB"/>
        </w:rPr>
        <w:t>o</w:t>
      </w:r>
      <w:r>
        <w:rPr>
          <w:rFonts w:ascii="Arial" w:eastAsia="Times New Roman" w:hAnsi="Arial" w:cs="Arial"/>
          <w:szCs w:val="24"/>
          <w:lang w:eastAsia="en-GB"/>
        </w:rPr>
        <w:t>C.</w:t>
      </w:r>
    </w:p>
    <w:p w:rsidR="00754B68" w:rsidRPr="00A37744" w:rsidRDefault="00754B68" w:rsidP="0038197B">
      <w:pPr>
        <w:suppressAutoHyphens/>
        <w:autoSpaceDN w:val="0"/>
        <w:spacing w:after="120" w:line="480" w:lineRule="auto"/>
        <w:jc w:val="both"/>
        <w:textAlignment w:val="baseline"/>
        <w:rPr>
          <w:rFonts w:ascii="Arial" w:eastAsia="Times New Roman" w:hAnsi="Arial" w:cs="Arial"/>
          <w:szCs w:val="24"/>
          <w:lang w:eastAsia="en-GB"/>
        </w:rPr>
      </w:pPr>
      <w:r>
        <w:rPr>
          <w:rFonts w:ascii="Arial" w:eastAsia="Times New Roman" w:hAnsi="Arial" w:cs="Arial"/>
          <w:szCs w:val="24"/>
          <w:lang w:eastAsia="en-GB"/>
        </w:rPr>
        <w:t xml:space="preserve">Previous </w:t>
      </w:r>
      <w:r w:rsidRPr="00A37744">
        <w:rPr>
          <w:rFonts w:ascii="Arial" w:eastAsia="Times New Roman" w:hAnsi="Arial" w:cs="Arial"/>
          <w:szCs w:val="24"/>
          <w:lang w:eastAsia="en-GB"/>
        </w:rPr>
        <w:t>studies have used sodium hypochlorite as an irrigation solution before the application of calcium hydroxide (Rosenberg et al., 2007). Sodium hypochlorite has been prove</w:t>
      </w:r>
      <w:r>
        <w:rPr>
          <w:rFonts w:ascii="Arial" w:eastAsia="Times New Roman" w:hAnsi="Arial" w:cs="Arial"/>
          <w:szCs w:val="24"/>
          <w:lang w:eastAsia="en-GB"/>
        </w:rPr>
        <w:t>n</w:t>
      </w:r>
      <w:r w:rsidRPr="00A37744">
        <w:rPr>
          <w:rFonts w:ascii="Arial" w:eastAsia="Times New Roman" w:hAnsi="Arial" w:cs="Arial"/>
          <w:szCs w:val="24"/>
          <w:lang w:eastAsia="en-GB"/>
        </w:rPr>
        <w:t xml:space="preserve"> by many studies to have a negative effect on dentine hardness (Sim </w:t>
      </w:r>
      <w:r w:rsidRPr="00A37744">
        <w:rPr>
          <w:i/>
          <w:iCs/>
          <w:szCs w:val="24"/>
          <w:lang w:val="en-US"/>
        </w:rPr>
        <w:t>et al.,</w:t>
      </w:r>
      <w:r w:rsidRPr="00A37744">
        <w:rPr>
          <w:szCs w:val="24"/>
          <w:lang w:val="en-US"/>
        </w:rPr>
        <w:t xml:space="preserve"> </w:t>
      </w:r>
      <w:r w:rsidRPr="00A37744">
        <w:rPr>
          <w:rFonts w:ascii="Arial" w:eastAsia="Times New Roman" w:hAnsi="Arial" w:cs="Arial"/>
          <w:szCs w:val="24"/>
          <w:lang w:eastAsia="en-GB"/>
        </w:rPr>
        <w:t xml:space="preserve">2001; White </w:t>
      </w:r>
      <w:r w:rsidRPr="00A37744">
        <w:rPr>
          <w:i/>
          <w:iCs/>
          <w:szCs w:val="24"/>
          <w:lang w:val="en-US"/>
        </w:rPr>
        <w:t>et al.,</w:t>
      </w:r>
      <w:r w:rsidRPr="00A37744">
        <w:rPr>
          <w:szCs w:val="24"/>
          <w:lang w:val="en-US"/>
        </w:rPr>
        <w:t xml:space="preserve"> </w:t>
      </w:r>
      <w:r w:rsidRPr="00A37744">
        <w:rPr>
          <w:rFonts w:ascii="Arial" w:eastAsia="Times New Roman" w:hAnsi="Arial" w:cs="Arial"/>
          <w:szCs w:val="24"/>
          <w:lang w:eastAsia="en-GB"/>
        </w:rPr>
        <w:t>2002).</w:t>
      </w:r>
      <w:r>
        <w:rPr>
          <w:rFonts w:ascii="Arial" w:eastAsia="Times New Roman" w:hAnsi="Arial" w:cs="Arial"/>
          <w:szCs w:val="24"/>
          <w:lang w:eastAsia="en-GB"/>
        </w:rPr>
        <w:t xml:space="preserve">  However, it was felt that for immature teeth a very weak hypochlorite solution </w:t>
      </w:r>
      <w:r w:rsidR="0038197B">
        <w:rPr>
          <w:rFonts w:ascii="Arial" w:eastAsia="Times New Roman" w:hAnsi="Arial" w:cs="Arial"/>
          <w:szCs w:val="24"/>
          <w:lang w:eastAsia="en-GB"/>
        </w:rPr>
        <w:t xml:space="preserve">could be </w:t>
      </w:r>
      <w:r>
        <w:rPr>
          <w:rFonts w:ascii="Arial" w:eastAsia="Times New Roman" w:hAnsi="Arial" w:cs="Arial"/>
          <w:szCs w:val="24"/>
          <w:lang w:eastAsia="en-GB"/>
        </w:rPr>
        <w:t xml:space="preserve">used as an irrigant </w:t>
      </w:r>
      <w:r w:rsidR="0038197B">
        <w:rPr>
          <w:rFonts w:ascii="Arial" w:eastAsia="Times New Roman" w:hAnsi="Arial" w:cs="Arial"/>
          <w:szCs w:val="24"/>
          <w:lang w:eastAsia="en-GB"/>
        </w:rPr>
        <w:t>as this was</w:t>
      </w:r>
      <w:r>
        <w:rPr>
          <w:rFonts w:ascii="Arial" w:eastAsia="Times New Roman" w:hAnsi="Arial" w:cs="Arial"/>
          <w:szCs w:val="24"/>
          <w:lang w:eastAsia="en-GB"/>
        </w:rPr>
        <w:t xml:space="preserve"> unlikely to have any detrimental effect on dentine.  We decided not to incorporate this into this study design.</w:t>
      </w:r>
    </w:p>
    <w:p w:rsidR="00754B68" w:rsidRPr="00A37744" w:rsidRDefault="00754B68" w:rsidP="00754B68">
      <w:pPr>
        <w:suppressAutoHyphens/>
        <w:autoSpaceDN w:val="0"/>
        <w:spacing w:after="120" w:line="480" w:lineRule="auto"/>
        <w:jc w:val="both"/>
        <w:textAlignment w:val="baseline"/>
        <w:rPr>
          <w:rFonts w:ascii="Arial" w:eastAsia="Times New Roman" w:hAnsi="Arial" w:cs="Arial"/>
          <w:szCs w:val="24"/>
          <w:lang w:eastAsia="en-GB"/>
        </w:rPr>
      </w:pPr>
      <w:r w:rsidRPr="00A37744">
        <w:rPr>
          <w:rFonts w:ascii="Arial" w:eastAsia="Times New Roman" w:hAnsi="Arial" w:cs="Arial"/>
          <w:szCs w:val="24"/>
          <w:lang w:eastAsia="en-GB"/>
        </w:rPr>
        <w:t xml:space="preserve">In </w:t>
      </w:r>
      <w:r>
        <w:rPr>
          <w:rFonts w:ascii="Arial" w:eastAsia="Times New Roman" w:hAnsi="Arial" w:cs="Arial"/>
          <w:szCs w:val="24"/>
          <w:lang w:eastAsia="en-GB"/>
        </w:rPr>
        <w:t>this</w:t>
      </w:r>
      <w:r w:rsidRPr="00A37744">
        <w:rPr>
          <w:rFonts w:ascii="Arial" w:eastAsia="Times New Roman" w:hAnsi="Arial" w:cs="Arial"/>
          <w:szCs w:val="24"/>
          <w:lang w:eastAsia="en-GB"/>
        </w:rPr>
        <w:t xml:space="preserve"> study we did not </w:t>
      </w:r>
      <w:r>
        <w:rPr>
          <w:rFonts w:ascii="Arial" w:eastAsia="Times New Roman" w:hAnsi="Arial" w:cs="Arial"/>
          <w:szCs w:val="24"/>
          <w:lang w:eastAsia="en-GB"/>
        </w:rPr>
        <w:t>investigate</w:t>
      </w:r>
      <w:r w:rsidRPr="00A37744">
        <w:rPr>
          <w:rFonts w:ascii="Arial" w:eastAsia="Times New Roman" w:hAnsi="Arial" w:cs="Arial"/>
          <w:szCs w:val="24"/>
          <w:lang w:eastAsia="en-GB"/>
        </w:rPr>
        <w:t xml:space="preserve"> the effect of CH on the proteins in dentine but it can be safely assumed that a reduced hardness and modulus of elasticity could be a result of denaturation of proteins within the dentine matrix.  Certainly SEM images </w:t>
      </w:r>
      <w:r>
        <w:rPr>
          <w:rFonts w:ascii="Arial" w:eastAsia="Times New Roman" w:hAnsi="Arial" w:cs="Arial"/>
          <w:szCs w:val="24"/>
          <w:lang w:eastAsia="en-GB"/>
        </w:rPr>
        <w:t xml:space="preserve">from a previous </w:t>
      </w:r>
      <w:r w:rsidRPr="00B755A4">
        <w:rPr>
          <w:rFonts w:ascii="Arial" w:eastAsia="Times New Roman" w:hAnsi="Arial" w:cs="Arial"/>
          <w:szCs w:val="24"/>
          <w:lang w:eastAsia="en-GB"/>
        </w:rPr>
        <w:t>study (Twati</w:t>
      </w:r>
      <w:r>
        <w:rPr>
          <w:rFonts w:ascii="Arial" w:eastAsia="Times New Roman" w:hAnsi="Arial" w:cs="Arial"/>
          <w:szCs w:val="24"/>
          <w:lang w:eastAsia="en-GB"/>
        </w:rPr>
        <w:t xml:space="preserve"> </w:t>
      </w:r>
      <w:r w:rsidRPr="00B755A4">
        <w:rPr>
          <w:rFonts w:ascii="Arial" w:eastAsia="Times New Roman" w:hAnsi="Arial" w:cs="Arial"/>
          <w:i/>
          <w:szCs w:val="24"/>
          <w:lang w:eastAsia="en-GB"/>
        </w:rPr>
        <w:t>et al</w:t>
      </w:r>
      <w:r w:rsidRPr="00B755A4">
        <w:rPr>
          <w:rFonts w:ascii="Arial" w:eastAsia="Times New Roman" w:hAnsi="Arial" w:cs="Arial"/>
          <w:szCs w:val="24"/>
          <w:lang w:eastAsia="en-GB"/>
        </w:rPr>
        <w:t>., 2009)</w:t>
      </w:r>
      <w:r>
        <w:rPr>
          <w:rFonts w:ascii="Arial" w:eastAsia="Times New Roman" w:hAnsi="Arial" w:cs="Arial"/>
          <w:szCs w:val="24"/>
          <w:lang w:eastAsia="en-GB"/>
        </w:rPr>
        <w:t xml:space="preserve"> </w:t>
      </w:r>
      <w:r w:rsidRPr="00A37744">
        <w:rPr>
          <w:rFonts w:ascii="Arial" w:eastAsia="Times New Roman" w:hAnsi="Arial" w:cs="Arial"/>
          <w:szCs w:val="24"/>
          <w:lang w:eastAsia="en-GB"/>
        </w:rPr>
        <w:t xml:space="preserve">showed widespread distribution of CH inside the dentinal tubules throughout the dentine.  </w:t>
      </w:r>
    </w:p>
    <w:p w:rsidR="00A37744" w:rsidRPr="00B013ED" w:rsidRDefault="00A37744" w:rsidP="00576A79">
      <w:pPr>
        <w:pStyle w:val="Heading4"/>
        <w:spacing w:line="480" w:lineRule="auto"/>
        <w:rPr>
          <w:rFonts w:eastAsia="Times New Roman"/>
          <w:lang w:eastAsia="en-GB"/>
        </w:rPr>
      </w:pPr>
      <w:r w:rsidRPr="00B013ED">
        <w:rPr>
          <w:lang w:eastAsia="en-GB"/>
        </w:rPr>
        <w:lastRenderedPageBreak/>
        <w:t>Mineral Trioxide Aggregate</w:t>
      </w:r>
      <w:r w:rsidR="00993D6B" w:rsidRPr="00B013ED">
        <w:rPr>
          <w:lang w:eastAsia="en-GB"/>
        </w:rPr>
        <w:t xml:space="preserve"> MTA</w:t>
      </w:r>
    </w:p>
    <w:p w:rsidR="002E15D4" w:rsidRPr="00A37744" w:rsidRDefault="002E15D4" w:rsidP="002E15D4">
      <w:pPr>
        <w:suppressAutoHyphens/>
        <w:autoSpaceDN w:val="0"/>
        <w:spacing w:after="120" w:line="480" w:lineRule="auto"/>
        <w:jc w:val="both"/>
        <w:textAlignment w:val="baseline"/>
        <w:rPr>
          <w:rFonts w:ascii="Arial" w:eastAsia="Times New Roman" w:hAnsi="Arial" w:cs="Arial"/>
          <w:szCs w:val="24"/>
          <w:lang w:eastAsia="en-GB"/>
        </w:rPr>
      </w:pPr>
      <w:r w:rsidRPr="00A37744">
        <w:rPr>
          <w:rFonts w:ascii="Arial" w:eastAsia="Times New Roman" w:hAnsi="Arial" w:cs="Arial"/>
          <w:szCs w:val="24"/>
          <w:lang w:eastAsia="en-GB"/>
        </w:rPr>
        <w:t>MTA has led to successful resolution of the periapical lesion, but neither method (NSCH &amp; MTA) can lead to further dentin</w:t>
      </w:r>
      <w:r>
        <w:rPr>
          <w:rFonts w:ascii="Arial" w:eastAsia="Times New Roman" w:hAnsi="Arial" w:cs="Arial"/>
          <w:szCs w:val="24"/>
          <w:lang w:eastAsia="en-GB"/>
        </w:rPr>
        <w:t>e</w:t>
      </w:r>
      <w:r w:rsidRPr="00A37744">
        <w:rPr>
          <w:rFonts w:ascii="Arial" w:eastAsia="Times New Roman" w:hAnsi="Arial" w:cs="Arial"/>
          <w:szCs w:val="24"/>
          <w:lang w:eastAsia="en-GB"/>
        </w:rPr>
        <w:t xml:space="preserve"> development and thus leaves the tooth in a weakened state.</w:t>
      </w:r>
    </w:p>
    <w:p w:rsidR="002E15D4" w:rsidRPr="00B013ED" w:rsidRDefault="002E15D4" w:rsidP="002E15D4">
      <w:pPr>
        <w:suppressAutoHyphens/>
        <w:autoSpaceDN w:val="0"/>
        <w:spacing w:after="120" w:line="480" w:lineRule="auto"/>
        <w:jc w:val="both"/>
        <w:textAlignment w:val="baseline"/>
        <w:rPr>
          <w:rFonts w:ascii="Arial" w:eastAsia="Times New Roman" w:hAnsi="Arial" w:cs="Arial"/>
          <w:szCs w:val="24"/>
          <w:lang w:eastAsia="en-GB"/>
        </w:rPr>
      </w:pPr>
      <w:r w:rsidRPr="00A37744">
        <w:rPr>
          <w:rFonts w:ascii="Arial" w:eastAsia="Times New Roman" w:hAnsi="Arial" w:cs="Arial"/>
          <w:szCs w:val="24"/>
          <w:lang w:eastAsia="en-GB"/>
        </w:rPr>
        <w:t>Consequently, MTA materials have largely replaced calcium hydroxide as endodontic repair materials. It has been demonstrated that MTA stimulates reparative dentin</w:t>
      </w:r>
      <w:r>
        <w:rPr>
          <w:rFonts w:ascii="Arial" w:eastAsia="Times New Roman" w:hAnsi="Arial" w:cs="Arial"/>
          <w:szCs w:val="24"/>
          <w:lang w:eastAsia="en-GB"/>
        </w:rPr>
        <w:t>e</w:t>
      </w:r>
      <w:r w:rsidRPr="00A37744">
        <w:rPr>
          <w:rFonts w:ascii="Arial" w:eastAsia="Times New Roman" w:hAnsi="Arial" w:cs="Arial"/>
          <w:szCs w:val="24"/>
          <w:lang w:eastAsia="en-GB"/>
        </w:rPr>
        <w:t xml:space="preserve"> formation, with thick dentinal bridging, minimal inflammation, and nominal hyper</w:t>
      </w:r>
      <w:r>
        <w:rPr>
          <w:rFonts w:ascii="Arial" w:eastAsia="Times New Roman" w:hAnsi="Arial" w:cs="Arial"/>
          <w:szCs w:val="24"/>
          <w:lang w:eastAsia="en-GB"/>
        </w:rPr>
        <w:t>a</w:t>
      </w:r>
      <w:r w:rsidRPr="00A37744">
        <w:rPr>
          <w:rFonts w:ascii="Arial" w:eastAsia="Times New Roman" w:hAnsi="Arial" w:cs="Arial"/>
          <w:szCs w:val="24"/>
          <w:lang w:eastAsia="en-GB"/>
        </w:rPr>
        <w:t xml:space="preserve">emia (Chacko and </w:t>
      </w:r>
      <w:r w:rsidR="007208F0" w:rsidRPr="00A46ECB">
        <w:rPr>
          <w:rFonts w:ascii="Arial" w:eastAsia="Times New Roman" w:hAnsi="Arial" w:cs="Arial"/>
          <w:szCs w:val="24"/>
          <w:lang w:eastAsia="en-GB"/>
        </w:rPr>
        <w:t>Kurikose</w:t>
      </w:r>
      <w:r w:rsidRPr="00A46ECB">
        <w:rPr>
          <w:rFonts w:ascii="Arial" w:eastAsia="Times New Roman" w:hAnsi="Arial" w:cs="Arial"/>
          <w:szCs w:val="24"/>
          <w:lang w:eastAsia="en-GB"/>
        </w:rPr>
        <w:t>, 2006).</w:t>
      </w:r>
      <w:r w:rsidRPr="00A37744">
        <w:rPr>
          <w:rFonts w:ascii="Arial" w:eastAsia="Times New Roman" w:hAnsi="Arial" w:cs="Arial"/>
          <w:szCs w:val="24"/>
          <w:lang w:eastAsia="en-GB"/>
        </w:rPr>
        <w:t xml:space="preserve"> MTA is a calcium silicate–based material with chemical similarities to ordinary Portland cement. It has been modified with reduced heavy metal content, increased radio</w:t>
      </w:r>
      <w:r>
        <w:rPr>
          <w:rFonts w:ascii="Arial" w:eastAsia="Times New Roman" w:hAnsi="Arial" w:cs="Arial"/>
          <w:szCs w:val="24"/>
          <w:lang w:eastAsia="en-GB"/>
        </w:rPr>
        <w:t>-o</w:t>
      </w:r>
      <w:r w:rsidRPr="00A37744">
        <w:rPr>
          <w:rFonts w:ascii="Arial" w:eastAsia="Times New Roman" w:hAnsi="Arial" w:cs="Arial"/>
          <w:szCs w:val="24"/>
          <w:lang w:eastAsia="en-GB"/>
        </w:rPr>
        <w:t>pacity, better particle distribution and size, lower solubility, and reduced setting expansion to meet the demands of a biomaterial (Darvell and Wu</w:t>
      </w:r>
      <w:r>
        <w:rPr>
          <w:rFonts w:ascii="Arial" w:eastAsia="Times New Roman" w:hAnsi="Arial" w:cs="Arial"/>
          <w:szCs w:val="24"/>
          <w:lang w:eastAsia="en-GB"/>
        </w:rPr>
        <w:t>,</w:t>
      </w:r>
      <w:r w:rsidRPr="00A37744">
        <w:rPr>
          <w:rFonts w:ascii="Arial" w:eastAsia="Times New Roman" w:hAnsi="Arial" w:cs="Arial"/>
          <w:szCs w:val="24"/>
          <w:lang w:eastAsia="en-GB"/>
        </w:rPr>
        <w:t xml:space="preserve"> 2011). MTA is classified as </w:t>
      </w:r>
      <w:proofErr w:type="gramStart"/>
      <w:r>
        <w:rPr>
          <w:rFonts w:ascii="Arial" w:eastAsia="Times New Roman" w:hAnsi="Arial" w:cs="Arial"/>
          <w:szCs w:val="24"/>
          <w:lang w:eastAsia="en-GB"/>
        </w:rPr>
        <w:t xml:space="preserve">a </w:t>
      </w:r>
      <w:r w:rsidRPr="00A37744">
        <w:rPr>
          <w:rFonts w:ascii="Arial" w:eastAsia="Times New Roman" w:hAnsi="Arial" w:cs="Arial"/>
          <w:szCs w:val="24"/>
          <w:lang w:eastAsia="en-GB"/>
        </w:rPr>
        <w:t>hydraulic</w:t>
      </w:r>
      <w:proofErr w:type="gramEnd"/>
      <w:r w:rsidRPr="00A37744">
        <w:rPr>
          <w:rFonts w:ascii="Arial" w:eastAsia="Times New Roman" w:hAnsi="Arial" w:cs="Arial"/>
          <w:szCs w:val="24"/>
          <w:lang w:eastAsia="en-GB"/>
        </w:rPr>
        <w:t xml:space="preserve"> cement that sets and is stable under water. </w:t>
      </w:r>
      <w:r>
        <w:rPr>
          <w:rFonts w:ascii="Arial" w:eastAsia="Times New Roman" w:hAnsi="Arial" w:cs="Arial"/>
          <w:szCs w:val="24"/>
          <w:lang w:eastAsia="en-GB"/>
        </w:rPr>
        <w:t>As the</w:t>
      </w:r>
      <w:r w:rsidRPr="00A37744">
        <w:rPr>
          <w:rFonts w:ascii="Arial" w:eastAsia="Times New Roman" w:hAnsi="Arial" w:cs="Arial"/>
          <w:szCs w:val="24"/>
          <w:lang w:eastAsia="en-GB"/>
        </w:rPr>
        <w:t xml:space="preserve"> components </w:t>
      </w:r>
      <w:r>
        <w:rPr>
          <w:rFonts w:ascii="Arial" w:eastAsia="Times New Roman" w:hAnsi="Arial" w:cs="Arial"/>
          <w:szCs w:val="24"/>
          <w:lang w:eastAsia="en-GB"/>
        </w:rPr>
        <w:t xml:space="preserve">are </w:t>
      </w:r>
      <w:r w:rsidRPr="00A37744">
        <w:rPr>
          <w:rFonts w:ascii="Arial" w:eastAsia="Times New Roman" w:hAnsi="Arial" w:cs="Arial"/>
          <w:szCs w:val="24"/>
          <w:lang w:eastAsia="en-GB"/>
        </w:rPr>
        <w:t xml:space="preserve">similar to those of Portland cement, it may be assumed that MTA sets through a hydration reaction that involves dissolution of calcium silicate granules to produce calcium hydroxide and calcium silicate hydrates, which form the matrix that holds </w:t>
      </w:r>
      <w:r>
        <w:t>anhydrated</w:t>
      </w:r>
      <w:r w:rsidRPr="00A37744">
        <w:rPr>
          <w:rFonts w:ascii="Arial" w:eastAsia="Times New Roman" w:hAnsi="Arial" w:cs="Arial"/>
          <w:szCs w:val="24"/>
          <w:lang w:eastAsia="en-GB"/>
        </w:rPr>
        <w:t xml:space="preserve"> granules and contains </w:t>
      </w:r>
      <w:r w:rsidRPr="00D349ED">
        <w:rPr>
          <w:rFonts w:ascii="Arial" w:eastAsia="Times New Roman" w:hAnsi="Arial" w:cs="Arial"/>
          <w:szCs w:val="24"/>
          <w:lang w:eastAsia="en-GB"/>
        </w:rPr>
        <w:t xml:space="preserve">water-filled microspaces where the calcium hydroxide distributes (Atmeh </w:t>
      </w:r>
      <w:r w:rsidRPr="00D349ED">
        <w:rPr>
          <w:rFonts w:ascii="Arial" w:eastAsia="Times New Roman" w:hAnsi="Arial" w:cs="Arial"/>
          <w:i/>
          <w:iCs/>
          <w:szCs w:val="24"/>
          <w:lang w:eastAsia="en-GB"/>
        </w:rPr>
        <w:t>et al</w:t>
      </w:r>
      <w:r w:rsidRPr="00D349ED">
        <w:rPr>
          <w:rFonts w:ascii="Arial" w:eastAsia="Times New Roman" w:hAnsi="Arial" w:cs="Arial"/>
          <w:szCs w:val="24"/>
          <w:lang w:eastAsia="en-GB"/>
        </w:rPr>
        <w:t>., 2012). The release of calcium hydroxide provides the high alkalinity and is believed to be responsible for its ability to induce hard tissue formation when used as a pulp-capping material and encourage the periapical tissue to continue root development. Relatively poor strength properties of MTA have been reported</w:t>
      </w:r>
      <w:r>
        <w:rPr>
          <w:rFonts w:ascii="Arial" w:eastAsia="Times New Roman" w:hAnsi="Arial" w:cs="Arial"/>
          <w:szCs w:val="24"/>
          <w:lang w:eastAsia="en-GB"/>
        </w:rPr>
        <w:t xml:space="preserve"> </w:t>
      </w:r>
      <w:r w:rsidRPr="00D349ED">
        <w:rPr>
          <w:rFonts w:ascii="Arial" w:eastAsia="Times New Roman" w:hAnsi="Arial" w:cs="Arial"/>
          <w:szCs w:val="24"/>
          <w:lang w:eastAsia="en-GB"/>
        </w:rPr>
        <w:t xml:space="preserve">(Islam </w:t>
      </w:r>
      <w:r w:rsidRPr="00D349ED">
        <w:rPr>
          <w:rFonts w:ascii="Arial" w:eastAsia="Times New Roman" w:hAnsi="Arial" w:cs="Arial"/>
          <w:i/>
          <w:iCs/>
          <w:szCs w:val="24"/>
          <w:lang w:eastAsia="en-GB"/>
        </w:rPr>
        <w:t>et al</w:t>
      </w:r>
      <w:r w:rsidRPr="00D349ED">
        <w:rPr>
          <w:rFonts w:ascii="Arial" w:eastAsia="Times New Roman" w:hAnsi="Arial" w:cs="Arial"/>
          <w:szCs w:val="24"/>
          <w:lang w:eastAsia="en-GB"/>
        </w:rPr>
        <w:t>., 2006) and an earlier study that suggested that prolonged contact of root dentin</w:t>
      </w:r>
      <w:r>
        <w:rPr>
          <w:rFonts w:ascii="Arial" w:eastAsia="Times New Roman" w:hAnsi="Arial" w:cs="Arial"/>
          <w:szCs w:val="24"/>
          <w:lang w:eastAsia="en-GB"/>
        </w:rPr>
        <w:t>e</w:t>
      </w:r>
      <w:r w:rsidRPr="00D349ED">
        <w:rPr>
          <w:rFonts w:ascii="Arial" w:eastAsia="Times New Roman" w:hAnsi="Arial" w:cs="Arial"/>
          <w:szCs w:val="24"/>
          <w:lang w:eastAsia="en-GB"/>
        </w:rPr>
        <w:t xml:space="preserve"> with calcium hydroxide or MTA resulted in similarly severe reductions (32% versus 33%) in dentin</w:t>
      </w:r>
      <w:r>
        <w:rPr>
          <w:rFonts w:ascii="Arial" w:eastAsia="Times New Roman" w:hAnsi="Arial" w:cs="Arial"/>
          <w:szCs w:val="24"/>
          <w:lang w:eastAsia="en-GB"/>
        </w:rPr>
        <w:t>e</w:t>
      </w:r>
      <w:r w:rsidRPr="00D349ED">
        <w:rPr>
          <w:rFonts w:ascii="Arial" w:eastAsia="Times New Roman" w:hAnsi="Arial" w:cs="Arial"/>
          <w:szCs w:val="24"/>
          <w:lang w:eastAsia="en-GB"/>
        </w:rPr>
        <w:t xml:space="preserve"> fracture resistance (White </w:t>
      </w:r>
      <w:r w:rsidRPr="00D349ED">
        <w:rPr>
          <w:rFonts w:ascii="Arial" w:eastAsia="Times New Roman" w:hAnsi="Arial" w:cs="Arial"/>
          <w:i/>
          <w:iCs/>
          <w:szCs w:val="24"/>
          <w:lang w:eastAsia="en-GB"/>
        </w:rPr>
        <w:t>et al.,</w:t>
      </w:r>
      <w:r w:rsidRPr="00D349ED">
        <w:rPr>
          <w:rFonts w:ascii="Arial" w:eastAsia="Times New Roman" w:hAnsi="Arial" w:cs="Arial"/>
          <w:szCs w:val="24"/>
          <w:lang w:eastAsia="en-GB"/>
        </w:rPr>
        <w:t xml:space="preserve"> 2002).  In </w:t>
      </w:r>
      <w:r>
        <w:rPr>
          <w:rFonts w:ascii="Arial" w:eastAsia="Times New Roman" w:hAnsi="Arial" w:cs="Arial"/>
          <w:szCs w:val="24"/>
          <w:lang w:eastAsia="en-GB"/>
        </w:rPr>
        <w:t>this</w:t>
      </w:r>
      <w:r w:rsidRPr="00D349ED">
        <w:rPr>
          <w:rFonts w:ascii="Arial" w:eastAsia="Times New Roman" w:hAnsi="Arial" w:cs="Arial"/>
          <w:szCs w:val="24"/>
          <w:lang w:eastAsia="en-GB"/>
        </w:rPr>
        <w:t xml:space="preserve"> study we found that MTA </w:t>
      </w:r>
      <w:r w:rsidRPr="00D349ED">
        <w:rPr>
          <w:rFonts w:ascii="Arial" w:eastAsia="Times New Roman" w:hAnsi="Arial" w:cs="Arial"/>
          <w:szCs w:val="24"/>
          <w:lang w:eastAsia="en-GB"/>
        </w:rPr>
        <w:lastRenderedPageBreak/>
        <w:t>weaken</w:t>
      </w:r>
      <w:r>
        <w:rPr>
          <w:rFonts w:ascii="Arial" w:eastAsia="Times New Roman" w:hAnsi="Arial" w:cs="Arial"/>
          <w:szCs w:val="24"/>
          <w:lang w:eastAsia="en-GB"/>
        </w:rPr>
        <w:t>e</w:t>
      </w:r>
      <w:r w:rsidRPr="00D349ED">
        <w:rPr>
          <w:rFonts w:ascii="Arial" w:eastAsia="Times New Roman" w:hAnsi="Arial" w:cs="Arial"/>
          <w:szCs w:val="24"/>
          <w:lang w:eastAsia="en-GB"/>
        </w:rPr>
        <w:t xml:space="preserve">d the tooth by 48% after eight months of application. Several modifications to the original composition have been made (Oliveira </w:t>
      </w:r>
      <w:r w:rsidRPr="00D349ED">
        <w:rPr>
          <w:rFonts w:ascii="Arial" w:eastAsia="Times New Roman" w:hAnsi="Arial" w:cs="Arial"/>
          <w:i/>
          <w:iCs/>
          <w:szCs w:val="24"/>
          <w:lang w:eastAsia="en-GB"/>
        </w:rPr>
        <w:t>et al.,</w:t>
      </w:r>
      <w:r w:rsidRPr="00D349ED">
        <w:rPr>
          <w:rFonts w:ascii="Arial" w:eastAsia="Times New Roman" w:hAnsi="Arial" w:cs="Arial"/>
          <w:szCs w:val="24"/>
          <w:lang w:eastAsia="en-GB"/>
        </w:rPr>
        <w:t xml:space="preserve"> 2010). More recent in vitro investigations showed that MTA-filled root</w:t>
      </w:r>
      <w:r>
        <w:rPr>
          <w:rFonts w:ascii="Arial" w:eastAsia="Times New Roman" w:hAnsi="Arial" w:cs="Arial"/>
          <w:szCs w:val="24"/>
          <w:lang w:eastAsia="en-GB"/>
        </w:rPr>
        <w:t xml:space="preserve"> canal</w:t>
      </w:r>
      <w:r w:rsidRPr="00D349ED">
        <w:rPr>
          <w:rFonts w:ascii="Arial" w:eastAsia="Times New Roman" w:hAnsi="Arial" w:cs="Arial"/>
          <w:szCs w:val="24"/>
          <w:lang w:eastAsia="en-GB"/>
        </w:rPr>
        <w:t>s had significantly greater fracture strength than calcium hydroxide-filled root</w:t>
      </w:r>
      <w:r>
        <w:rPr>
          <w:rFonts w:ascii="Arial" w:eastAsia="Times New Roman" w:hAnsi="Arial" w:cs="Arial"/>
          <w:szCs w:val="24"/>
          <w:lang w:eastAsia="en-GB"/>
        </w:rPr>
        <w:t xml:space="preserve"> canal</w:t>
      </w:r>
      <w:r w:rsidRPr="00D349ED">
        <w:rPr>
          <w:rFonts w:ascii="Arial" w:eastAsia="Times New Roman" w:hAnsi="Arial" w:cs="Arial"/>
          <w:szCs w:val="24"/>
          <w:lang w:eastAsia="en-GB"/>
        </w:rPr>
        <w:t xml:space="preserve">s but no different than unfilled roots after saline storage for 100 days (Andreasen </w:t>
      </w:r>
      <w:r w:rsidRPr="00D349ED">
        <w:rPr>
          <w:rFonts w:ascii="Arial" w:eastAsia="Times New Roman" w:hAnsi="Arial" w:cs="Arial"/>
          <w:i/>
          <w:iCs/>
          <w:szCs w:val="24"/>
          <w:lang w:eastAsia="en-GB"/>
        </w:rPr>
        <w:t>et al</w:t>
      </w:r>
      <w:r w:rsidRPr="00D349ED">
        <w:rPr>
          <w:rFonts w:ascii="Arial" w:eastAsia="Times New Roman" w:hAnsi="Arial" w:cs="Arial"/>
          <w:szCs w:val="24"/>
          <w:lang w:eastAsia="en-GB"/>
        </w:rPr>
        <w:t>., 2006)</w:t>
      </w:r>
      <w:r w:rsidRPr="00A37744">
        <w:rPr>
          <w:rFonts w:ascii="Arial" w:eastAsia="Times New Roman" w:hAnsi="Arial" w:cs="Arial"/>
          <w:szCs w:val="24"/>
          <w:lang w:eastAsia="en-GB"/>
        </w:rPr>
        <w:t xml:space="preserve">. Similar results were reported for MTA and a modified MTA (DiaRoot; DiaDent Group International, Burnaby, BC, Canada) with respect to calcium hydroxide-filled roots (Tuna </w:t>
      </w:r>
      <w:r w:rsidRPr="00A37744">
        <w:rPr>
          <w:rFonts w:ascii="Arial" w:eastAsia="Times New Roman" w:hAnsi="Arial" w:cs="Arial"/>
          <w:i/>
          <w:iCs/>
          <w:szCs w:val="24"/>
          <w:lang w:eastAsia="en-GB"/>
        </w:rPr>
        <w:t>et al.,</w:t>
      </w:r>
      <w:r w:rsidRPr="00A37744">
        <w:rPr>
          <w:rFonts w:ascii="Arial" w:eastAsia="Times New Roman" w:hAnsi="Arial" w:cs="Arial"/>
          <w:szCs w:val="24"/>
          <w:lang w:eastAsia="en-GB"/>
        </w:rPr>
        <w:t xml:space="preserve"> 2011). There appears to be some consensus that MTA does not weaken the dentin</w:t>
      </w:r>
      <w:r>
        <w:rPr>
          <w:rFonts w:ascii="Arial" w:eastAsia="Times New Roman" w:hAnsi="Arial" w:cs="Arial"/>
          <w:szCs w:val="24"/>
          <w:lang w:eastAsia="en-GB"/>
        </w:rPr>
        <w:t>e</w:t>
      </w:r>
      <w:r w:rsidRPr="00A37744">
        <w:rPr>
          <w:rFonts w:ascii="Arial" w:eastAsia="Times New Roman" w:hAnsi="Arial" w:cs="Arial"/>
          <w:szCs w:val="24"/>
          <w:lang w:eastAsia="en-GB"/>
        </w:rPr>
        <w:t xml:space="preserve"> to the same extent as calcium hydroxide, although some negative effect on dentin</w:t>
      </w:r>
      <w:r>
        <w:rPr>
          <w:rFonts w:ascii="Arial" w:eastAsia="Times New Roman" w:hAnsi="Arial" w:cs="Arial"/>
          <w:szCs w:val="24"/>
          <w:lang w:eastAsia="en-GB"/>
        </w:rPr>
        <w:t>e</w:t>
      </w:r>
      <w:r w:rsidRPr="00A37744">
        <w:rPr>
          <w:rFonts w:ascii="Arial" w:eastAsia="Times New Roman" w:hAnsi="Arial" w:cs="Arial"/>
          <w:szCs w:val="24"/>
          <w:lang w:eastAsia="en-GB"/>
        </w:rPr>
        <w:t xml:space="preserve"> strength has been demonstrated (Sawyer </w:t>
      </w:r>
      <w:r w:rsidRPr="00A37744">
        <w:rPr>
          <w:rFonts w:ascii="Arial" w:eastAsia="Times New Roman" w:hAnsi="Arial" w:cs="Arial"/>
          <w:i/>
          <w:iCs/>
          <w:szCs w:val="24"/>
          <w:lang w:eastAsia="en-GB"/>
        </w:rPr>
        <w:t>et al.,</w:t>
      </w:r>
      <w:r w:rsidRPr="00A37744">
        <w:rPr>
          <w:rFonts w:ascii="Arial" w:eastAsia="Times New Roman" w:hAnsi="Arial" w:cs="Arial"/>
          <w:szCs w:val="24"/>
          <w:lang w:eastAsia="en-GB"/>
        </w:rPr>
        <w:t xml:space="preserve"> 2012) after 2–3 months of contact. The ability for MTA to reinforce weakened teeth is still open to some debate. One investigator found that the fracture strength of MTA was greater than gutta-percha filled and no</w:t>
      </w:r>
      <w:r>
        <w:rPr>
          <w:rFonts w:ascii="Arial" w:eastAsia="Times New Roman" w:hAnsi="Arial" w:cs="Arial"/>
          <w:szCs w:val="24"/>
          <w:lang w:eastAsia="en-GB"/>
        </w:rPr>
        <w:t>n-</w:t>
      </w:r>
      <w:r w:rsidRPr="00A37744">
        <w:rPr>
          <w:rFonts w:ascii="Arial" w:eastAsia="Times New Roman" w:hAnsi="Arial" w:cs="Arial"/>
          <w:szCs w:val="24"/>
          <w:lang w:eastAsia="en-GB"/>
        </w:rPr>
        <w:t xml:space="preserve">filled canals after 48 hours (Bortoluzzi </w:t>
      </w:r>
      <w:r w:rsidRPr="00A37744">
        <w:rPr>
          <w:rFonts w:ascii="Arial" w:eastAsia="Times New Roman" w:hAnsi="Arial" w:cs="Arial"/>
          <w:i/>
          <w:iCs/>
          <w:szCs w:val="24"/>
          <w:lang w:eastAsia="en-GB"/>
        </w:rPr>
        <w:t>et al.,</w:t>
      </w:r>
      <w:r w:rsidRPr="00A37744">
        <w:rPr>
          <w:rFonts w:ascii="Arial" w:eastAsia="Times New Roman" w:hAnsi="Arial" w:cs="Arial"/>
          <w:szCs w:val="24"/>
          <w:lang w:eastAsia="en-GB"/>
        </w:rPr>
        <w:t xml:space="preserve"> 2007). Another investigator showed that the reinforcing effect could not be detected until after </w:t>
      </w:r>
      <w:r>
        <w:rPr>
          <w:rFonts w:ascii="Arial" w:eastAsia="Times New Roman" w:hAnsi="Arial" w:cs="Arial"/>
          <w:szCs w:val="24"/>
          <w:lang w:eastAsia="en-GB"/>
        </w:rPr>
        <w:t>one</w:t>
      </w:r>
      <w:r w:rsidRPr="00A37744">
        <w:rPr>
          <w:rFonts w:ascii="Arial" w:eastAsia="Times New Roman" w:hAnsi="Arial" w:cs="Arial"/>
          <w:szCs w:val="24"/>
          <w:lang w:eastAsia="en-GB"/>
        </w:rPr>
        <w:t xml:space="preserve"> year of storage when compared with the unfilled control (Hatibovi </w:t>
      </w:r>
      <w:r w:rsidRPr="00A37744">
        <w:rPr>
          <w:rFonts w:ascii="Arial" w:eastAsia="Times New Roman" w:hAnsi="Arial" w:cs="Arial"/>
          <w:i/>
          <w:iCs/>
          <w:szCs w:val="24"/>
          <w:lang w:eastAsia="en-GB"/>
        </w:rPr>
        <w:t>et al.,</w:t>
      </w:r>
      <w:r w:rsidRPr="00A37744">
        <w:rPr>
          <w:rFonts w:ascii="Arial" w:eastAsia="Times New Roman" w:hAnsi="Arial" w:cs="Arial"/>
          <w:szCs w:val="24"/>
          <w:lang w:eastAsia="en-GB"/>
        </w:rPr>
        <w:t xml:space="preserve"> 2008). Yet another investigator found that after thermocycling MTA did not improve the fracture resistance of weakened roots when compared with an unfilled control (Schmoldt </w:t>
      </w:r>
      <w:r w:rsidRPr="00A37744">
        <w:rPr>
          <w:rFonts w:ascii="Arial" w:eastAsia="Times New Roman" w:hAnsi="Arial" w:cs="Arial"/>
          <w:i/>
          <w:iCs/>
          <w:szCs w:val="24"/>
          <w:lang w:eastAsia="en-GB"/>
        </w:rPr>
        <w:t>et al.,</w:t>
      </w:r>
      <w:r w:rsidRPr="00A37744">
        <w:rPr>
          <w:rFonts w:ascii="Arial" w:eastAsia="Times New Roman" w:hAnsi="Arial" w:cs="Arial"/>
          <w:szCs w:val="24"/>
          <w:lang w:eastAsia="en-GB"/>
        </w:rPr>
        <w:t xml:space="preserve"> 2011). It would appear from the current data that the strengthening effect of MTA cement alone as a root fortification material is minimal at best but may not negatively impact </w:t>
      </w:r>
      <w:r>
        <w:rPr>
          <w:rFonts w:ascii="Arial" w:eastAsia="Times New Roman" w:hAnsi="Arial" w:cs="Arial"/>
          <w:szCs w:val="24"/>
          <w:lang w:eastAsia="en-GB"/>
        </w:rPr>
        <w:t>on</w:t>
      </w:r>
      <w:r w:rsidRPr="00A37744">
        <w:rPr>
          <w:rFonts w:ascii="Arial" w:eastAsia="Times New Roman" w:hAnsi="Arial" w:cs="Arial"/>
          <w:szCs w:val="24"/>
          <w:lang w:eastAsia="en-GB"/>
        </w:rPr>
        <w:t xml:space="preserve"> dentin</w:t>
      </w:r>
      <w:r>
        <w:rPr>
          <w:rFonts w:ascii="Arial" w:eastAsia="Times New Roman" w:hAnsi="Arial" w:cs="Arial"/>
          <w:szCs w:val="24"/>
          <w:lang w:eastAsia="en-GB"/>
        </w:rPr>
        <w:t>e</w:t>
      </w:r>
      <w:r w:rsidRPr="00A37744">
        <w:rPr>
          <w:rFonts w:ascii="Arial" w:eastAsia="Times New Roman" w:hAnsi="Arial" w:cs="Arial"/>
          <w:szCs w:val="24"/>
          <w:lang w:eastAsia="en-GB"/>
        </w:rPr>
        <w:t xml:space="preserve"> properties to the same extent as calcium hydroxide.</w:t>
      </w:r>
    </w:p>
    <w:p w:rsidR="008719F4" w:rsidRDefault="008719F4">
      <w:pPr>
        <w:rPr>
          <w:rFonts w:eastAsia="Times New Roman"/>
          <w:b/>
          <w:bCs/>
          <w:sz w:val="28"/>
          <w:lang w:eastAsia="en-GB"/>
        </w:rPr>
      </w:pPr>
      <w:r>
        <w:rPr>
          <w:rFonts w:eastAsia="Times New Roman"/>
          <w:lang w:eastAsia="en-GB"/>
        </w:rPr>
        <w:br w:type="page"/>
      </w:r>
    </w:p>
    <w:p w:rsidR="00A37744" w:rsidRPr="00B013ED" w:rsidRDefault="00A37744" w:rsidP="001F33C0">
      <w:pPr>
        <w:pStyle w:val="Heading3"/>
        <w:rPr>
          <w:rFonts w:eastAsia="Times New Roman"/>
          <w:lang w:eastAsia="en-GB"/>
        </w:rPr>
      </w:pPr>
      <w:bookmarkStart w:id="409" w:name="_Toc370819249"/>
      <w:r w:rsidRPr="00B013ED">
        <w:rPr>
          <w:rFonts w:eastAsia="Times New Roman"/>
          <w:lang w:eastAsia="en-GB"/>
        </w:rPr>
        <w:lastRenderedPageBreak/>
        <w:t>Sample preparation to be tested under nanoindentation:</w:t>
      </w:r>
      <w:bookmarkEnd w:id="409"/>
    </w:p>
    <w:p w:rsidR="001B5248" w:rsidRPr="00B013ED" w:rsidRDefault="001B5248" w:rsidP="001B5248">
      <w:pPr>
        <w:rPr>
          <w:lang w:eastAsia="en-GB"/>
        </w:rPr>
      </w:pPr>
    </w:p>
    <w:p w:rsidR="00A37744" w:rsidRPr="00B013ED" w:rsidRDefault="00A37744" w:rsidP="00430401">
      <w:pPr>
        <w:pStyle w:val="Heading4"/>
        <w:spacing w:line="480" w:lineRule="auto"/>
        <w:rPr>
          <w:rFonts w:eastAsia="Times New Roman"/>
          <w:lang w:eastAsia="en-GB"/>
        </w:rPr>
      </w:pPr>
      <w:r w:rsidRPr="00B013ED">
        <w:rPr>
          <w:rFonts w:eastAsia="Times New Roman"/>
          <w:lang w:eastAsia="en-GB"/>
        </w:rPr>
        <w:t>Smear Layer</w:t>
      </w:r>
    </w:p>
    <w:p w:rsidR="002E15D4" w:rsidRPr="00430401" w:rsidRDefault="002E15D4" w:rsidP="002E15D4">
      <w:pPr>
        <w:suppressAutoHyphens/>
        <w:autoSpaceDN w:val="0"/>
        <w:spacing w:after="120" w:line="480" w:lineRule="auto"/>
        <w:jc w:val="both"/>
        <w:textAlignment w:val="baseline"/>
        <w:rPr>
          <w:rFonts w:eastAsia="Times New Roman" w:cstheme="minorBidi"/>
          <w:szCs w:val="24"/>
          <w:lang w:eastAsia="en-GB"/>
        </w:rPr>
      </w:pPr>
      <w:r w:rsidRPr="00430401">
        <w:rPr>
          <w:rFonts w:eastAsia="Times New Roman" w:cstheme="minorBidi"/>
          <w:szCs w:val="24"/>
          <w:lang w:eastAsia="en-GB"/>
        </w:rPr>
        <w:t xml:space="preserve">In the case of sample preparation, the surface polishing of a sample directly affects the depth of the smear layer created (Li </w:t>
      </w:r>
      <w:r w:rsidRPr="00430401">
        <w:rPr>
          <w:rFonts w:eastAsia="Times New Roman" w:cstheme="minorBidi"/>
          <w:i/>
          <w:szCs w:val="24"/>
          <w:lang w:eastAsia="en-GB"/>
        </w:rPr>
        <w:t>et al.,</w:t>
      </w:r>
      <w:r w:rsidRPr="00430401">
        <w:rPr>
          <w:rFonts w:eastAsia="Times New Roman" w:cstheme="minorBidi"/>
          <w:szCs w:val="24"/>
          <w:lang w:eastAsia="en-GB"/>
        </w:rPr>
        <w:t xml:space="preserve"> 2011). The smear layer is roughly one third to one-half the size of the particle size used for polishing </w:t>
      </w:r>
      <w:r w:rsidR="005F0983" w:rsidRPr="00430401">
        <w:rPr>
          <w:rFonts w:eastAsia="Times New Roman" w:cstheme="minorBidi"/>
          <w:szCs w:val="24"/>
          <w:shd w:val="clear" w:color="auto" w:fill="FFFF00"/>
          <w:lang w:eastAsia="en-GB"/>
        </w:rPr>
        <w:fldChar w:fldCharType="begin"/>
      </w:r>
      <w:r w:rsidR="005F0983" w:rsidRPr="00430401">
        <w:rPr>
          <w:rFonts w:eastAsia="Times New Roman" w:cstheme="minorBidi"/>
          <w:szCs w:val="24"/>
          <w:lang w:eastAsia="en-GB"/>
        </w:rPr>
        <w:instrText xml:space="preserve"> REF _Ref360481683 \h </w:instrText>
      </w:r>
      <w:r w:rsidR="005F0983" w:rsidRPr="00430401">
        <w:rPr>
          <w:rFonts w:eastAsia="Times New Roman" w:cstheme="minorBidi"/>
          <w:szCs w:val="24"/>
          <w:shd w:val="clear" w:color="auto" w:fill="FFFF00"/>
          <w:lang w:eastAsia="en-GB"/>
        </w:rPr>
        <w:instrText xml:space="preserve"> \* MERGEFORMAT </w:instrText>
      </w:r>
      <w:r w:rsidR="005F0983" w:rsidRPr="00430401">
        <w:rPr>
          <w:rFonts w:eastAsia="Times New Roman" w:cstheme="minorBidi"/>
          <w:szCs w:val="24"/>
          <w:shd w:val="clear" w:color="auto" w:fill="FFFF00"/>
          <w:lang w:eastAsia="en-GB"/>
        </w:rPr>
      </w:r>
      <w:r w:rsidR="005F0983" w:rsidRPr="00430401">
        <w:rPr>
          <w:rFonts w:eastAsia="Times New Roman" w:cstheme="minorBidi"/>
          <w:szCs w:val="24"/>
          <w:shd w:val="clear" w:color="auto" w:fill="FFFF00"/>
          <w:lang w:eastAsia="en-GB"/>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b/>
          <w:bCs/>
          <w:noProof/>
          <w:sz w:val="20"/>
          <w:szCs w:val="20"/>
        </w:rPr>
        <w:t>0</w:t>
      </w:r>
      <w:r w:rsidR="00374B77" w:rsidRPr="006747E2">
        <w:rPr>
          <w:rFonts w:cstheme="minorBidi"/>
          <w:b/>
          <w:bCs/>
          <w:noProof/>
          <w:sz w:val="20"/>
          <w:szCs w:val="20"/>
        </w:rPr>
        <w:t>.</w:t>
      </w:r>
      <w:r w:rsidR="00374B77">
        <w:rPr>
          <w:rFonts w:cstheme="minorBidi"/>
          <w:b/>
          <w:bCs/>
          <w:noProof/>
          <w:sz w:val="20"/>
          <w:szCs w:val="20"/>
        </w:rPr>
        <w:t>23</w:t>
      </w:r>
      <w:r w:rsidR="005F0983" w:rsidRPr="00430401">
        <w:rPr>
          <w:rFonts w:eastAsia="Times New Roman" w:cstheme="minorBidi"/>
          <w:szCs w:val="24"/>
          <w:shd w:val="clear" w:color="auto" w:fill="FFFF00"/>
          <w:lang w:eastAsia="en-GB"/>
        </w:rPr>
        <w:fldChar w:fldCharType="end"/>
      </w:r>
      <w:r w:rsidR="005F0983" w:rsidRPr="00430401">
        <w:rPr>
          <w:rFonts w:eastAsia="Times New Roman" w:cstheme="minorBidi"/>
          <w:szCs w:val="24"/>
          <w:lang w:eastAsia="en-GB"/>
        </w:rPr>
        <w:t xml:space="preserve"> .  </w:t>
      </w:r>
      <w:r w:rsidRPr="00430401">
        <w:rPr>
          <w:rFonts w:eastAsia="Times New Roman" w:cstheme="minorBidi"/>
          <w:szCs w:val="24"/>
          <w:lang w:eastAsia="en-GB"/>
        </w:rPr>
        <w:t>If the indentation load is not large enough to penetrate the smear layer, the measured elastic modulus could reflect the value of the smear layer, or the underlying substrate or some combination thereof thus giving a false value of the sample in question.</w:t>
      </w:r>
    </w:p>
    <w:p w:rsidR="00C00065" w:rsidRPr="00B013ED" w:rsidRDefault="00C00065" w:rsidP="002E15D4">
      <w:pPr>
        <w:suppressAutoHyphens/>
        <w:autoSpaceDN w:val="0"/>
        <w:spacing w:after="120" w:line="480" w:lineRule="auto"/>
        <w:jc w:val="both"/>
        <w:textAlignment w:val="baseline"/>
      </w:pPr>
    </w:p>
    <w:p w:rsidR="002E15D4" w:rsidRPr="006747E2" w:rsidRDefault="00C67C41" w:rsidP="006747E2">
      <w:pPr>
        <w:pStyle w:val="Caption"/>
        <w:spacing w:line="240" w:lineRule="auto"/>
        <w:rPr>
          <w:rFonts w:cstheme="minorBidi"/>
          <w:b/>
          <w:bCs w:val="0"/>
          <w:noProof/>
          <w:sz w:val="20"/>
          <w:szCs w:val="20"/>
          <w:lang w:eastAsia="en-GB"/>
        </w:rPr>
      </w:pPr>
      <w:bookmarkStart w:id="410" w:name="_Ref360481683"/>
      <w:bookmarkStart w:id="411" w:name="_Toc360367438"/>
      <w:bookmarkStart w:id="412" w:name="_Toc361733613"/>
      <w:bookmarkStart w:id="413" w:name="_Toc361734256"/>
      <w:r w:rsidRPr="006747E2">
        <w:rPr>
          <w:rFonts w:cstheme="minorBidi"/>
          <w:b/>
          <w:bCs w:val="0"/>
          <w:sz w:val="20"/>
          <w:szCs w:val="20"/>
        </w:rPr>
        <w:t>Figure</w:t>
      </w:r>
      <w:r w:rsidR="00C00065" w:rsidRPr="006747E2">
        <w:rPr>
          <w:rFonts w:cstheme="minorBidi"/>
          <w:b/>
          <w:bCs w:val="0"/>
          <w:sz w:val="20"/>
          <w:szCs w:val="20"/>
        </w:rPr>
        <w:t xml:space="preserve"> </w:t>
      </w:r>
      <w:r w:rsidR="00DF37B0" w:rsidRPr="006747E2">
        <w:rPr>
          <w:rFonts w:cstheme="minorBidi"/>
          <w:b/>
          <w:bCs w:val="0"/>
          <w:sz w:val="20"/>
          <w:szCs w:val="20"/>
        </w:rPr>
        <w:fldChar w:fldCharType="begin"/>
      </w:r>
      <w:r w:rsidR="00DF37B0" w:rsidRPr="006747E2">
        <w:rPr>
          <w:rFonts w:cstheme="minorBidi"/>
          <w:b/>
          <w:bCs w:val="0"/>
          <w:sz w:val="20"/>
          <w:szCs w:val="20"/>
        </w:rPr>
        <w:instrText xml:space="preserve"> STYLEREF 1 \s </w:instrText>
      </w:r>
      <w:r w:rsidR="00DF37B0" w:rsidRPr="006747E2">
        <w:rPr>
          <w:rFonts w:cstheme="minorBidi"/>
          <w:b/>
          <w:bCs w:val="0"/>
          <w:sz w:val="20"/>
          <w:szCs w:val="20"/>
        </w:rPr>
        <w:fldChar w:fldCharType="separate"/>
      </w:r>
      <w:r w:rsidR="00374B77">
        <w:rPr>
          <w:rFonts w:cstheme="minorBidi"/>
          <w:b/>
          <w:bCs w:val="0"/>
          <w:noProof/>
          <w:sz w:val="20"/>
          <w:szCs w:val="20"/>
          <w:cs/>
        </w:rPr>
        <w:t>‎</w:t>
      </w:r>
      <w:r w:rsidR="00374B77">
        <w:rPr>
          <w:rFonts w:cstheme="minorBidi"/>
          <w:b/>
          <w:bCs w:val="0"/>
          <w:noProof/>
          <w:sz w:val="20"/>
          <w:szCs w:val="20"/>
        </w:rPr>
        <w:t>0</w:t>
      </w:r>
      <w:r w:rsidR="00DF37B0" w:rsidRPr="006747E2">
        <w:rPr>
          <w:rFonts w:cstheme="minorBidi"/>
          <w:b/>
          <w:bCs w:val="0"/>
          <w:sz w:val="20"/>
          <w:szCs w:val="20"/>
        </w:rPr>
        <w:fldChar w:fldCharType="end"/>
      </w:r>
      <w:r w:rsidR="00DF37B0" w:rsidRPr="006747E2">
        <w:rPr>
          <w:rFonts w:cstheme="minorBidi"/>
          <w:b/>
          <w:bCs w:val="0"/>
          <w:sz w:val="20"/>
          <w:szCs w:val="20"/>
        </w:rPr>
        <w:t>.</w:t>
      </w:r>
      <w:r w:rsidR="00DF37B0" w:rsidRPr="006747E2">
        <w:rPr>
          <w:rFonts w:cstheme="minorBidi"/>
          <w:b/>
          <w:bCs w:val="0"/>
          <w:sz w:val="20"/>
          <w:szCs w:val="20"/>
        </w:rPr>
        <w:fldChar w:fldCharType="begin"/>
      </w:r>
      <w:r w:rsidR="00DF37B0" w:rsidRPr="006747E2">
        <w:rPr>
          <w:rFonts w:cstheme="minorBidi"/>
          <w:b/>
          <w:bCs w:val="0"/>
          <w:sz w:val="20"/>
          <w:szCs w:val="20"/>
        </w:rPr>
        <w:instrText xml:space="preserve"> SEQ Figure \* ARABIC \s 1 </w:instrText>
      </w:r>
      <w:r w:rsidR="00DF37B0" w:rsidRPr="006747E2">
        <w:rPr>
          <w:rFonts w:cstheme="minorBidi"/>
          <w:b/>
          <w:bCs w:val="0"/>
          <w:sz w:val="20"/>
          <w:szCs w:val="20"/>
        </w:rPr>
        <w:fldChar w:fldCharType="separate"/>
      </w:r>
      <w:r w:rsidR="00374B77">
        <w:rPr>
          <w:rFonts w:cstheme="minorBidi"/>
          <w:b/>
          <w:bCs w:val="0"/>
          <w:noProof/>
          <w:sz w:val="20"/>
          <w:szCs w:val="20"/>
        </w:rPr>
        <w:t>23</w:t>
      </w:r>
      <w:r w:rsidR="00DF37B0" w:rsidRPr="006747E2">
        <w:rPr>
          <w:rFonts w:cstheme="minorBidi"/>
          <w:b/>
          <w:bCs w:val="0"/>
          <w:sz w:val="20"/>
          <w:szCs w:val="20"/>
        </w:rPr>
        <w:fldChar w:fldCharType="end"/>
      </w:r>
      <w:bookmarkEnd w:id="410"/>
      <w:r w:rsidR="00C00065" w:rsidRPr="006747E2">
        <w:rPr>
          <w:rFonts w:cstheme="minorBidi"/>
          <w:b/>
          <w:bCs w:val="0"/>
          <w:sz w:val="20"/>
          <w:szCs w:val="20"/>
        </w:rPr>
        <w:t xml:space="preserve"> </w:t>
      </w:r>
      <w:bookmarkStart w:id="414" w:name="_Toc360367258"/>
      <w:bookmarkEnd w:id="411"/>
      <w:r w:rsidR="002E15D4" w:rsidRPr="006747E2">
        <w:rPr>
          <w:rFonts w:cstheme="minorBidi"/>
          <w:b/>
          <w:bCs w:val="0"/>
          <w:noProof/>
          <w:sz w:val="20"/>
          <w:szCs w:val="20"/>
        </w:rPr>
        <w:t>This image illustrates how the smear layer affects the nano-indentation measurement</w:t>
      </w:r>
      <w:bookmarkEnd w:id="412"/>
      <w:bookmarkEnd w:id="413"/>
      <w:bookmarkEnd w:id="414"/>
    </w:p>
    <w:p w:rsidR="001B5248" w:rsidRPr="00B013ED" w:rsidRDefault="00267512" w:rsidP="00056DDB">
      <w:pPr>
        <w:rPr>
          <w:shd w:val="clear" w:color="auto" w:fill="FFFF00"/>
          <w:lang w:eastAsia="en-GB"/>
        </w:rPr>
      </w:pPr>
      <w:r w:rsidRPr="00267512">
        <w:rPr>
          <w:noProof/>
          <w:lang w:eastAsia="en-GB"/>
        </w:rPr>
        <mc:AlternateContent>
          <mc:Choice Requires="wps">
            <w:drawing>
              <wp:anchor distT="0" distB="0" distL="114300" distR="114300" simplePos="0" relativeHeight="251855872" behindDoc="0" locked="0" layoutInCell="1" allowOverlap="1" wp14:anchorId="60397A3E" wp14:editId="18137C5C">
                <wp:simplePos x="0" y="0"/>
                <wp:positionH relativeFrom="column">
                  <wp:posOffset>121920</wp:posOffset>
                </wp:positionH>
                <wp:positionV relativeFrom="paragraph">
                  <wp:posOffset>2578100</wp:posOffset>
                </wp:positionV>
                <wp:extent cx="5086350" cy="391795"/>
                <wp:effectExtent l="0" t="0" r="19050" b="27305"/>
                <wp:wrapNone/>
                <wp:docPr id="260" name="Rectangle 1"/>
                <wp:cNvGraphicFramePr/>
                <a:graphic xmlns:a="http://schemas.openxmlformats.org/drawingml/2006/main">
                  <a:graphicData uri="http://schemas.microsoft.com/office/word/2010/wordprocessingShape">
                    <wps:wsp>
                      <wps:cNvSpPr/>
                      <wps:spPr>
                        <a:xfrm>
                          <a:off x="0" y="0"/>
                          <a:ext cx="5086350" cy="39179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08E6" w:rsidRPr="00267512" w:rsidRDefault="003208E6" w:rsidP="00267512">
                            <w:pPr>
                              <w:pStyle w:val="NormalWeb"/>
                              <w:spacing w:after="0"/>
                              <w:jc w:val="center"/>
                              <w:rPr>
                                <w:sz w:val="36"/>
                                <w:szCs w:val="36"/>
                              </w:rPr>
                            </w:pPr>
                            <w:r w:rsidRPr="00267512">
                              <w:rPr>
                                <w:rFonts w:ascii="Arial" w:hAnsi="Arial" w:cs="Arial"/>
                                <w:b/>
                                <w:bCs/>
                                <w:color w:val="000000" w:themeColor="text1"/>
                                <w:kern w:val="24"/>
                                <w:sz w:val="36"/>
                                <w:szCs w:val="36"/>
                              </w:rPr>
                              <w:t>Object to be tested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43" style="position:absolute;margin-left:9.6pt;margin-top:203pt;width:400.5pt;height:30.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" fillcolor="#d99594 [1941]" strokecolor="#243f60 [1604]" strokeweight="2pt">
                <v:textbox>
                  <w:txbxContent>
                    <w:p w:rsidR="003208E6" w:rsidRPr="00267512" w:rsidRDefault="003208E6" w:rsidP="00267512">
                      <w:pPr>
                        <w:pStyle w:val="NormalWeb"/>
                        <w:spacing w:after="0"/>
                        <w:jc w:val="center"/>
                        <w:rPr>
                          <w:sz w:val="36"/>
                          <w:szCs w:val="36"/>
                        </w:rPr>
                      </w:pPr>
                      <w:r w:rsidRPr="00267512">
                        <w:rPr>
                          <w:rFonts w:ascii="Arial" w:hAnsi="Arial" w:cs="Arial"/>
                          <w:b/>
                          <w:bCs/>
                          <w:color w:val="000000" w:themeColor="text1"/>
                          <w:kern w:val="24"/>
                          <w:sz w:val="36"/>
                          <w:szCs w:val="36"/>
                        </w:rPr>
                        <w:t>Object to be tested</w:t>
                      </w:r>
                    </w:p>
                  </w:txbxContent>
                </v:textbox>
              </v:rect>
            </w:pict>
          </mc:Fallback>
        </mc:AlternateContent>
      </w:r>
      <w:r w:rsidR="0066306D" w:rsidRPr="00B013ED">
        <w:rPr>
          <w:b/>
          <w:bCs/>
          <w:noProof/>
          <w:lang w:eastAsia="en-GB"/>
        </w:rPr>
        <mc:AlternateContent>
          <mc:Choice Requires="wps">
            <w:drawing>
              <wp:anchor distT="0" distB="0" distL="114300" distR="114300" simplePos="0" relativeHeight="251739136" behindDoc="0" locked="0" layoutInCell="1" allowOverlap="1" wp14:anchorId="3E96951D" wp14:editId="31E33C26">
                <wp:simplePos x="0" y="0"/>
                <wp:positionH relativeFrom="column">
                  <wp:posOffset>950595</wp:posOffset>
                </wp:positionH>
                <wp:positionV relativeFrom="paragraph">
                  <wp:posOffset>501650</wp:posOffset>
                </wp:positionV>
                <wp:extent cx="1501775" cy="245745"/>
                <wp:effectExtent l="0" t="0" r="3175" b="0"/>
                <wp:wrapNone/>
                <wp:docPr id="9" name="Rectangle 6"/>
                <wp:cNvGraphicFramePr/>
                <a:graphic xmlns:a="http://schemas.openxmlformats.org/drawingml/2006/main">
                  <a:graphicData uri="http://schemas.microsoft.com/office/word/2010/wordprocessingShape">
                    <wps:wsp>
                      <wps:cNvSpPr/>
                      <wps:spPr>
                        <a:xfrm>
                          <a:off x="0" y="0"/>
                          <a:ext cx="1501775" cy="245745"/>
                        </a:xfrm>
                        <a:prstGeom prst="rect">
                          <a:avLst/>
                        </a:prstGeom>
                        <a:solidFill>
                          <a:schemeClr val="accent2"/>
                        </a:solidFill>
                      </wps:spPr>
                      <wps:txbx>
                        <w:txbxContent>
                          <w:p w:rsidR="003208E6" w:rsidRPr="00267512" w:rsidRDefault="003208E6" w:rsidP="0066306D">
                            <w:pPr>
                              <w:pStyle w:val="NormalWeb"/>
                              <w:spacing w:after="0"/>
                              <w:jc w:val="center"/>
                              <w:rPr>
                                <w:rFonts w:ascii="Arial" w:hAnsi="Arial" w:cs="Arial"/>
                                <w:color w:val="FFFF00"/>
                                <w14:props3d w14:extrusionH="0" w14:contourW="25400" w14:prstMaterial="matte">
                                  <w14:bevelT w14:w="25400" w14:h="55880" w14:prst="artDeco"/>
                                  <w14:contourClr>
                                    <w14:schemeClr w14:val="accent2">
                                      <w14:tint w14:val="20000"/>
                                    </w14:schemeClr>
                                  </w14:contourClr>
                                </w14:props3d>
                              </w:rPr>
                            </w:pPr>
                            <w:r w:rsidRPr="00267512">
                              <w:rPr>
                                <w:rFonts w:ascii="Arial" w:hAnsi="Arial" w:cs="Arial"/>
                                <w:color w:val="FFFF00"/>
                                <w14:props3d w14:extrusionH="0" w14:contourW="25400" w14:prstMaterial="matte">
                                  <w14:bevelT w14:w="25400" w14:h="55880" w14:prst="artDeco"/>
                                  <w14:contourClr>
                                    <w14:schemeClr w14:val="accent2">
                                      <w14:tint w14:val="20000"/>
                                    </w14:schemeClr>
                                  </w14:contourClr>
                                </w14:props3d>
                              </w:rPr>
                              <w:t>Nano indent</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rect id="Rectangle 6" o:spid="_x0000_s1044" style="position:absolute;margin-left:74.85pt;margin-top:39.5pt;width:118.25pt;height:19.3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" fillcolor="#c0504d [3205]" stroked="f">
                <v:textbox style="mso-fit-shape-to-text:t">
                  <w:txbxContent>
                    <w:p w:rsidR="003208E6" w:rsidRPr="00267512" w:rsidRDefault="003208E6" w:rsidP="0066306D">
                      <w:pPr>
                        <w:pStyle w:val="NormalWeb"/>
                        <w:spacing w:after="0"/>
                        <w:jc w:val="center"/>
                        <w:rPr>
                          <w:rFonts w:ascii="Arial" w:hAnsi="Arial" w:cs="Arial"/>
                          <w:color w:val="FFFF00"/>
                          <w14:props3d w14:extrusionH="0" w14:contourW="25400" w14:prstMaterial="matte">
                            <w14:bevelT w14:w="25400" w14:h="55880" w14:prst="artDeco"/>
                            <w14:contourClr>
                              <w14:schemeClr w14:val="accent2">
                                <w14:tint w14:val="20000"/>
                              </w14:schemeClr>
                            </w14:contourClr>
                          </w14:props3d>
                        </w:rPr>
                      </w:pPr>
                      <w:r w:rsidRPr="00267512">
                        <w:rPr>
                          <w:rFonts w:ascii="Arial" w:hAnsi="Arial" w:cs="Arial"/>
                          <w:color w:val="FFFF00"/>
                          <w14:props3d w14:extrusionH="0" w14:contourW="25400" w14:prstMaterial="matte">
                            <w14:bevelT w14:w="25400" w14:h="55880" w14:prst="artDeco"/>
                            <w14:contourClr>
                              <w14:schemeClr w14:val="accent2">
                                <w14:tint w14:val="20000"/>
                              </w14:schemeClr>
                            </w14:contourClr>
                          </w14:props3d>
                        </w:rPr>
                        <w:t>Nano indent</w:t>
                      </w:r>
                    </w:p>
                  </w:txbxContent>
                </v:textbox>
              </v:rect>
            </w:pict>
          </mc:Fallback>
        </mc:AlternateContent>
      </w:r>
      <w:r w:rsidR="00C00065" w:rsidRPr="00B013ED">
        <w:rPr>
          <w:noProof/>
          <w:lang w:eastAsia="en-GB"/>
        </w:rPr>
        <w:drawing>
          <wp:inline distT="0" distB="0" distL="0" distR="0" wp14:anchorId="758743A3" wp14:editId="613AA924">
            <wp:extent cx="5210175" cy="2971800"/>
            <wp:effectExtent l="0" t="0" r="9525" b="0"/>
            <wp:docPr id="8" name="Picture 8" descr="C:\Users\wageh\Deskto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geh\Desktop\35.jpg"/>
                    <pic:cNvPicPr>
                      <a:picLocks noChangeAspect="1" noChangeArrowheads="1"/>
                    </pic:cNvPicPr>
                  </pic:nvPicPr>
                  <pic:blipFill rotWithShape="1">
                    <a:blip r:embed="rId65">
                      <a:extLst>
                        <a:ext uri="{28A0092B-C50C-407E-A947-70E740481C1C}">
                          <a14:useLocalDpi xmlns:a14="http://schemas.microsoft.com/office/drawing/2010/main" val="0"/>
                        </a:ext>
                      </a:extLst>
                    </a:blip>
                    <a:srcRect r="6495" b="15447"/>
                    <a:stretch/>
                  </pic:blipFill>
                  <pic:spPr bwMode="auto">
                    <a:xfrm>
                      <a:off x="0" y="0"/>
                      <a:ext cx="5221609" cy="2978322"/>
                    </a:xfrm>
                    <a:prstGeom prst="rect">
                      <a:avLst/>
                    </a:prstGeom>
                    <a:noFill/>
                    <a:ln>
                      <a:noFill/>
                    </a:ln>
                    <a:extLst>
                      <a:ext uri="{53640926-AAD7-44D8-BBD7-CCE9431645EC}">
                        <a14:shadowObscured xmlns:a14="http://schemas.microsoft.com/office/drawing/2010/main"/>
                      </a:ext>
                    </a:extLst>
                  </pic:spPr>
                </pic:pic>
              </a:graphicData>
            </a:graphic>
          </wp:inline>
        </w:drawing>
      </w:r>
    </w:p>
    <w:p w:rsidR="00832139" w:rsidRDefault="00832139">
      <w:pPr>
        <w:rPr>
          <w:rFonts w:ascii="Arial" w:eastAsia="Times New Roman" w:hAnsi="Arial" w:cs="Arial"/>
          <w:szCs w:val="24"/>
          <w:lang w:eastAsia="en-GB"/>
        </w:rPr>
      </w:pPr>
      <w:r>
        <w:rPr>
          <w:rFonts w:ascii="Arial" w:eastAsia="Times New Roman" w:hAnsi="Arial" w:cs="Arial"/>
          <w:szCs w:val="24"/>
          <w:lang w:eastAsia="en-GB"/>
        </w:rPr>
        <w:br w:type="page"/>
      </w:r>
    </w:p>
    <w:p w:rsidR="00A37744" w:rsidRPr="00B013ED" w:rsidRDefault="00A37744" w:rsidP="00A37744">
      <w:pPr>
        <w:suppressAutoHyphens/>
        <w:autoSpaceDN w:val="0"/>
        <w:spacing w:after="120" w:line="480" w:lineRule="auto"/>
        <w:jc w:val="both"/>
        <w:textAlignment w:val="baseline"/>
        <w:rPr>
          <w:rFonts w:ascii="Arial" w:eastAsia="Times New Roman" w:hAnsi="Arial" w:cs="Arial"/>
          <w:szCs w:val="24"/>
          <w:lang w:eastAsia="en-GB"/>
        </w:rPr>
      </w:pPr>
    </w:p>
    <w:p w:rsidR="001B5248" w:rsidRPr="00B013ED" w:rsidRDefault="001B5248" w:rsidP="005F0983">
      <w:pPr>
        <w:pStyle w:val="Heading4"/>
        <w:spacing w:line="480" w:lineRule="auto"/>
        <w:rPr>
          <w:rFonts w:eastAsia="Times New Roman"/>
          <w:lang w:eastAsia="en-GB"/>
        </w:rPr>
      </w:pPr>
      <w:r w:rsidRPr="00B013ED">
        <w:rPr>
          <w:rFonts w:eastAsia="Times New Roman"/>
          <w:lang w:eastAsia="en-GB"/>
        </w:rPr>
        <w:t>Surface roughness</w:t>
      </w:r>
    </w:p>
    <w:p w:rsidR="002E15D4" w:rsidRPr="00B013ED" w:rsidRDefault="002E15D4" w:rsidP="002E15D4">
      <w:pPr>
        <w:suppressAutoHyphens/>
        <w:autoSpaceDN w:val="0"/>
        <w:spacing w:after="120" w:line="480" w:lineRule="auto"/>
        <w:jc w:val="both"/>
        <w:textAlignment w:val="baseline"/>
        <w:rPr>
          <w:rFonts w:ascii="Arial" w:eastAsia="Times New Roman" w:hAnsi="Arial" w:cs="Arial"/>
          <w:b/>
          <w:bCs/>
          <w:szCs w:val="24"/>
          <w:lang w:eastAsia="en-GB"/>
        </w:rPr>
      </w:pPr>
      <w:r w:rsidRPr="00B013ED">
        <w:rPr>
          <w:rFonts w:ascii="Arial" w:eastAsia="Times New Roman" w:hAnsi="Arial" w:cs="Arial"/>
          <w:szCs w:val="24"/>
          <w:lang w:eastAsia="en-GB"/>
        </w:rPr>
        <w:t>The surface roughness creates error because the nano</w:t>
      </w:r>
      <w:r>
        <w:rPr>
          <w:rFonts w:ascii="Arial" w:eastAsia="Times New Roman" w:hAnsi="Arial" w:cs="Arial"/>
          <w:szCs w:val="24"/>
          <w:lang w:eastAsia="en-GB"/>
        </w:rPr>
        <w:t>-</w:t>
      </w:r>
      <w:r w:rsidRPr="00B013ED">
        <w:rPr>
          <w:rFonts w:ascii="Arial" w:eastAsia="Times New Roman" w:hAnsi="Arial" w:cs="Arial"/>
          <w:szCs w:val="24"/>
          <w:lang w:eastAsia="en-GB"/>
        </w:rPr>
        <w:t>indenter tip may encounter peaks o</w:t>
      </w:r>
      <w:r w:rsidRPr="002E15D4">
        <w:rPr>
          <w:rFonts w:ascii="Arial" w:eastAsia="Times New Roman" w:hAnsi="Arial" w:cs="Arial"/>
          <w:szCs w:val="24"/>
          <w:lang w:eastAsia="en-GB"/>
        </w:rPr>
        <w:t xml:space="preserve">n the sample surface and prevent the tip from contacting the surface </w:t>
      </w:r>
      <w:r w:rsidR="001B5248" w:rsidRPr="009B236F">
        <w:rPr>
          <w:rFonts w:ascii="Arial" w:eastAsia="Times New Roman" w:hAnsi="Arial" w:cs="Arial"/>
          <w:szCs w:val="24"/>
          <w:lang w:eastAsia="en-GB"/>
        </w:rPr>
        <w:t>(</w:t>
      </w:r>
      <w:r w:rsidR="005F0983" w:rsidRPr="009B236F">
        <w:rPr>
          <w:rFonts w:ascii="Arial" w:eastAsia="Times New Roman" w:hAnsi="Arial" w:cs="Arial"/>
          <w:szCs w:val="24"/>
          <w:lang w:eastAsia="en-GB"/>
        </w:rPr>
        <w:fldChar w:fldCharType="begin"/>
      </w:r>
      <w:r w:rsidR="005F0983" w:rsidRPr="009B236F">
        <w:rPr>
          <w:rFonts w:ascii="Arial" w:eastAsia="Times New Roman" w:hAnsi="Arial" w:cs="Arial"/>
          <w:szCs w:val="24"/>
          <w:lang w:eastAsia="en-GB"/>
        </w:rPr>
        <w:instrText xml:space="preserve"> REF _Ref360481884 \h </w:instrText>
      </w:r>
      <w:r w:rsidRPr="009B236F">
        <w:rPr>
          <w:rFonts w:ascii="Arial" w:eastAsia="Times New Roman" w:hAnsi="Arial" w:cs="Arial"/>
          <w:szCs w:val="24"/>
          <w:lang w:eastAsia="en-GB"/>
        </w:rPr>
        <w:instrText xml:space="preserve"> \* MERGEFORMAT </w:instrText>
      </w:r>
      <w:r w:rsidR="005F0983" w:rsidRPr="009B236F">
        <w:rPr>
          <w:rFonts w:ascii="Arial" w:eastAsia="Times New Roman" w:hAnsi="Arial" w:cs="Arial"/>
          <w:szCs w:val="24"/>
          <w:lang w:eastAsia="en-GB"/>
        </w:rPr>
      </w:r>
      <w:r w:rsidR="005F0983" w:rsidRPr="009B236F">
        <w:rPr>
          <w:rFonts w:ascii="Arial" w:eastAsia="Times New Roman" w:hAnsi="Arial" w:cs="Arial"/>
          <w:szCs w:val="24"/>
          <w:lang w:eastAsia="en-GB"/>
        </w:rPr>
        <w:fldChar w:fldCharType="separate"/>
      </w:r>
      <w:r w:rsidR="00374B77" w:rsidRPr="00374B77">
        <w:rPr>
          <w:rFonts w:ascii="Arial" w:hAnsi="Arial" w:cs="Arial"/>
          <w:szCs w:val="24"/>
        </w:rPr>
        <w:t xml:space="preserve">Figure </w:t>
      </w:r>
      <w:r w:rsidR="00374B77" w:rsidRPr="00374B77">
        <w:rPr>
          <w:rFonts w:ascii="Arial" w:hAnsi="Arial" w:cs="Arial"/>
          <w:noProof/>
          <w:szCs w:val="24"/>
          <w:cs/>
        </w:rPr>
        <w:t>‎</w:t>
      </w:r>
      <w:r w:rsidR="00374B77">
        <w:rPr>
          <w:rFonts w:ascii="Arial" w:hAnsi="Arial" w:cs="Arial"/>
          <w:b/>
          <w:noProof/>
          <w:sz w:val="20"/>
          <w:szCs w:val="20"/>
        </w:rPr>
        <w:t>0.24</w:t>
      </w:r>
      <w:r w:rsidR="005F0983" w:rsidRPr="009B236F">
        <w:rPr>
          <w:rFonts w:ascii="Arial" w:eastAsia="Times New Roman" w:hAnsi="Arial" w:cs="Arial"/>
          <w:szCs w:val="24"/>
          <w:lang w:eastAsia="en-GB"/>
        </w:rPr>
        <w:fldChar w:fldCharType="end"/>
      </w:r>
      <w:r w:rsidR="001B5248" w:rsidRPr="009B236F">
        <w:rPr>
          <w:rFonts w:ascii="Arial" w:eastAsia="Times New Roman" w:hAnsi="Arial" w:cs="Arial"/>
          <w:szCs w:val="24"/>
          <w:lang w:eastAsia="en-GB"/>
        </w:rPr>
        <w:t>).</w:t>
      </w:r>
      <w:r w:rsidR="001B5248" w:rsidRPr="00B013ED">
        <w:rPr>
          <w:rFonts w:ascii="Arial" w:eastAsia="Times New Roman" w:hAnsi="Arial" w:cs="Arial"/>
          <w:szCs w:val="24"/>
          <w:lang w:eastAsia="en-GB"/>
        </w:rPr>
        <w:t xml:space="preserve"> </w:t>
      </w:r>
      <w:r w:rsidRPr="00B013ED">
        <w:rPr>
          <w:rFonts w:ascii="Arial" w:eastAsia="Times New Roman" w:hAnsi="Arial" w:cs="Arial"/>
          <w:szCs w:val="24"/>
          <w:lang w:eastAsia="en-GB"/>
        </w:rPr>
        <w:t>Generally, this is overcome by decreasing the surface roughness by polishing the surface or by increasing the force of indentation so that the peaks cannot support the load of the indenter to give a false surface engagement. When using the nano</w:t>
      </w:r>
      <w:r>
        <w:rPr>
          <w:rFonts w:ascii="Arial" w:eastAsia="Times New Roman" w:hAnsi="Arial" w:cs="Arial"/>
          <w:szCs w:val="24"/>
          <w:lang w:eastAsia="en-GB"/>
        </w:rPr>
        <w:t>-</w:t>
      </w:r>
      <w:r w:rsidRPr="00B013ED">
        <w:rPr>
          <w:rFonts w:ascii="Arial" w:eastAsia="Times New Roman" w:hAnsi="Arial" w:cs="Arial"/>
          <w:szCs w:val="24"/>
          <w:lang w:eastAsia="en-GB"/>
        </w:rPr>
        <w:t>indenter to create a topographic map, however the forces used are very small which implies that unless the sample is highly polished, the image created will be of the smear layer and not of the sample.</w:t>
      </w:r>
    </w:p>
    <w:p w:rsidR="001B5248" w:rsidRPr="00B013ED" w:rsidRDefault="001B5248" w:rsidP="00A37744">
      <w:pPr>
        <w:suppressAutoHyphens/>
        <w:autoSpaceDN w:val="0"/>
        <w:spacing w:after="120" w:line="480" w:lineRule="auto"/>
        <w:jc w:val="both"/>
        <w:textAlignment w:val="baseline"/>
        <w:rPr>
          <w:rFonts w:ascii="Arial" w:eastAsia="Times New Roman" w:hAnsi="Arial" w:cs="Arial"/>
          <w:b/>
          <w:bCs/>
          <w:szCs w:val="24"/>
          <w:lang w:eastAsia="en-GB"/>
        </w:rPr>
      </w:pPr>
    </w:p>
    <w:p w:rsidR="0066306D" w:rsidRPr="002E15D4" w:rsidRDefault="00C67C41" w:rsidP="001D3F19">
      <w:pPr>
        <w:rPr>
          <w:rFonts w:ascii="Arial" w:hAnsi="Arial" w:cs="Arial"/>
          <w:b/>
          <w:sz w:val="20"/>
          <w:szCs w:val="20"/>
          <w:lang w:eastAsia="en-GB"/>
        </w:rPr>
      </w:pPr>
      <w:bookmarkStart w:id="415" w:name="_Ref360481884"/>
      <w:bookmarkStart w:id="416" w:name="_Toc360367439"/>
      <w:bookmarkStart w:id="417" w:name="_Toc361733614"/>
      <w:bookmarkStart w:id="418" w:name="_Toc361734257"/>
      <w:r w:rsidRPr="002E15D4">
        <w:rPr>
          <w:rFonts w:ascii="Arial" w:hAnsi="Arial" w:cs="Arial"/>
          <w:b/>
          <w:sz w:val="20"/>
          <w:szCs w:val="20"/>
        </w:rPr>
        <w:t>Figure</w:t>
      </w:r>
      <w:r w:rsidR="005F0983" w:rsidRPr="002E15D4">
        <w:rPr>
          <w:rFonts w:ascii="Arial" w:hAnsi="Arial" w:cs="Arial"/>
          <w:b/>
          <w:sz w:val="20"/>
          <w:szCs w:val="20"/>
        </w:rPr>
        <w:t xml:space="preserve"> </w:t>
      </w:r>
      <w:r w:rsidR="00DF37B0">
        <w:rPr>
          <w:rFonts w:ascii="Arial" w:hAnsi="Arial" w:cs="Arial"/>
          <w:b/>
          <w:sz w:val="20"/>
          <w:szCs w:val="20"/>
        </w:rPr>
        <w:fldChar w:fldCharType="begin"/>
      </w:r>
      <w:r w:rsidR="00DF37B0">
        <w:rPr>
          <w:rFonts w:ascii="Arial" w:hAnsi="Arial" w:cs="Arial"/>
          <w:b/>
          <w:sz w:val="20"/>
          <w:szCs w:val="20"/>
        </w:rPr>
        <w:instrText xml:space="preserve"> STYLEREF 1 \s </w:instrText>
      </w:r>
      <w:r w:rsidR="00DF37B0">
        <w:rPr>
          <w:rFonts w:ascii="Arial" w:hAnsi="Arial" w:cs="Arial"/>
          <w:b/>
          <w:sz w:val="20"/>
          <w:szCs w:val="20"/>
        </w:rPr>
        <w:fldChar w:fldCharType="separate"/>
      </w:r>
      <w:r w:rsidR="00374B77">
        <w:rPr>
          <w:rFonts w:ascii="Arial" w:hAnsi="Arial" w:cs="Arial"/>
          <w:b/>
          <w:noProof/>
          <w:sz w:val="20"/>
          <w:szCs w:val="20"/>
          <w:cs/>
        </w:rPr>
        <w:t>‎</w:t>
      </w:r>
      <w:r w:rsidR="00374B77">
        <w:rPr>
          <w:rFonts w:ascii="Arial" w:hAnsi="Arial" w:cs="Arial"/>
          <w:b/>
          <w:noProof/>
          <w:sz w:val="20"/>
          <w:szCs w:val="20"/>
        </w:rPr>
        <w:t>0</w:t>
      </w:r>
      <w:r w:rsidR="00DF37B0">
        <w:rPr>
          <w:rFonts w:ascii="Arial" w:hAnsi="Arial" w:cs="Arial"/>
          <w:b/>
          <w:sz w:val="20"/>
          <w:szCs w:val="20"/>
        </w:rPr>
        <w:fldChar w:fldCharType="end"/>
      </w:r>
      <w:r w:rsidR="00DF37B0">
        <w:rPr>
          <w:rFonts w:ascii="Arial" w:hAnsi="Arial" w:cs="Arial"/>
          <w:b/>
          <w:sz w:val="20"/>
          <w:szCs w:val="20"/>
        </w:rPr>
        <w:t>.</w:t>
      </w:r>
      <w:r w:rsidR="00DF37B0">
        <w:rPr>
          <w:rFonts w:ascii="Arial" w:hAnsi="Arial" w:cs="Arial"/>
          <w:b/>
          <w:sz w:val="20"/>
          <w:szCs w:val="20"/>
        </w:rPr>
        <w:fldChar w:fldCharType="begin"/>
      </w:r>
      <w:r w:rsidR="00DF37B0">
        <w:rPr>
          <w:rFonts w:ascii="Arial" w:hAnsi="Arial" w:cs="Arial"/>
          <w:b/>
          <w:sz w:val="20"/>
          <w:szCs w:val="20"/>
        </w:rPr>
        <w:instrText xml:space="preserve"> SEQ Figure \* ARABIC \s 1 </w:instrText>
      </w:r>
      <w:r w:rsidR="00DF37B0">
        <w:rPr>
          <w:rFonts w:ascii="Arial" w:hAnsi="Arial" w:cs="Arial"/>
          <w:b/>
          <w:sz w:val="20"/>
          <w:szCs w:val="20"/>
        </w:rPr>
        <w:fldChar w:fldCharType="separate"/>
      </w:r>
      <w:r w:rsidR="00374B77">
        <w:rPr>
          <w:rFonts w:ascii="Arial" w:hAnsi="Arial" w:cs="Arial"/>
          <w:b/>
          <w:noProof/>
          <w:sz w:val="20"/>
          <w:szCs w:val="20"/>
        </w:rPr>
        <w:t>24</w:t>
      </w:r>
      <w:r w:rsidR="00DF37B0">
        <w:rPr>
          <w:rFonts w:ascii="Arial" w:hAnsi="Arial" w:cs="Arial"/>
          <w:b/>
          <w:sz w:val="20"/>
          <w:szCs w:val="20"/>
        </w:rPr>
        <w:fldChar w:fldCharType="end"/>
      </w:r>
      <w:bookmarkEnd w:id="415"/>
      <w:r w:rsidR="005F0983" w:rsidRPr="002E15D4">
        <w:rPr>
          <w:rFonts w:ascii="Arial" w:hAnsi="Arial" w:cs="Arial"/>
          <w:b/>
          <w:sz w:val="20"/>
          <w:szCs w:val="20"/>
        </w:rPr>
        <w:t xml:space="preserve"> </w:t>
      </w:r>
      <w:bookmarkEnd w:id="416"/>
      <w:r w:rsidR="002E15D4" w:rsidRPr="002E15D4">
        <w:rPr>
          <w:rFonts w:ascii="Arial" w:hAnsi="Arial" w:cs="Arial"/>
          <w:b/>
          <w:sz w:val="20"/>
          <w:szCs w:val="20"/>
        </w:rPr>
        <w:t>This image illustrates how the surface roughness affects the nano-indentation measurement</w:t>
      </w:r>
      <w:bookmarkEnd w:id="417"/>
      <w:bookmarkEnd w:id="418"/>
    </w:p>
    <w:p w:rsidR="001B5248" w:rsidRPr="00B013ED" w:rsidRDefault="0066306D" w:rsidP="00A37744">
      <w:pPr>
        <w:suppressAutoHyphens/>
        <w:autoSpaceDN w:val="0"/>
        <w:spacing w:after="120" w:line="480" w:lineRule="auto"/>
        <w:jc w:val="both"/>
        <w:textAlignment w:val="baseline"/>
        <w:rPr>
          <w:rFonts w:ascii="Arial" w:eastAsia="Times New Roman" w:hAnsi="Arial" w:cs="Arial"/>
          <w:b/>
          <w:bCs/>
          <w:szCs w:val="24"/>
          <w:lang w:eastAsia="en-GB"/>
        </w:rPr>
      </w:pPr>
      <w:r w:rsidRPr="00B013ED">
        <w:rPr>
          <w:rFonts w:eastAsia="Times New Roman"/>
          <w:noProof/>
          <w:lang w:eastAsia="en-GB"/>
        </w:rPr>
        <w:drawing>
          <wp:anchor distT="0" distB="0" distL="114300" distR="114300" simplePos="0" relativeHeight="251740160" behindDoc="0" locked="0" layoutInCell="1" allowOverlap="1" wp14:anchorId="2277BDB2" wp14:editId="66B5138E">
            <wp:simplePos x="0" y="0"/>
            <wp:positionH relativeFrom="column">
              <wp:posOffset>876300</wp:posOffset>
            </wp:positionH>
            <wp:positionV relativeFrom="paragraph">
              <wp:posOffset>247015</wp:posOffset>
            </wp:positionV>
            <wp:extent cx="3690620" cy="3057525"/>
            <wp:effectExtent l="0" t="0" r="5080" b="9525"/>
            <wp:wrapSquare wrapText="bothSides"/>
            <wp:docPr id="267" name="Picture 267" descr="C:\Users\wageh\Deskto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geh\Desktop\35.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21797" t="15078" r="16140" b="16370"/>
                    <a:stretch/>
                  </pic:blipFill>
                  <pic:spPr bwMode="auto">
                    <a:xfrm>
                      <a:off x="0" y="0"/>
                      <a:ext cx="3690620"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5248" w:rsidRPr="00B013ED" w:rsidRDefault="001B5248" w:rsidP="00A37744">
      <w:pPr>
        <w:suppressAutoHyphens/>
        <w:autoSpaceDN w:val="0"/>
        <w:spacing w:after="120" w:line="480" w:lineRule="auto"/>
        <w:jc w:val="both"/>
        <w:textAlignment w:val="baseline"/>
        <w:rPr>
          <w:rFonts w:ascii="Arial" w:eastAsia="Times New Roman" w:hAnsi="Arial" w:cs="Arial"/>
          <w:b/>
          <w:bCs/>
          <w:szCs w:val="24"/>
          <w:lang w:eastAsia="en-GB"/>
        </w:rPr>
      </w:pPr>
    </w:p>
    <w:p w:rsidR="001B5248" w:rsidRPr="00B013ED" w:rsidRDefault="001B5248" w:rsidP="00A37744">
      <w:pPr>
        <w:suppressAutoHyphens/>
        <w:autoSpaceDN w:val="0"/>
        <w:spacing w:after="120" w:line="480" w:lineRule="auto"/>
        <w:jc w:val="both"/>
        <w:textAlignment w:val="baseline"/>
        <w:rPr>
          <w:rFonts w:ascii="Arial" w:eastAsia="Times New Roman" w:hAnsi="Arial" w:cs="Arial"/>
          <w:b/>
          <w:bCs/>
          <w:szCs w:val="24"/>
          <w:lang w:eastAsia="en-GB"/>
        </w:rPr>
      </w:pPr>
    </w:p>
    <w:p w:rsidR="001B5248" w:rsidRPr="00B013ED" w:rsidRDefault="001B5248" w:rsidP="00A37744">
      <w:pPr>
        <w:suppressAutoHyphens/>
        <w:autoSpaceDN w:val="0"/>
        <w:spacing w:after="120" w:line="480" w:lineRule="auto"/>
        <w:jc w:val="both"/>
        <w:textAlignment w:val="baseline"/>
        <w:rPr>
          <w:rFonts w:ascii="Arial" w:eastAsia="Times New Roman" w:hAnsi="Arial" w:cs="Arial"/>
          <w:b/>
          <w:bCs/>
          <w:szCs w:val="24"/>
          <w:lang w:eastAsia="en-GB"/>
        </w:rPr>
      </w:pPr>
    </w:p>
    <w:p w:rsidR="001B5248" w:rsidRPr="00B013ED" w:rsidRDefault="001B5248" w:rsidP="00A37744">
      <w:pPr>
        <w:suppressAutoHyphens/>
        <w:autoSpaceDN w:val="0"/>
        <w:spacing w:after="120" w:line="480" w:lineRule="auto"/>
        <w:jc w:val="both"/>
        <w:textAlignment w:val="baseline"/>
        <w:rPr>
          <w:rFonts w:ascii="Arial" w:eastAsia="Times New Roman" w:hAnsi="Arial" w:cs="Arial"/>
          <w:b/>
          <w:bCs/>
          <w:szCs w:val="24"/>
          <w:lang w:eastAsia="en-GB"/>
        </w:rPr>
      </w:pPr>
    </w:p>
    <w:p w:rsidR="001B5248" w:rsidRPr="00B013ED" w:rsidRDefault="001B5248" w:rsidP="00A37744">
      <w:pPr>
        <w:suppressAutoHyphens/>
        <w:autoSpaceDN w:val="0"/>
        <w:spacing w:after="120" w:line="480" w:lineRule="auto"/>
        <w:jc w:val="both"/>
        <w:textAlignment w:val="baseline"/>
        <w:rPr>
          <w:rFonts w:ascii="Arial" w:eastAsia="Times New Roman" w:hAnsi="Arial" w:cs="Arial"/>
          <w:b/>
          <w:bCs/>
          <w:szCs w:val="24"/>
          <w:lang w:eastAsia="en-GB"/>
        </w:rPr>
      </w:pPr>
    </w:p>
    <w:p w:rsidR="001B5248" w:rsidRPr="00B013ED" w:rsidRDefault="001B5248">
      <w:pPr>
        <w:rPr>
          <w:rFonts w:eastAsia="Times New Roman"/>
          <w:b/>
          <w:bCs/>
          <w:szCs w:val="26"/>
          <w:lang w:eastAsia="en-GB"/>
        </w:rPr>
      </w:pPr>
      <w:r w:rsidRPr="00B013ED">
        <w:rPr>
          <w:rFonts w:eastAsia="Times New Roman"/>
          <w:lang w:eastAsia="en-GB"/>
        </w:rPr>
        <w:br w:type="page"/>
      </w:r>
    </w:p>
    <w:p w:rsidR="00A37744" w:rsidRDefault="00A37744" w:rsidP="005F0983">
      <w:pPr>
        <w:pStyle w:val="Heading3"/>
        <w:spacing w:line="480" w:lineRule="auto"/>
        <w:jc w:val="both"/>
        <w:rPr>
          <w:rFonts w:eastAsia="Times New Roman"/>
          <w:lang w:eastAsia="en-GB"/>
        </w:rPr>
      </w:pPr>
      <w:bookmarkStart w:id="419" w:name="_Toc370819250"/>
      <w:r w:rsidRPr="00B013ED">
        <w:rPr>
          <w:rFonts w:eastAsia="Times New Roman"/>
          <w:lang w:eastAsia="en-GB"/>
        </w:rPr>
        <w:lastRenderedPageBreak/>
        <w:t>Dentine Hardness and Modulus of Elasticity</w:t>
      </w:r>
      <w:bookmarkEnd w:id="419"/>
      <w:r w:rsidRPr="00B013ED">
        <w:rPr>
          <w:rFonts w:eastAsia="Times New Roman"/>
          <w:lang w:eastAsia="en-GB"/>
        </w:rPr>
        <w:t xml:space="preserve"> </w:t>
      </w:r>
    </w:p>
    <w:p w:rsidR="0044404A" w:rsidRPr="009B236F" w:rsidRDefault="0044404A" w:rsidP="0044404A">
      <w:pPr>
        <w:suppressAutoHyphens/>
        <w:autoSpaceDN w:val="0"/>
        <w:spacing w:after="120" w:line="480" w:lineRule="auto"/>
        <w:jc w:val="both"/>
        <w:textAlignment w:val="baseline"/>
        <w:rPr>
          <w:rFonts w:eastAsia="Times New Roman" w:cstheme="minorBidi"/>
          <w:szCs w:val="24"/>
          <w:lang w:eastAsia="en-GB"/>
        </w:rPr>
      </w:pPr>
      <w:r w:rsidRPr="009B236F">
        <w:rPr>
          <w:rFonts w:eastAsia="Times New Roman" w:cstheme="minorBidi"/>
          <w:szCs w:val="24"/>
          <w:lang w:eastAsia="en-GB"/>
        </w:rPr>
        <w:t xml:space="preserve">Nano-indentation seems to have been used in many recent studies on the mechanical properties of calcified hard tissue (Angker and Swain, 2006). This sensitive method allows the researcher a better way to measure the mechanical properties, hardness and Young’s modulus for dentine (Chng </w:t>
      </w:r>
      <w:r w:rsidRPr="009B236F">
        <w:rPr>
          <w:rFonts w:eastAsia="Times New Roman" w:cstheme="minorBidi"/>
          <w:i/>
          <w:iCs/>
          <w:szCs w:val="24"/>
          <w:lang w:eastAsia="en-GB"/>
        </w:rPr>
        <w:t>et al.,</w:t>
      </w:r>
      <w:r w:rsidRPr="009B236F">
        <w:rPr>
          <w:rFonts w:eastAsia="Times New Roman" w:cstheme="minorBidi"/>
          <w:szCs w:val="24"/>
          <w:lang w:eastAsia="en-GB"/>
        </w:rPr>
        <w:t xml:space="preserve"> 2002).</w:t>
      </w:r>
    </w:p>
    <w:p w:rsidR="0044404A" w:rsidRPr="009B236F" w:rsidRDefault="0044404A" w:rsidP="00DD32D5">
      <w:pPr>
        <w:suppressAutoHyphens/>
        <w:autoSpaceDN w:val="0"/>
        <w:spacing w:after="120" w:line="480" w:lineRule="auto"/>
        <w:jc w:val="both"/>
        <w:textAlignment w:val="baseline"/>
        <w:rPr>
          <w:rFonts w:eastAsia="Times New Roman" w:cstheme="minorBidi"/>
          <w:szCs w:val="24"/>
          <w:lang w:eastAsia="en-GB"/>
        </w:rPr>
      </w:pPr>
      <w:r w:rsidRPr="009B236F">
        <w:rPr>
          <w:rFonts w:eastAsia="Times New Roman" w:cstheme="minorBidi"/>
          <w:szCs w:val="24"/>
          <w:lang w:eastAsia="en-GB"/>
        </w:rPr>
        <w:t xml:space="preserve">The nano-indentation technique is a non-destructive, simple procedure compared with others and sample preparation is less time consuming. It does require the surface to be measured to be flat and smooth (Angker and Swain, 2006). In this study because the samples were semi-spherical we embedded the samples in composite resin to enable us to have a flat top surface, to facilitate measurement. The Dental Institute technology laboratory constructed a metal die for this purpose which though never used before was ideal to hold small samples for nano-indentation measurement. A small hole placed in the bottom of the die enabled us to remove the composite block holding the dentine slab without any damage to the surface that was to be measured.  Also, we did not use the “top” surface for hardness measurement and preferred to use the surface on one side after cutting through the composite block. The reason for this was that on SEM examination, (Twati </w:t>
      </w:r>
      <w:r w:rsidRPr="009B236F">
        <w:rPr>
          <w:rFonts w:eastAsia="Times New Roman" w:cstheme="minorBidi"/>
          <w:i/>
          <w:szCs w:val="24"/>
          <w:lang w:eastAsia="en-GB"/>
        </w:rPr>
        <w:t>et al.,</w:t>
      </w:r>
      <w:r w:rsidRPr="009B236F">
        <w:rPr>
          <w:rFonts w:eastAsia="Times New Roman" w:cstheme="minorBidi"/>
          <w:szCs w:val="24"/>
          <w:lang w:eastAsia="en-GB"/>
        </w:rPr>
        <w:t xml:space="preserve"> 2009)</w:t>
      </w:r>
      <w:proofErr w:type="gramStart"/>
      <w:r w:rsidRPr="009B236F">
        <w:rPr>
          <w:rFonts w:eastAsia="Times New Roman" w:cstheme="minorBidi"/>
          <w:szCs w:val="24"/>
          <w:lang w:eastAsia="en-GB"/>
        </w:rPr>
        <w:t>,</w:t>
      </w:r>
      <w:proofErr w:type="gramEnd"/>
      <w:r w:rsidRPr="009B236F">
        <w:rPr>
          <w:rFonts w:eastAsia="Times New Roman" w:cstheme="minorBidi"/>
          <w:szCs w:val="24"/>
          <w:lang w:eastAsia="en-GB"/>
        </w:rPr>
        <w:t xml:space="preserve"> it was found that the exposed top surface was covered by a smear layer which was about 10–15 microns which could have affected the results. The “side” surface had a smear layer but was less than 5 microns thick and was acceptable for measurement. Also, the storage medium could have an influenced the dentine properties and hardness (Habelitz </w:t>
      </w:r>
      <w:r w:rsidRPr="009B236F">
        <w:rPr>
          <w:rFonts w:eastAsia="Times New Roman" w:cstheme="minorBidi"/>
          <w:i/>
          <w:iCs/>
          <w:szCs w:val="24"/>
          <w:lang w:eastAsia="en-GB"/>
        </w:rPr>
        <w:t>et al.,</w:t>
      </w:r>
      <w:r w:rsidRPr="009B236F">
        <w:rPr>
          <w:rFonts w:eastAsia="Times New Roman" w:cstheme="minorBidi"/>
          <w:szCs w:val="24"/>
          <w:lang w:eastAsia="en-GB"/>
        </w:rPr>
        <w:t xml:space="preserve"> 2000). Samples in this study were kept in a humid environment by putting soaked </w:t>
      </w:r>
      <w:r w:rsidRPr="009B236F">
        <w:rPr>
          <w:rFonts w:eastAsia="Times New Roman" w:cstheme="minorBidi"/>
          <w:szCs w:val="24"/>
          <w:lang w:eastAsia="en-GB"/>
        </w:rPr>
        <w:lastRenderedPageBreak/>
        <w:t xml:space="preserve">gauze of saline in every Petri dish which was changed every week. All Petri dishes containing the samples were kept in an incubator at 37°C to replicate oral temperature. Balooch </w:t>
      </w:r>
      <w:r w:rsidRPr="009B236F">
        <w:rPr>
          <w:rFonts w:eastAsia="Times New Roman" w:cstheme="minorBidi"/>
          <w:i/>
          <w:iCs/>
          <w:szCs w:val="24"/>
          <w:lang w:eastAsia="en-GB"/>
        </w:rPr>
        <w:t>et al.</w:t>
      </w:r>
      <w:r w:rsidRPr="009B236F">
        <w:rPr>
          <w:rFonts w:eastAsia="Times New Roman" w:cstheme="minorBidi"/>
          <w:szCs w:val="24"/>
          <w:lang w:eastAsia="en-GB"/>
        </w:rPr>
        <w:t xml:space="preserve"> (1998) stated that non-hydrated dentine had a higher hardness and elasticity compared to hydrated dentine. Therefore by creating a humid environment in this model we ensured dentine hydration which would allow some extrapolation of the results to clinical situations (Angker and </w:t>
      </w:r>
      <w:proofErr w:type="gramStart"/>
      <w:r w:rsidRPr="009B236F">
        <w:rPr>
          <w:rFonts w:eastAsia="Times New Roman" w:cstheme="minorBidi"/>
          <w:szCs w:val="24"/>
          <w:lang w:eastAsia="en-GB"/>
        </w:rPr>
        <w:t>Swain.,</w:t>
      </w:r>
      <w:proofErr w:type="gramEnd"/>
      <w:r w:rsidRPr="009B236F">
        <w:rPr>
          <w:rFonts w:eastAsia="Times New Roman" w:cstheme="minorBidi"/>
          <w:szCs w:val="24"/>
          <w:lang w:eastAsia="en-GB"/>
        </w:rPr>
        <w:t xml:space="preserve"> 2006).   The choice of the type of indenter is also important.  Angker and Swain (2006) have shown that a 5-20µm spherical indenter is more reliable for the investigation of the enamel and dentine elasticity.  This was also used in this study.</w:t>
      </w:r>
    </w:p>
    <w:p w:rsidR="0044404A" w:rsidRPr="009B236F" w:rsidRDefault="0044404A" w:rsidP="0044404A">
      <w:pPr>
        <w:suppressAutoHyphens/>
        <w:autoSpaceDN w:val="0"/>
        <w:spacing w:after="120" w:line="480" w:lineRule="auto"/>
        <w:jc w:val="both"/>
        <w:textAlignment w:val="baseline"/>
        <w:rPr>
          <w:rFonts w:eastAsia="Times New Roman" w:cstheme="minorBidi"/>
          <w:szCs w:val="24"/>
          <w:lang w:eastAsia="en-GB"/>
        </w:rPr>
      </w:pPr>
      <w:r w:rsidRPr="009B236F">
        <w:rPr>
          <w:rFonts w:eastAsia="Times New Roman" w:cstheme="minorBidi"/>
          <w:szCs w:val="24"/>
          <w:lang w:eastAsia="en-GB"/>
        </w:rPr>
        <w:t>Map scan of mechanical properties shows significant decrease in hardness and modules of elasticity, on dentine slabs after treatment with both NSCH and MTA, which was time dependant. However MTA exhibited the worst softening after eight months of application on dentine. The impact test in this study shows that the samples treated with MTA could not withstand a 15 mN load against time which implies sample softening which could be due to high pH.  One possible reason for this is that the pH of MTA is maintained at an alkaline level for a much longer period compared with NSCH (Parirokh and Torabinejad, 2010).</w:t>
      </w:r>
    </w:p>
    <w:p w:rsidR="0044404A" w:rsidRPr="00A37744" w:rsidRDefault="0044404A" w:rsidP="0044404A">
      <w:pPr>
        <w:suppressAutoHyphens/>
        <w:autoSpaceDN w:val="0"/>
        <w:spacing w:after="120" w:line="480" w:lineRule="auto"/>
        <w:jc w:val="both"/>
        <w:textAlignment w:val="baseline"/>
        <w:rPr>
          <w:rFonts w:ascii="Arial" w:eastAsia="Times New Roman" w:hAnsi="Arial" w:cs="Arial"/>
          <w:szCs w:val="24"/>
          <w:lang w:eastAsia="en-GB"/>
        </w:rPr>
      </w:pPr>
      <w:r w:rsidRPr="009B236F">
        <w:rPr>
          <w:rFonts w:eastAsia="Times New Roman" w:cstheme="minorBidi"/>
          <w:szCs w:val="24"/>
          <w:lang w:eastAsia="en-GB"/>
        </w:rPr>
        <w:t xml:space="preserve">It is clear from the results of nano-indentation that the hardness of dentine was significantly lower in both groups where NSCH and MTA were applied as compared with the controls after eight months.  A reduction of roughly 39% in NSCH and 48% in MTA was observed compared to control group mean. This difference was even more significant when the results were compared after eight months.  After eight months the hardness values for the experimental </w:t>
      </w:r>
      <w:r w:rsidRPr="009B236F">
        <w:rPr>
          <w:rFonts w:eastAsia="Times New Roman" w:cstheme="minorBidi"/>
          <w:szCs w:val="24"/>
          <w:lang w:eastAsia="en-GB"/>
        </w:rPr>
        <w:lastRenderedPageBreak/>
        <w:t>groups were significantly less than the control group. Modulus of elasticity of the</w:t>
      </w:r>
      <w:r w:rsidRPr="001B5248">
        <w:rPr>
          <w:rFonts w:ascii="Arial" w:eastAsia="Times New Roman" w:hAnsi="Arial" w:cs="Arial"/>
          <w:szCs w:val="24"/>
          <w:lang w:eastAsia="en-GB"/>
        </w:rPr>
        <w:t xml:space="preserve"> </w:t>
      </w:r>
      <w:r w:rsidRPr="009B236F">
        <w:rPr>
          <w:rFonts w:eastAsia="Times New Roman" w:cstheme="minorBidi"/>
          <w:szCs w:val="24"/>
          <w:lang w:eastAsia="en-GB"/>
        </w:rPr>
        <w:t xml:space="preserve">experimental groups was also similarly less than that of the controls with more negative effect with the MTA group. A decreased hardness and a reduced modulus of elasticity would signify a compromised dentine fracture resistance.  One of the reasons that MTA had a more negative effect on dentine was because NSCH stops releasing calcium ions after one month. </w:t>
      </w:r>
      <w:proofErr w:type="gramStart"/>
      <w:r w:rsidRPr="009B236F">
        <w:rPr>
          <w:rFonts w:eastAsia="Times New Roman" w:cstheme="minorBidi"/>
          <w:szCs w:val="24"/>
          <w:lang w:eastAsia="en-GB"/>
        </w:rPr>
        <w:t xml:space="preserve">(Duarte </w:t>
      </w:r>
      <w:r w:rsidRPr="009B236F">
        <w:rPr>
          <w:rFonts w:eastAsia="Times New Roman" w:cstheme="minorBidi"/>
          <w:i/>
          <w:iCs/>
          <w:szCs w:val="24"/>
          <w:lang w:eastAsia="en-GB"/>
        </w:rPr>
        <w:t>et al.,</w:t>
      </w:r>
      <w:r w:rsidRPr="009B236F">
        <w:rPr>
          <w:rFonts w:eastAsia="Times New Roman" w:cstheme="minorBidi"/>
          <w:szCs w:val="24"/>
          <w:lang w:eastAsia="en-GB"/>
        </w:rPr>
        <w:t xml:space="preserve"> 2009).</w:t>
      </w:r>
      <w:proofErr w:type="gramEnd"/>
      <w:r w:rsidRPr="009B236F">
        <w:rPr>
          <w:rFonts w:eastAsia="Times New Roman" w:cstheme="minorBidi"/>
          <w:szCs w:val="24"/>
          <w:lang w:eastAsia="en-GB"/>
        </w:rPr>
        <w:t xml:space="preserve"> However</w:t>
      </w:r>
      <w:proofErr w:type="gramStart"/>
      <w:r w:rsidRPr="009B236F">
        <w:rPr>
          <w:rFonts w:eastAsia="Times New Roman" w:cstheme="minorBidi"/>
          <w:szCs w:val="24"/>
          <w:lang w:eastAsia="en-GB"/>
        </w:rPr>
        <w:t>,MTA</w:t>
      </w:r>
      <w:proofErr w:type="gramEnd"/>
      <w:r w:rsidRPr="009B236F">
        <w:rPr>
          <w:rFonts w:eastAsia="Times New Roman" w:cstheme="minorBidi"/>
          <w:szCs w:val="24"/>
          <w:lang w:eastAsia="en-GB"/>
        </w:rPr>
        <w:t xml:space="preserve">  reached it’s peak of releasing calcium ions after 48 hours and maintained releasing </w:t>
      </w:r>
      <w:r w:rsidR="00DD32D5">
        <w:rPr>
          <w:rFonts w:eastAsia="Times New Roman" w:cstheme="minorBidi"/>
          <w:szCs w:val="24"/>
          <w:lang w:eastAsia="en-GB"/>
        </w:rPr>
        <w:t>c</w:t>
      </w:r>
      <w:r w:rsidRPr="009B236F">
        <w:rPr>
          <w:rFonts w:eastAsia="Times New Roman" w:cstheme="minorBidi"/>
          <w:szCs w:val="24"/>
          <w:lang w:eastAsia="en-GB"/>
        </w:rPr>
        <w:t xml:space="preserve">alcium hydroxide ions even after one month (Massi </w:t>
      </w:r>
      <w:r w:rsidRPr="009B236F">
        <w:rPr>
          <w:rFonts w:eastAsia="Times New Roman" w:cstheme="minorBidi"/>
          <w:i/>
          <w:iCs/>
          <w:szCs w:val="24"/>
          <w:lang w:eastAsia="en-GB"/>
        </w:rPr>
        <w:t>et al.,</w:t>
      </w:r>
      <w:r w:rsidRPr="009B236F">
        <w:rPr>
          <w:rFonts w:eastAsia="Times New Roman" w:cstheme="minorBidi"/>
          <w:szCs w:val="24"/>
          <w:lang w:eastAsia="en-GB"/>
        </w:rPr>
        <w:t xml:space="preserve"> 2011). Also comparing pH values at different periods of time, White MTA</w:t>
      </w:r>
      <w:r w:rsidR="00DD32D5">
        <w:rPr>
          <w:rFonts w:eastAsia="Times New Roman" w:cstheme="minorBidi"/>
          <w:szCs w:val="24"/>
          <w:lang w:eastAsia="en-GB"/>
        </w:rPr>
        <w:t xml:space="preserve"> (WMTA)</w:t>
      </w:r>
      <w:r w:rsidRPr="009B236F">
        <w:rPr>
          <w:rFonts w:eastAsia="Times New Roman" w:cstheme="minorBidi"/>
          <w:szCs w:val="24"/>
          <w:lang w:eastAsia="en-GB"/>
        </w:rPr>
        <w:t xml:space="preserve"> exhibited significantly higher pH values than Grey MTA</w:t>
      </w:r>
      <w:r w:rsidR="00DD32D5">
        <w:rPr>
          <w:rFonts w:eastAsia="Times New Roman" w:cstheme="minorBidi"/>
          <w:szCs w:val="24"/>
          <w:lang w:eastAsia="en-GB"/>
        </w:rPr>
        <w:t xml:space="preserve"> (GMTA)</w:t>
      </w:r>
      <w:r w:rsidRPr="009B236F">
        <w:rPr>
          <w:rFonts w:eastAsia="Times New Roman" w:cstheme="minorBidi"/>
          <w:szCs w:val="24"/>
          <w:lang w:eastAsia="en-GB"/>
        </w:rPr>
        <w:t xml:space="preserve"> and Portland </w:t>
      </w:r>
      <w:r w:rsidR="00DD32D5">
        <w:rPr>
          <w:rFonts w:eastAsia="Times New Roman" w:cstheme="minorBidi"/>
          <w:szCs w:val="24"/>
          <w:lang w:eastAsia="en-GB"/>
        </w:rPr>
        <w:t>C</w:t>
      </w:r>
      <w:r w:rsidRPr="009B236F">
        <w:rPr>
          <w:rFonts w:eastAsia="Times New Roman" w:cstheme="minorBidi"/>
          <w:szCs w:val="24"/>
          <w:lang w:eastAsia="en-GB"/>
        </w:rPr>
        <w:t>ement</w:t>
      </w:r>
      <w:r w:rsidR="00DD32D5">
        <w:rPr>
          <w:rFonts w:eastAsia="Times New Roman" w:cstheme="minorBidi"/>
          <w:szCs w:val="24"/>
          <w:lang w:eastAsia="en-GB"/>
        </w:rPr>
        <w:t xml:space="preserve"> (PC)</w:t>
      </w:r>
      <w:r w:rsidRPr="009B236F">
        <w:rPr>
          <w:rFonts w:eastAsia="Times New Roman" w:cstheme="minorBidi"/>
          <w:szCs w:val="24"/>
          <w:lang w:eastAsia="en-GB"/>
        </w:rPr>
        <w:t xml:space="preserve"> immediately after mixing (Islam </w:t>
      </w:r>
      <w:r w:rsidRPr="009B236F">
        <w:rPr>
          <w:rFonts w:eastAsia="Times New Roman" w:cstheme="minorBidi"/>
          <w:i/>
          <w:iCs/>
          <w:szCs w:val="24"/>
          <w:lang w:eastAsia="en-GB"/>
        </w:rPr>
        <w:t>et al.,</w:t>
      </w:r>
      <w:r w:rsidRPr="009B236F">
        <w:rPr>
          <w:rFonts w:eastAsia="Times New Roman" w:cstheme="minorBidi"/>
          <w:szCs w:val="24"/>
          <w:lang w:eastAsia="en-GB"/>
        </w:rPr>
        <w:t xml:space="preserve"> 2006). However, 30 minutes after mixing, no statistical difference could be found among the materials. At 60 minutes, GMTA had a significantly lower pH value than WMTA and PC (Islam </w:t>
      </w:r>
      <w:r w:rsidRPr="009B236F">
        <w:rPr>
          <w:rFonts w:eastAsia="Times New Roman" w:cstheme="minorBidi"/>
          <w:i/>
          <w:iCs/>
          <w:szCs w:val="24"/>
          <w:lang w:eastAsia="en-GB"/>
        </w:rPr>
        <w:t>et al.,</w:t>
      </w:r>
      <w:r w:rsidRPr="009B236F">
        <w:rPr>
          <w:rFonts w:eastAsia="Times New Roman" w:cstheme="minorBidi"/>
          <w:szCs w:val="24"/>
          <w:lang w:eastAsia="en-GB"/>
        </w:rPr>
        <w:t xml:space="preserve"> 2006). Available data show that mixing MTA with water results in the formation of CH and a high pH environment (Parirokh and </w:t>
      </w:r>
      <w:proofErr w:type="gramStart"/>
      <w:r w:rsidRPr="009B236F">
        <w:rPr>
          <w:rFonts w:eastAsia="Times New Roman" w:cstheme="minorBidi"/>
          <w:szCs w:val="24"/>
          <w:lang w:eastAsia="en-GB"/>
        </w:rPr>
        <w:t>Torabinejad.,</w:t>
      </w:r>
      <w:proofErr w:type="gramEnd"/>
      <w:r w:rsidRPr="009B236F">
        <w:rPr>
          <w:rFonts w:eastAsia="Times New Roman" w:cstheme="minorBidi"/>
          <w:szCs w:val="24"/>
          <w:lang w:eastAsia="en-GB"/>
        </w:rPr>
        <w:t xml:space="preserve"> 2010).</w:t>
      </w:r>
    </w:p>
    <w:p w:rsidR="0044404A" w:rsidRDefault="0044404A" w:rsidP="0044404A">
      <w:pPr>
        <w:jc w:val="both"/>
        <w:rPr>
          <w:rFonts w:ascii="Arial" w:eastAsia="Times New Roman" w:hAnsi="Arial" w:cs="Arial"/>
          <w:b/>
          <w:bCs/>
          <w:szCs w:val="24"/>
          <w:lang w:eastAsia="en-GB"/>
        </w:rPr>
      </w:pPr>
      <w:r>
        <w:rPr>
          <w:rFonts w:ascii="Arial" w:eastAsia="Times New Roman" w:hAnsi="Arial" w:cs="Arial"/>
          <w:b/>
          <w:bCs/>
          <w:szCs w:val="24"/>
          <w:lang w:eastAsia="en-GB"/>
        </w:rPr>
        <w:br w:type="page"/>
      </w:r>
    </w:p>
    <w:p w:rsidR="0081190A" w:rsidRPr="0081190A" w:rsidRDefault="0081190A" w:rsidP="0081190A">
      <w:pPr>
        <w:rPr>
          <w:lang w:eastAsia="en-GB"/>
        </w:rPr>
      </w:pPr>
    </w:p>
    <w:p w:rsidR="0081190A" w:rsidRPr="0081190A" w:rsidRDefault="0081190A" w:rsidP="002B54A2">
      <w:pPr>
        <w:pStyle w:val="Heading2"/>
      </w:pPr>
      <w:bookmarkStart w:id="420" w:name="_Toc370819251"/>
      <w:r w:rsidRPr="0081190A">
        <w:t>Clinical implications</w:t>
      </w:r>
      <w:bookmarkEnd w:id="420"/>
    </w:p>
    <w:p w:rsidR="002E15D4" w:rsidRPr="009B236F" w:rsidRDefault="002E15D4" w:rsidP="002E15D4">
      <w:pPr>
        <w:suppressAutoHyphens/>
        <w:autoSpaceDN w:val="0"/>
        <w:spacing w:after="120" w:line="480" w:lineRule="auto"/>
        <w:jc w:val="both"/>
        <w:textAlignment w:val="baseline"/>
        <w:rPr>
          <w:rFonts w:eastAsia="Times New Roman" w:cstheme="minorBidi"/>
          <w:szCs w:val="24"/>
          <w:lang w:eastAsia="en-GB"/>
        </w:rPr>
      </w:pPr>
      <w:r w:rsidRPr="009B236F">
        <w:rPr>
          <w:rFonts w:eastAsia="Times New Roman" w:cstheme="minorBidi"/>
          <w:szCs w:val="24"/>
          <w:lang w:eastAsia="en-GB"/>
        </w:rPr>
        <w:t xml:space="preserve">There was a significant time dependent reduction in the hardness and Young’s Modulus of dentine with NSCH and MTA application. </w:t>
      </w:r>
    </w:p>
    <w:p w:rsidR="002E15D4" w:rsidRPr="009B236F" w:rsidRDefault="002E15D4" w:rsidP="002E15D4">
      <w:pPr>
        <w:suppressAutoHyphens/>
        <w:autoSpaceDN w:val="0"/>
        <w:spacing w:after="120" w:line="480" w:lineRule="auto"/>
        <w:jc w:val="both"/>
        <w:textAlignment w:val="baseline"/>
        <w:rPr>
          <w:rFonts w:eastAsia="Times New Roman" w:cstheme="minorBidi"/>
          <w:szCs w:val="24"/>
          <w:lang w:eastAsia="en-GB"/>
        </w:rPr>
      </w:pPr>
      <w:r w:rsidRPr="009B236F">
        <w:rPr>
          <w:rFonts w:eastAsia="Times New Roman" w:cstheme="minorBidi"/>
          <w:szCs w:val="24"/>
          <w:lang w:eastAsia="en-GB"/>
        </w:rPr>
        <w:t xml:space="preserve">We suggest that application of NSCH or MTA makes the dentine softer and less stiff. </w:t>
      </w:r>
    </w:p>
    <w:p w:rsidR="002E15D4" w:rsidRPr="009B236F" w:rsidRDefault="002E15D4" w:rsidP="002E15D4">
      <w:pPr>
        <w:suppressAutoHyphens/>
        <w:autoSpaceDN w:val="0"/>
        <w:spacing w:after="120" w:line="480" w:lineRule="auto"/>
        <w:jc w:val="both"/>
        <w:textAlignment w:val="baseline"/>
        <w:rPr>
          <w:rFonts w:eastAsia="Times New Roman" w:cstheme="minorBidi"/>
          <w:szCs w:val="24"/>
          <w:lang w:eastAsia="en-GB"/>
        </w:rPr>
      </w:pPr>
      <w:r w:rsidRPr="009B236F">
        <w:rPr>
          <w:rFonts w:eastAsia="Times New Roman" w:cstheme="minorBidi"/>
          <w:szCs w:val="24"/>
          <w:lang w:eastAsia="en-GB"/>
        </w:rPr>
        <w:t>Weak dentine would not be able to withstand masticatory forces, making teeth more prone to fracture.</w:t>
      </w:r>
    </w:p>
    <w:p w:rsidR="00A37744" w:rsidRPr="00B013ED" w:rsidRDefault="00A37744">
      <w:pPr>
        <w:rPr>
          <w:rFonts w:eastAsiaTheme="majorEastAsia" w:cstheme="majorBidi"/>
          <w:b/>
          <w:spacing w:val="5"/>
          <w:kern w:val="28"/>
          <w:sz w:val="40"/>
          <w:szCs w:val="52"/>
          <w:lang w:val="en-US"/>
        </w:rPr>
      </w:pPr>
      <w:r w:rsidRPr="00B013ED">
        <w:rPr>
          <w:lang w:val="en-US"/>
        </w:rPr>
        <w:br w:type="page"/>
      </w:r>
    </w:p>
    <w:p w:rsidR="00F92892" w:rsidRPr="00834835" w:rsidRDefault="00F92892" w:rsidP="00A74037">
      <w:pPr>
        <w:pStyle w:val="Heading1"/>
        <w:pBdr>
          <w:bottom w:val="single" w:sz="4" w:space="1" w:color="auto"/>
        </w:pBdr>
        <w:jc w:val="center"/>
      </w:pPr>
      <w:bookmarkStart w:id="421" w:name="_Toc370819252"/>
      <w:r w:rsidRPr="00834835">
        <w:lastRenderedPageBreak/>
        <w:t>Chapter 3</w:t>
      </w:r>
      <w:bookmarkEnd w:id="421"/>
    </w:p>
    <w:p w:rsidR="00F92892" w:rsidRDefault="00F92892" w:rsidP="00FD4606">
      <w:pPr>
        <w:jc w:val="center"/>
        <w:rPr>
          <w:b/>
          <w:sz w:val="36"/>
          <w:szCs w:val="36"/>
          <w:lang w:val="en-US"/>
        </w:rPr>
      </w:pPr>
    </w:p>
    <w:p w:rsidR="00F92892" w:rsidRDefault="00F92892" w:rsidP="00FD4606">
      <w:pPr>
        <w:jc w:val="center"/>
        <w:rPr>
          <w:b/>
          <w:sz w:val="36"/>
          <w:szCs w:val="36"/>
          <w:lang w:val="en-US"/>
        </w:rPr>
      </w:pPr>
    </w:p>
    <w:p w:rsidR="00F92892" w:rsidRDefault="00F92892" w:rsidP="00FD4606">
      <w:pPr>
        <w:jc w:val="center"/>
        <w:rPr>
          <w:b/>
          <w:sz w:val="36"/>
          <w:szCs w:val="36"/>
          <w:lang w:val="en-US"/>
        </w:rPr>
      </w:pPr>
    </w:p>
    <w:p w:rsidR="00021DC9" w:rsidRPr="00FE0B70" w:rsidRDefault="0030702E" w:rsidP="00FD4606">
      <w:pPr>
        <w:jc w:val="center"/>
        <w:rPr>
          <w:b/>
          <w:sz w:val="36"/>
          <w:szCs w:val="36"/>
          <w:lang w:val="en-US"/>
        </w:rPr>
      </w:pPr>
      <w:r w:rsidRPr="00FE0B70">
        <w:rPr>
          <w:b/>
          <w:sz w:val="36"/>
          <w:szCs w:val="36"/>
          <w:lang w:val="en-US"/>
        </w:rPr>
        <w:t xml:space="preserve">The effect of root canal medicaments and antibiotics used in endodontics on the common pathogens found in root canals of </w:t>
      </w:r>
      <w:r w:rsidR="004B3418">
        <w:rPr>
          <w:b/>
          <w:sz w:val="36"/>
          <w:szCs w:val="36"/>
          <w:lang w:val="en-US"/>
        </w:rPr>
        <w:t>non-vital</w:t>
      </w:r>
      <w:r w:rsidRPr="00FE0B70">
        <w:rPr>
          <w:b/>
          <w:sz w:val="36"/>
          <w:szCs w:val="36"/>
          <w:lang w:val="en-US"/>
        </w:rPr>
        <w:t xml:space="preserve"> teeth</w:t>
      </w:r>
    </w:p>
    <w:p w:rsidR="008C6F70" w:rsidRPr="00B013ED" w:rsidRDefault="008C6F70" w:rsidP="008C6F70">
      <w:pPr>
        <w:pStyle w:val="ListParagraph"/>
        <w:keepNext/>
        <w:keepLines/>
        <w:numPr>
          <w:ilvl w:val="0"/>
          <w:numId w:val="1"/>
        </w:numPr>
        <w:spacing w:before="200" w:after="0"/>
        <w:contextualSpacing w:val="0"/>
        <w:outlineLvl w:val="1"/>
        <w:rPr>
          <w:rFonts w:eastAsia="Corbel"/>
          <w:b/>
          <w:bCs/>
          <w:vanish/>
          <w:szCs w:val="26"/>
        </w:rPr>
      </w:pPr>
      <w:bookmarkStart w:id="422" w:name="_Toc361049586"/>
      <w:bookmarkStart w:id="423" w:name="_Toc361049938"/>
      <w:bookmarkStart w:id="424" w:name="_Toc361050166"/>
      <w:bookmarkStart w:id="425" w:name="_Toc361051396"/>
      <w:bookmarkStart w:id="426" w:name="_Toc361092617"/>
      <w:bookmarkStart w:id="427" w:name="_Toc361092788"/>
      <w:bookmarkStart w:id="428" w:name="_Toc361126140"/>
      <w:bookmarkStart w:id="429" w:name="_Toc361130357"/>
      <w:bookmarkStart w:id="430" w:name="_Toc361137619"/>
      <w:bookmarkStart w:id="431" w:name="_Toc361137798"/>
      <w:bookmarkStart w:id="432" w:name="_Toc361137977"/>
      <w:bookmarkStart w:id="433" w:name="_Toc361491526"/>
      <w:bookmarkStart w:id="434" w:name="_Toc361612952"/>
      <w:bookmarkStart w:id="435" w:name="_Toc361613131"/>
      <w:bookmarkStart w:id="436" w:name="_Toc361641162"/>
      <w:bookmarkStart w:id="437" w:name="_Toc361641340"/>
      <w:bookmarkStart w:id="438" w:name="_Toc361641518"/>
      <w:bookmarkStart w:id="439" w:name="_Toc361701968"/>
      <w:bookmarkStart w:id="440" w:name="_Toc361702142"/>
      <w:bookmarkStart w:id="441" w:name="_Toc361706167"/>
      <w:bookmarkStart w:id="442" w:name="_Toc361714551"/>
      <w:bookmarkStart w:id="443" w:name="_Toc361714724"/>
      <w:bookmarkStart w:id="444" w:name="_Toc361714979"/>
      <w:bookmarkStart w:id="445" w:name="_Toc361722425"/>
      <w:bookmarkStart w:id="446" w:name="_Toc361722691"/>
      <w:bookmarkStart w:id="447" w:name="_Toc361729311"/>
      <w:bookmarkStart w:id="448" w:name="_Toc361733442"/>
      <w:bookmarkStart w:id="449" w:name="_Toc361734370"/>
      <w:bookmarkStart w:id="450" w:name="_Toc362582962"/>
      <w:bookmarkStart w:id="451" w:name="_Toc370466131"/>
      <w:bookmarkStart w:id="452" w:name="_Toc370510908"/>
      <w:bookmarkStart w:id="453" w:name="_Toc370511126"/>
      <w:bookmarkStart w:id="454" w:name="_Toc370511349"/>
      <w:bookmarkStart w:id="455" w:name="_Toc370734301"/>
      <w:bookmarkStart w:id="456" w:name="_Toc370803239"/>
      <w:bookmarkStart w:id="457" w:name="_Toc370819253"/>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FE0B70" w:rsidRDefault="00FE0B70">
      <w:pPr>
        <w:rPr>
          <w:rFonts w:eastAsiaTheme="majorEastAsia"/>
          <w:b/>
          <w:bCs/>
          <w:sz w:val="32"/>
          <w:szCs w:val="26"/>
        </w:rPr>
      </w:pPr>
      <w:r>
        <w:br w:type="page"/>
      </w:r>
    </w:p>
    <w:p w:rsidR="00805867" w:rsidRPr="00B013ED" w:rsidRDefault="00004E98" w:rsidP="002B54A2">
      <w:pPr>
        <w:pStyle w:val="Heading2"/>
      </w:pPr>
      <w:bookmarkStart w:id="458" w:name="_Toc370819254"/>
      <w:r>
        <w:lastRenderedPageBreak/>
        <w:t>I</w:t>
      </w:r>
      <w:r w:rsidR="00805867" w:rsidRPr="00B013ED">
        <w:t>ntroduction</w:t>
      </w:r>
      <w:bookmarkEnd w:id="458"/>
      <w:r w:rsidR="00805867" w:rsidRPr="00B013ED">
        <w:t xml:space="preserve"> </w:t>
      </w:r>
    </w:p>
    <w:p w:rsidR="00FC2628" w:rsidRPr="00B013ED" w:rsidRDefault="00FC2628" w:rsidP="00FC2628">
      <w:pPr>
        <w:spacing w:line="480" w:lineRule="auto"/>
        <w:jc w:val="both"/>
        <w:rPr>
          <w:rFonts w:eastAsia="Corbel" w:cstheme="minorBidi"/>
          <w:szCs w:val="24"/>
        </w:rPr>
      </w:pPr>
      <w:r w:rsidRPr="00B013ED">
        <w:rPr>
          <w:rFonts w:eastAsia="Corbel" w:cstheme="minorBidi"/>
          <w:szCs w:val="24"/>
        </w:rPr>
        <w:t xml:space="preserve">Extensive carious lesions involving the pulp or any pulpal damage in the form of tooth surface loss, trauma and other iatrogenic factors may compromise the pulp. As long as the pulp is vital, balance between the host immune system and bacterial invasion is maintained. However, severe bacterial </w:t>
      </w:r>
      <w:r>
        <w:rPr>
          <w:rFonts w:eastAsia="Corbel" w:cstheme="minorBidi"/>
          <w:szCs w:val="24"/>
        </w:rPr>
        <w:t>infection</w:t>
      </w:r>
      <w:r w:rsidRPr="00B013ED">
        <w:rPr>
          <w:rFonts w:eastAsia="Corbel" w:cstheme="minorBidi"/>
          <w:szCs w:val="24"/>
        </w:rPr>
        <w:t xml:space="preserve"> causes pulp necrosis, tissue destruction and the defence system becomes overwhelmed</w:t>
      </w:r>
      <w:r>
        <w:rPr>
          <w:rFonts w:eastAsia="Corbel" w:cstheme="minorBidi"/>
          <w:szCs w:val="24"/>
        </w:rPr>
        <w:t xml:space="preserve"> (</w:t>
      </w:r>
      <w:r w:rsidRPr="00B013ED">
        <w:rPr>
          <w:rFonts w:eastAsia="Arial Unicode MS" w:cstheme="minorBidi"/>
          <w:noProof/>
          <w:szCs w:val="24"/>
        </w:rPr>
        <w:t>Siqueira and Rôças, 2009)</w:t>
      </w:r>
      <w:r>
        <w:rPr>
          <w:rFonts w:eastAsia="Arial Unicode MS" w:cstheme="minorBidi"/>
          <w:noProof/>
          <w:szCs w:val="24"/>
        </w:rPr>
        <w:t>.</w:t>
      </w:r>
    </w:p>
    <w:p w:rsidR="00805867" w:rsidRPr="00B013ED" w:rsidRDefault="00FC2628" w:rsidP="00FC2628">
      <w:pPr>
        <w:spacing w:line="480" w:lineRule="auto"/>
        <w:jc w:val="both"/>
        <w:rPr>
          <w:rFonts w:eastAsia="Corbel" w:cstheme="minorBidi"/>
          <w:szCs w:val="24"/>
        </w:rPr>
      </w:pPr>
      <w:r w:rsidRPr="00B013ED">
        <w:rPr>
          <w:rFonts w:eastAsia="Corbel" w:cstheme="minorBidi"/>
          <w:szCs w:val="24"/>
        </w:rPr>
        <w:t>Inflammatory and pathologic changes in the periapical tissues, the cementum, periodontal ligament and the alveolar bone are referred to as apical periodontitis or periapical or peri-radicular disease (</w:t>
      </w:r>
      <w:r>
        <w:rPr>
          <w:rFonts w:eastAsia="Arial Unicode MS" w:cstheme="minorBidi"/>
          <w:noProof/>
          <w:szCs w:val="24"/>
        </w:rPr>
        <w:t>Siqueira &amp; Rocas</w:t>
      </w:r>
      <w:r w:rsidRPr="00B013ED">
        <w:rPr>
          <w:rFonts w:eastAsia="Arial Unicode MS" w:cstheme="minorBidi"/>
          <w:noProof/>
          <w:szCs w:val="24"/>
        </w:rPr>
        <w:t>,2011).</w:t>
      </w:r>
      <w:r w:rsidRPr="00B013ED">
        <w:rPr>
          <w:rFonts w:eastAsia="Corbel" w:cstheme="minorBidi"/>
          <w:szCs w:val="24"/>
        </w:rPr>
        <w:t xml:space="preserve"> The prevalence of periapical disease increases with age and is estimated to be between 33-62% (</w:t>
      </w:r>
      <w:r w:rsidRPr="00B013ED">
        <w:rPr>
          <w:rFonts w:eastAsia="Arial Unicode MS" w:cstheme="minorBidi"/>
          <w:noProof/>
          <w:szCs w:val="24"/>
        </w:rPr>
        <w:t xml:space="preserve">Lin and Huang., 2011). </w:t>
      </w:r>
      <w:r w:rsidRPr="00B013ED">
        <w:rPr>
          <w:rFonts w:eastAsia="Corbel" w:cstheme="minorBidi"/>
          <w:szCs w:val="24"/>
        </w:rPr>
        <w:t xml:space="preserve"> In order to formulate an effective treatment plan it is crucial to understand the aetiology and pathogenesis of the disease. Although Miller was the first to identify bacteria in an infected root canal, it was not until </w:t>
      </w:r>
      <w:r w:rsidRPr="009B236F">
        <w:rPr>
          <w:rFonts w:eastAsia="Corbel" w:cstheme="minorBidi"/>
          <w:szCs w:val="24"/>
        </w:rPr>
        <w:t xml:space="preserve">1965 when a strong causal link between micro-organisms and periapical disease was established (Kakehashi </w:t>
      </w:r>
      <w:r w:rsidRPr="009B236F">
        <w:rPr>
          <w:rFonts w:eastAsia="Corbel" w:cstheme="minorBidi"/>
          <w:i/>
          <w:iCs/>
          <w:szCs w:val="24"/>
        </w:rPr>
        <w:t xml:space="preserve">et.al., </w:t>
      </w:r>
      <w:r w:rsidRPr="009B236F">
        <w:rPr>
          <w:rFonts w:eastAsia="Corbel" w:cstheme="minorBidi"/>
          <w:szCs w:val="24"/>
        </w:rPr>
        <w:t xml:space="preserve">1965; </w:t>
      </w:r>
      <w:r w:rsidRPr="009B236F">
        <w:rPr>
          <w:rFonts w:cstheme="minorBidi"/>
          <w:szCs w:val="24"/>
        </w:rPr>
        <w:t>Hoover and Newbrun</w:t>
      </w:r>
      <w:r w:rsidR="00861FAD" w:rsidRPr="009B236F">
        <w:rPr>
          <w:rFonts w:cstheme="minorBidi"/>
          <w:szCs w:val="24"/>
        </w:rPr>
        <w:t>, 1977</w:t>
      </w:r>
      <w:r w:rsidRPr="009B236F">
        <w:rPr>
          <w:rFonts w:cstheme="minorBidi"/>
          <w:szCs w:val="24"/>
        </w:rPr>
        <w:t>)</w:t>
      </w:r>
      <w:r w:rsidR="004B479A" w:rsidRPr="009B236F">
        <w:rPr>
          <w:rFonts w:eastAsia="Corbel" w:cstheme="minorBidi"/>
          <w:szCs w:val="24"/>
        </w:rPr>
        <w:t xml:space="preserve"> </w:t>
      </w:r>
      <w:r w:rsidR="00A578A7" w:rsidRPr="009B236F">
        <w:rPr>
          <w:rFonts w:eastAsia="Corbel" w:cstheme="minorBidi"/>
          <w:szCs w:val="24"/>
        </w:rPr>
        <w:t>(</w:t>
      </w:r>
      <w:r w:rsidR="00A578A7" w:rsidRPr="009B236F">
        <w:rPr>
          <w:rFonts w:eastAsia="Corbel" w:cstheme="minorBidi"/>
          <w:szCs w:val="24"/>
        </w:rPr>
        <w:fldChar w:fldCharType="begin"/>
      </w:r>
      <w:r w:rsidR="00A578A7" w:rsidRPr="009B236F">
        <w:rPr>
          <w:rFonts w:eastAsia="Corbel" w:cstheme="minorBidi"/>
          <w:szCs w:val="24"/>
        </w:rPr>
        <w:instrText xml:space="preserve"> REF _Ref360797703 \h </w:instrText>
      </w:r>
      <w:r w:rsidR="009B236F" w:rsidRPr="009B236F">
        <w:rPr>
          <w:rFonts w:eastAsia="Corbel" w:cstheme="minorBidi"/>
          <w:szCs w:val="24"/>
        </w:rPr>
        <w:instrText xml:space="preserve"> \* MERGEFORMAT </w:instrText>
      </w:r>
      <w:r w:rsidR="00A578A7" w:rsidRPr="009B236F">
        <w:rPr>
          <w:rFonts w:eastAsia="Corbel" w:cstheme="minorBidi"/>
          <w:szCs w:val="24"/>
        </w:rPr>
      </w:r>
      <w:r w:rsidR="00A578A7" w:rsidRPr="009B236F">
        <w:rPr>
          <w:rFonts w:eastAsia="Corbel" w:cstheme="minorBidi"/>
          <w:szCs w:val="24"/>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b/>
          <w:bCs/>
          <w:noProof/>
          <w:sz w:val="20"/>
          <w:szCs w:val="20"/>
        </w:rPr>
        <w:t>3</w:t>
      </w:r>
      <w:r w:rsidR="00374B77" w:rsidRPr="001062AD">
        <w:rPr>
          <w:rFonts w:cstheme="minorBidi"/>
          <w:b/>
          <w:bCs/>
          <w:noProof/>
          <w:sz w:val="20"/>
          <w:szCs w:val="20"/>
        </w:rPr>
        <w:t>.</w:t>
      </w:r>
      <w:r w:rsidR="00374B77">
        <w:rPr>
          <w:rFonts w:cstheme="minorBidi"/>
          <w:b/>
          <w:bCs/>
          <w:noProof/>
          <w:sz w:val="20"/>
          <w:szCs w:val="20"/>
        </w:rPr>
        <w:t>1</w:t>
      </w:r>
      <w:r w:rsidR="00A578A7" w:rsidRPr="009B236F">
        <w:rPr>
          <w:rFonts w:eastAsia="Corbel" w:cstheme="minorBidi"/>
          <w:szCs w:val="24"/>
        </w:rPr>
        <w:fldChar w:fldCharType="end"/>
      </w:r>
      <w:r w:rsidR="00A578A7" w:rsidRPr="009B236F">
        <w:rPr>
          <w:rFonts w:eastAsia="Corbel" w:cstheme="minorBidi"/>
          <w:szCs w:val="24"/>
        </w:rPr>
        <w:t>)</w:t>
      </w:r>
      <w:r w:rsidRPr="009B236F">
        <w:rPr>
          <w:rFonts w:eastAsia="Corbel" w:cstheme="minorBidi"/>
          <w:szCs w:val="24"/>
        </w:rPr>
        <w:t>.</w:t>
      </w:r>
    </w:p>
    <w:p w:rsidR="00AE144A" w:rsidRPr="001062AD" w:rsidRDefault="00FE0B70" w:rsidP="001062AD">
      <w:pPr>
        <w:spacing w:line="240" w:lineRule="auto"/>
        <w:rPr>
          <w:rFonts w:cstheme="minorBidi"/>
          <w:b/>
          <w:bCs/>
          <w:sz w:val="20"/>
          <w:szCs w:val="20"/>
        </w:rPr>
      </w:pPr>
      <w:bookmarkStart w:id="459" w:name="_Toc360367440"/>
      <w:bookmarkStart w:id="460" w:name="_Toc360367344"/>
      <w:r>
        <w:br w:type="page"/>
      </w:r>
      <w:bookmarkStart w:id="461" w:name="_Ref360797703"/>
      <w:bookmarkStart w:id="462" w:name="_Toc361733615"/>
      <w:bookmarkStart w:id="463" w:name="_Toc361734258"/>
      <w:bookmarkEnd w:id="459"/>
      <w:bookmarkEnd w:id="460"/>
      <w:r w:rsidR="00AE144A" w:rsidRPr="001062AD">
        <w:rPr>
          <w:rFonts w:cstheme="minorBidi"/>
          <w:b/>
          <w:bCs/>
          <w:sz w:val="20"/>
          <w:szCs w:val="20"/>
        </w:rPr>
        <w:lastRenderedPageBreak/>
        <w:t xml:space="preserve">Figure </w:t>
      </w:r>
      <w:r w:rsidR="00EC0AA1" w:rsidRPr="001062AD">
        <w:rPr>
          <w:rFonts w:cstheme="minorBidi"/>
          <w:b/>
          <w:bCs/>
          <w:sz w:val="20"/>
          <w:szCs w:val="20"/>
        </w:rPr>
        <w:fldChar w:fldCharType="begin"/>
      </w:r>
      <w:r w:rsidR="00EC0AA1" w:rsidRPr="001062AD">
        <w:rPr>
          <w:rFonts w:cstheme="minorBidi"/>
          <w:b/>
          <w:bCs/>
          <w:sz w:val="20"/>
          <w:szCs w:val="20"/>
        </w:rPr>
        <w:instrText xml:space="preserve"> STYLEREF 1 \s </w:instrText>
      </w:r>
      <w:r w:rsidR="00EC0AA1" w:rsidRPr="001062A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EC0AA1" w:rsidRPr="001062AD">
        <w:rPr>
          <w:rFonts w:cstheme="minorBidi"/>
          <w:b/>
          <w:bCs/>
          <w:noProof/>
          <w:sz w:val="20"/>
          <w:szCs w:val="20"/>
        </w:rPr>
        <w:fldChar w:fldCharType="end"/>
      </w:r>
      <w:r w:rsidR="00DF37B0" w:rsidRPr="001062AD">
        <w:rPr>
          <w:rFonts w:cstheme="minorBidi"/>
          <w:b/>
          <w:bCs/>
          <w:sz w:val="20"/>
          <w:szCs w:val="20"/>
        </w:rPr>
        <w:t>.</w:t>
      </w:r>
      <w:r w:rsidR="00EC0AA1" w:rsidRPr="001062AD">
        <w:rPr>
          <w:rFonts w:cstheme="minorBidi"/>
          <w:b/>
          <w:bCs/>
          <w:sz w:val="20"/>
          <w:szCs w:val="20"/>
        </w:rPr>
        <w:fldChar w:fldCharType="begin"/>
      </w:r>
      <w:r w:rsidR="00EC0AA1" w:rsidRPr="001062AD">
        <w:rPr>
          <w:rFonts w:cstheme="minorBidi"/>
          <w:b/>
          <w:bCs/>
          <w:sz w:val="20"/>
          <w:szCs w:val="20"/>
        </w:rPr>
        <w:instrText xml:space="preserve"> SEQ Figure \* ARABIC \s 1 </w:instrText>
      </w:r>
      <w:r w:rsidR="00EC0AA1" w:rsidRPr="001062AD">
        <w:rPr>
          <w:rFonts w:cstheme="minorBidi"/>
          <w:b/>
          <w:bCs/>
          <w:sz w:val="20"/>
          <w:szCs w:val="20"/>
        </w:rPr>
        <w:fldChar w:fldCharType="separate"/>
      </w:r>
      <w:r w:rsidR="00374B77">
        <w:rPr>
          <w:rFonts w:cstheme="minorBidi"/>
          <w:b/>
          <w:bCs/>
          <w:noProof/>
          <w:sz w:val="20"/>
          <w:szCs w:val="20"/>
        </w:rPr>
        <w:t>1</w:t>
      </w:r>
      <w:r w:rsidR="00EC0AA1" w:rsidRPr="001062AD">
        <w:rPr>
          <w:rFonts w:cstheme="minorBidi"/>
          <w:b/>
          <w:bCs/>
          <w:noProof/>
          <w:sz w:val="20"/>
          <w:szCs w:val="20"/>
        </w:rPr>
        <w:fldChar w:fldCharType="end"/>
      </w:r>
      <w:bookmarkEnd w:id="461"/>
      <w:r w:rsidR="00AE144A" w:rsidRPr="001062AD">
        <w:rPr>
          <w:rFonts w:cstheme="minorBidi"/>
          <w:b/>
          <w:bCs/>
          <w:sz w:val="20"/>
          <w:szCs w:val="20"/>
        </w:rPr>
        <w:t xml:space="preserve"> A time line showing early classic studies that gave evidence for micro-organisms in the aetiology of periapical disease (</w:t>
      </w:r>
      <w:r w:rsidR="00AE144A" w:rsidRPr="001062AD">
        <w:rPr>
          <w:rFonts w:eastAsia="Arial Unicode MS" w:cstheme="minorBidi"/>
          <w:b/>
          <w:bCs/>
          <w:sz w:val="20"/>
          <w:szCs w:val="20"/>
        </w:rPr>
        <w:t xml:space="preserve">Siqueira </w:t>
      </w:r>
      <w:proofErr w:type="gramStart"/>
      <w:r w:rsidR="00AE144A" w:rsidRPr="001062AD">
        <w:rPr>
          <w:rFonts w:eastAsia="Arial Unicode MS" w:cstheme="minorBidi"/>
          <w:b/>
          <w:bCs/>
          <w:sz w:val="20"/>
          <w:szCs w:val="20"/>
        </w:rPr>
        <w:t>and  Rocas</w:t>
      </w:r>
      <w:proofErr w:type="gramEnd"/>
      <w:r w:rsidR="00AE144A" w:rsidRPr="001062AD">
        <w:rPr>
          <w:rFonts w:eastAsia="Arial Unicode MS" w:cstheme="minorBidi"/>
          <w:b/>
          <w:bCs/>
          <w:sz w:val="20"/>
          <w:szCs w:val="20"/>
        </w:rPr>
        <w:t>, 2011).</w:t>
      </w:r>
      <w:bookmarkEnd w:id="462"/>
      <w:bookmarkEnd w:id="463"/>
    </w:p>
    <w:tbl>
      <w:tblPr>
        <w:tblStyle w:val="LightGrid-Accent41"/>
        <w:tblW w:w="8666" w:type="dxa"/>
        <w:tblLook w:val="04A0" w:firstRow="1" w:lastRow="0" w:firstColumn="1" w:lastColumn="0" w:noHBand="0" w:noVBand="1"/>
      </w:tblPr>
      <w:tblGrid>
        <w:gridCol w:w="1238"/>
        <w:gridCol w:w="1238"/>
        <w:gridCol w:w="1238"/>
        <w:gridCol w:w="1238"/>
        <w:gridCol w:w="1238"/>
        <w:gridCol w:w="1238"/>
        <w:gridCol w:w="1238"/>
      </w:tblGrid>
      <w:tr w:rsidR="00805867" w:rsidRPr="00B013ED" w:rsidTr="00805867">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238" w:type="dxa"/>
            <w:hideMark/>
          </w:tcPr>
          <w:p w:rsidR="00805867" w:rsidRPr="00B013ED" w:rsidRDefault="00805867" w:rsidP="00805867">
            <w:pPr>
              <w:spacing w:line="480" w:lineRule="auto"/>
              <w:rPr>
                <w:rFonts w:eastAsia="Corbel" w:cstheme="minorBidi"/>
                <w:b w:val="0"/>
                <w:bCs w:val="0"/>
                <w:szCs w:val="24"/>
              </w:rPr>
            </w:pPr>
            <w:r w:rsidRPr="00B013ED">
              <w:rPr>
                <w:rFonts w:eastAsia="Corbel" w:cstheme="minorBidi"/>
                <w:szCs w:val="24"/>
              </w:rPr>
              <w:t xml:space="preserve">1890 </w:t>
            </w:r>
          </w:p>
        </w:tc>
        <w:tc>
          <w:tcPr>
            <w:tcW w:w="1238" w:type="dxa"/>
            <w:hideMark/>
          </w:tcPr>
          <w:p w:rsidR="00805867" w:rsidRPr="00B013ED" w:rsidRDefault="00805867" w:rsidP="00805867">
            <w:pPr>
              <w:spacing w:line="480" w:lineRule="auto"/>
              <w:cnfStyle w:val="100000000000" w:firstRow="1" w:lastRow="0" w:firstColumn="0" w:lastColumn="0" w:oddVBand="0" w:evenVBand="0" w:oddHBand="0" w:evenHBand="0" w:firstRowFirstColumn="0" w:firstRowLastColumn="0" w:lastRowFirstColumn="0" w:lastRowLastColumn="0"/>
              <w:rPr>
                <w:rFonts w:eastAsia="Corbel" w:cstheme="minorBidi"/>
                <w:b w:val="0"/>
                <w:bCs w:val="0"/>
                <w:szCs w:val="24"/>
              </w:rPr>
            </w:pPr>
            <w:r w:rsidRPr="00B013ED">
              <w:rPr>
                <w:rFonts w:eastAsia="Corbel" w:cstheme="minorBidi"/>
                <w:szCs w:val="24"/>
              </w:rPr>
              <w:t xml:space="preserve">1900 </w:t>
            </w:r>
          </w:p>
        </w:tc>
        <w:tc>
          <w:tcPr>
            <w:tcW w:w="1238" w:type="dxa"/>
            <w:hideMark/>
          </w:tcPr>
          <w:p w:rsidR="00805867" w:rsidRPr="00B013ED" w:rsidRDefault="00805867" w:rsidP="00805867">
            <w:pPr>
              <w:spacing w:line="480" w:lineRule="auto"/>
              <w:cnfStyle w:val="100000000000" w:firstRow="1" w:lastRow="0" w:firstColumn="0" w:lastColumn="0" w:oddVBand="0" w:evenVBand="0" w:oddHBand="0" w:evenHBand="0" w:firstRowFirstColumn="0" w:firstRowLastColumn="0" w:lastRowFirstColumn="0" w:lastRowLastColumn="0"/>
              <w:rPr>
                <w:rFonts w:eastAsia="Corbel" w:cstheme="minorBidi"/>
                <w:b w:val="0"/>
                <w:bCs w:val="0"/>
                <w:szCs w:val="24"/>
              </w:rPr>
            </w:pPr>
            <w:r w:rsidRPr="00B013ED">
              <w:rPr>
                <w:rFonts w:eastAsia="Corbel" w:cstheme="minorBidi"/>
                <w:szCs w:val="24"/>
              </w:rPr>
              <w:t xml:space="preserve">1950 </w:t>
            </w:r>
          </w:p>
        </w:tc>
        <w:tc>
          <w:tcPr>
            <w:tcW w:w="1238" w:type="dxa"/>
            <w:hideMark/>
          </w:tcPr>
          <w:p w:rsidR="00805867" w:rsidRPr="00B013ED" w:rsidRDefault="00805867" w:rsidP="00805867">
            <w:pPr>
              <w:spacing w:line="480" w:lineRule="auto"/>
              <w:cnfStyle w:val="100000000000" w:firstRow="1" w:lastRow="0" w:firstColumn="0" w:lastColumn="0" w:oddVBand="0" w:evenVBand="0" w:oddHBand="0" w:evenHBand="0" w:firstRowFirstColumn="0" w:firstRowLastColumn="0" w:lastRowFirstColumn="0" w:lastRowLastColumn="0"/>
              <w:rPr>
                <w:rFonts w:eastAsia="Corbel" w:cstheme="minorBidi"/>
                <w:b w:val="0"/>
                <w:bCs w:val="0"/>
                <w:szCs w:val="24"/>
              </w:rPr>
            </w:pPr>
            <w:r w:rsidRPr="00B013ED">
              <w:rPr>
                <w:rFonts w:eastAsia="Corbel" w:cstheme="minorBidi"/>
                <w:szCs w:val="24"/>
              </w:rPr>
              <w:t xml:space="preserve">1960 </w:t>
            </w:r>
          </w:p>
        </w:tc>
        <w:tc>
          <w:tcPr>
            <w:tcW w:w="1238" w:type="dxa"/>
            <w:hideMark/>
          </w:tcPr>
          <w:p w:rsidR="00805867" w:rsidRPr="00B013ED" w:rsidRDefault="00805867" w:rsidP="00805867">
            <w:pPr>
              <w:spacing w:line="480" w:lineRule="auto"/>
              <w:cnfStyle w:val="100000000000" w:firstRow="1" w:lastRow="0" w:firstColumn="0" w:lastColumn="0" w:oddVBand="0" w:evenVBand="0" w:oddHBand="0" w:evenHBand="0" w:firstRowFirstColumn="0" w:firstRowLastColumn="0" w:lastRowFirstColumn="0" w:lastRowLastColumn="0"/>
              <w:rPr>
                <w:rFonts w:eastAsia="Corbel" w:cstheme="minorBidi"/>
                <w:b w:val="0"/>
                <w:bCs w:val="0"/>
                <w:szCs w:val="24"/>
              </w:rPr>
            </w:pPr>
            <w:r w:rsidRPr="00B013ED">
              <w:rPr>
                <w:rFonts w:eastAsia="Corbel" w:cstheme="minorBidi"/>
                <w:szCs w:val="24"/>
              </w:rPr>
              <w:t xml:space="preserve">1970 </w:t>
            </w:r>
          </w:p>
        </w:tc>
        <w:tc>
          <w:tcPr>
            <w:tcW w:w="1238" w:type="dxa"/>
            <w:hideMark/>
          </w:tcPr>
          <w:p w:rsidR="00805867" w:rsidRPr="00B013ED" w:rsidRDefault="00805867" w:rsidP="00805867">
            <w:pPr>
              <w:spacing w:line="480" w:lineRule="auto"/>
              <w:cnfStyle w:val="100000000000" w:firstRow="1" w:lastRow="0" w:firstColumn="0" w:lastColumn="0" w:oddVBand="0" w:evenVBand="0" w:oddHBand="0" w:evenHBand="0" w:firstRowFirstColumn="0" w:firstRowLastColumn="0" w:lastRowFirstColumn="0" w:lastRowLastColumn="0"/>
              <w:rPr>
                <w:rFonts w:eastAsia="Corbel" w:cstheme="minorBidi"/>
                <w:b w:val="0"/>
                <w:bCs w:val="0"/>
                <w:szCs w:val="24"/>
              </w:rPr>
            </w:pPr>
            <w:r w:rsidRPr="00B013ED">
              <w:rPr>
                <w:rFonts w:eastAsia="Corbel" w:cstheme="minorBidi"/>
                <w:szCs w:val="24"/>
              </w:rPr>
              <w:t xml:space="preserve">1980 </w:t>
            </w:r>
          </w:p>
        </w:tc>
        <w:tc>
          <w:tcPr>
            <w:tcW w:w="1238" w:type="dxa"/>
            <w:hideMark/>
          </w:tcPr>
          <w:p w:rsidR="00805867" w:rsidRPr="00B013ED" w:rsidRDefault="00805867" w:rsidP="00805867">
            <w:pPr>
              <w:spacing w:line="480" w:lineRule="auto"/>
              <w:cnfStyle w:val="100000000000" w:firstRow="1" w:lastRow="0" w:firstColumn="0" w:lastColumn="0" w:oddVBand="0" w:evenVBand="0" w:oddHBand="0" w:evenHBand="0" w:firstRowFirstColumn="0" w:firstRowLastColumn="0" w:lastRowFirstColumn="0" w:lastRowLastColumn="0"/>
              <w:rPr>
                <w:rFonts w:eastAsia="Corbel" w:cstheme="minorBidi"/>
                <w:b w:val="0"/>
                <w:bCs w:val="0"/>
                <w:szCs w:val="24"/>
              </w:rPr>
            </w:pPr>
            <w:r w:rsidRPr="00B013ED">
              <w:rPr>
                <w:rFonts w:eastAsia="Corbel" w:cstheme="minorBidi"/>
                <w:szCs w:val="24"/>
              </w:rPr>
              <w:t>1990</w:t>
            </w:r>
          </w:p>
        </w:tc>
      </w:tr>
    </w:tbl>
    <w:p w:rsidR="00805867" w:rsidRPr="00B013ED" w:rsidRDefault="00805867" w:rsidP="00A46ECB">
      <w:pPr>
        <w:spacing w:line="480" w:lineRule="auto"/>
        <w:rPr>
          <w:rFonts w:eastAsia="Corbel" w:cstheme="minorBidi"/>
          <w:szCs w:val="24"/>
        </w:rPr>
      </w:pPr>
      <w:r w:rsidRPr="00B013ED">
        <w:rPr>
          <w:rFonts w:ascii="Arial" w:hAnsi="Arial" w:cs="Arial"/>
          <w:noProof/>
          <w:szCs w:val="24"/>
          <w:lang w:eastAsia="en-GB"/>
        </w:rPr>
        <w:drawing>
          <wp:anchor distT="0" distB="0" distL="114300" distR="114300" simplePos="0" relativeHeight="251667456" behindDoc="1" locked="0" layoutInCell="1" allowOverlap="1" wp14:anchorId="4BBC09C6" wp14:editId="07CFCCF2">
            <wp:simplePos x="0" y="0"/>
            <wp:positionH relativeFrom="column">
              <wp:posOffset>15875</wp:posOffset>
            </wp:positionH>
            <wp:positionV relativeFrom="paragraph">
              <wp:posOffset>5080</wp:posOffset>
            </wp:positionV>
            <wp:extent cx="5349240" cy="2049780"/>
            <wp:effectExtent l="0" t="0" r="3810" b="7620"/>
            <wp:wrapTight wrapText="bothSides">
              <wp:wrapPolygon edited="0">
                <wp:start x="0" y="0"/>
                <wp:lineTo x="0" y="21480"/>
                <wp:lineTo x="21538" y="21480"/>
                <wp:lineTo x="21538" y="0"/>
                <wp:lineTo x="0" y="0"/>
              </wp:wrapPolygon>
            </wp:wrapTight>
            <wp:docPr id="10" name="Picture 10" descr="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istory.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49240" cy="2049780"/>
                    </a:xfrm>
                    <a:prstGeom prst="rect">
                      <a:avLst/>
                    </a:prstGeom>
                    <a:noFill/>
                  </pic:spPr>
                </pic:pic>
              </a:graphicData>
            </a:graphic>
            <wp14:sizeRelH relativeFrom="page">
              <wp14:pctWidth>0</wp14:pctWidth>
            </wp14:sizeRelH>
            <wp14:sizeRelV relativeFrom="page">
              <wp14:pctHeight>0</wp14:pctHeight>
            </wp14:sizeRelV>
          </wp:anchor>
        </w:drawing>
      </w:r>
      <w:r w:rsidRPr="00B013ED">
        <w:rPr>
          <w:rFonts w:eastAsia="Corbel" w:cstheme="minorBidi"/>
          <w:szCs w:val="24"/>
        </w:rPr>
        <w:t xml:space="preserve"> </w:t>
      </w:r>
    </w:p>
    <w:p w:rsidR="00FF05EA" w:rsidRPr="00FF05EA" w:rsidRDefault="00FF05EA" w:rsidP="00FF05EA">
      <w:pPr>
        <w:spacing w:line="480" w:lineRule="auto"/>
        <w:rPr>
          <w:rFonts w:eastAsia="Corbel" w:cstheme="minorBidi"/>
          <w:szCs w:val="24"/>
        </w:rPr>
      </w:pPr>
      <w:r w:rsidRPr="00FF05EA">
        <w:rPr>
          <w:rFonts w:eastAsia="Corbel" w:cstheme="minorBidi"/>
          <w:szCs w:val="24"/>
        </w:rPr>
        <w:t>The micro-organisms implicated in endodontic diseases are often likened to a group of invaders seeking different routes of entry into the root canal system</w:t>
      </w:r>
      <w:r w:rsidRPr="00FF05EA">
        <w:rPr>
          <w:szCs w:val="24"/>
        </w:rPr>
        <w:t xml:space="preserve"> </w:t>
      </w:r>
      <w:r w:rsidRPr="00FF05EA">
        <w:rPr>
          <w:rFonts w:eastAsia="Corbel" w:cstheme="minorBidi"/>
          <w:szCs w:val="24"/>
        </w:rPr>
        <w:t>(Lin and Huang, 2011). Once they get past the host defences, they launch their virulence potential and overcome harsh conditions like low oxygen potential and nutrition deficiency. The outcome of the struggle/war is influenced by the following factors:</w:t>
      </w:r>
    </w:p>
    <w:p w:rsidR="00FF05EA" w:rsidRPr="00FF05EA" w:rsidRDefault="00FF05EA" w:rsidP="00FF05EA">
      <w:pPr>
        <w:numPr>
          <w:ilvl w:val="0"/>
          <w:numId w:val="69"/>
        </w:numPr>
        <w:spacing w:line="480" w:lineRule="auto"/>
        <w:contextualSpacing/>
        <w:rPr>
          <w:rFonts w:eastAsia="Corbel" w:cstheme="minorBidi"/>
          <w:szCs w:val="24"/>
        </w:rPr>
      </w:pPr>
      <w:r w:rsidRPr="00FF05EA">
        <w:rPr>
          <w:rFonts w:eastAsia="Corbel" w:cstheme="minorBidi"/>
          <w:szCs w:val="24"/>
        </w:rPr>
        <w:t xml:space="preserve">Pathogenicity or virulence potential of the invading micro-organism. </w:t>
      </w:r>
    </w:p>
    <w:p w:rsidR="00FF05EA" w:rsidRPr="00FF05EA" w:rsidRDefault="00FF05EA" w:rsidP="00FF05EA">
      <w:pPr>
        <w:numPr>
          <w:ilvl w:val="0"/>
          <w:numId w:val="69"/>
        </w:numPr>
        <w:spacing w:line="480" w:lineRule="auto"/>
        <w:contextualSpacing/>
        <w:rPr>
          <w:rFonts w:eastAsia="Corbel" w:cstheme="minorBidi"/>
          <w:szCs w:val="24"/>
        </w:rPr>
      </w:pPr>
      <w:r w:rsidRPr="00FF05EA">
        <w:rPr>
          <w:rFonts w:eastAsia="Corbel" w:cstheme="minorBidi"/>
          <w:szCs w:val="24"/>
        </w:rPr>
        <w:t xml:space="preserve">Host resistance factors, host immunity. </w:t>
      </w:r>
    </w:p>
    <w:p w:rsidR="00FF05EA" w:rsidRPr="00FF05EA" w:rsidRDefault="00FF05EA" w:rsidP="00FF05EA">
      <w:pPr>
        <w:numPr>
          <w:ilvl w:val="0"/>
          <w:numId w:val="69"/>
        </w:numPr>
        <w:spacing w:line="480" w:lineRule="auto"/>
        <w:contextualSpacing/>
        <w:rPr>
          <w:rFonts w:eastAsia="Corbel" w:cstheme="minorBidi"/>
          <w:szCs w:val="24"/>
        </w:rPr>
      </w:pPr>
      <w:r w:rsidRPr="00FF05EA">
        <w:rPr>
          <w:rFonts w:eastAsia="Corbel" w:cstheme="minorBidi"/>
          <w:szCs w:val="24"/>
        </w:rPr>
        <w:t>Duration of the infection</w:t>
      </w:r>
    </w:p>
    <w:p w:rsidR="00FF05EA" w:rsidRPr="00FF05EA" w:rsidRDefault="00FF05EA" w:rsidP="00FF05EA">
      <w:pPr>
        <w:spacing w:line="480" w:lineRule="auto"/>
        <w:rPr>
          <w:rFonts w:eastAsia="Corbel" w:cstheme="minorBidi"/>
          <w:szCs w:val="24"/>
        </w:rPr>
      </w:pPr>
      <w:r w:rsidRPr="00FF05EA">
        <w:rPr>
          <w:rFonts w:eastAsia="Corbel" w:cstheme="minorBidi"/>
          <w:szCs w:val="24"/>
        </w:rPr>
        <w:t xml:space="preserve">The host defence system responds to the bacterial presence by causing inflammation of the tissues. However, if the severity of microbial assault increases, the blood supply to the tissue ceases and the pulp becomes necrotic. This environment is conducive for microbial proliferation which results in further tissue destruction. </w:t>
      </w:r>
    </w:p>
    <w:p w:rsidR="00805867" w:rsidRPr="00FF05EA" w:rsidRDefault="00FF05EA" w:rsidP="00FF05EA">
      <w:pPr>
        <w:spacing w:line="480" w:lineRule="auto"/>
        <w:rPr>
          <w:rFonts w:eastAsia="Corbel" w:cstheme="minorBidi"/>
          <w:color w:val="EA157A"/>
          <w:szCs w:val="24"/>
        </w:rPr>
      </w:pPr>
      <w:r w:rsidRPr="00FF05EA">
        <w:rPr>
          <w:rFonts w:eastAsia="Corbel" w:cstheme="minorBidi"/>
          <w:szCs w:val="24"/>
        </w:rPr>
        <w:lastRenderedPageBreak/>
        <w:t>Bacterial endotoxins and other metabolic waste products are formed which move through the root canal into the periapical tissues. These are toxic to the tissues and result in periapical disease with pathologic destruction of the surrounding structures (</w:t>
      </w:r>
      <w:r w:rsidRPr="00FF05EA">
        <w:rPr>
          <w:rFonts w:eastAsia="Arial Unicode MS" w:cstheme="minorBidi"/>
          <w:noProof/>
          <w:szCs w:val="24"/>
        </w:rPr>
        <w:t>Lin and Huang, 2011).</w:t>
      </w:r>
    </w:p>
    <w:p w:rsidR="00805867" w:rsidRPr="00B013ED" w:rsidRDefault="00805867" w:rsidP="009B236F">
      <w:pPr>
        <w:pStyle w:val="Heading2"/>
      </w:pPr>
      <w:bookmarkStart w:id="464" w:name="_Toc370819255"/>
      <w:r w:rsidRPr="00B013ED">
        <w:t>Bacteria</w:t>
      </w:r>
      <w:bookmarkEnd w:id="464"/>
      <w:r w:rsidRPr="00B013ED">
        <w:t xml:space="preserve"> </w:t>
      </w:r>
    </w:p>
    <w:p w:rsidR="00173882" w:rsidRPr="00B013ED" w:rsidRDefault="00173882" w:rsidP="00173882">
      <w:pPr>
        <w:spacing w:line="480" w:lineRule="auto"/>
        <w:jc w:val="both"/>
        <w:rPr>
          <w:rFonts w:eastAsia="Times New Roman" w:cstheme="minorBidi"/>
          <w:rtl/>
          <w:lang w:eastAsia="en-GB"/>
        </w:rPr>
      </w:pPr>
      <w:r w:rsidRPr="00B013ED">
        <w:rPr>
          <w:rFonts w:eastAsia="Times New Roman" w:cstheme="minorBidi"/>
          <w:lang w:eastAsia="en-GB"/>
        </w:rPr>
        <w:t>Bacteria play the major role in the aetiology of periapical lesion formation (Sundqvist, 19</w:t>
      </w:r>
      <w:r w:rsidR="00F40909">
        <w:rPr>
          <w:rFonts w:eastAsia="Times New Roman" w:cstheme="minorBidi"/>
          <w:lang w:eastAsia="en-GB"/>
        </w:rPr>
        <w:t>92</w:t>
      </w:r>
      <w:r w:rsidRPr="00B013ED">
        <w:rPr>
          <w:rFonts w:eastAsia="Times New Roman" w:cstheme="minorBidi"/>
          <w:lang w:eastAsia="en-GB"/>
        </w:rPr>
        <w:t>), resulting in bone resorption which is an active process carried out by osteoclasts. Bacteria can gain access to the dental pulp through the crown or root surfaces in association with processes such as caries, periodontal disease, or trauma.</w:t>
      </w:r>
    </w:p>
    <w:p w:rsidR="00173882" w:rsidRPr="00B013ED" w:rsidRDefault="00173882" w:rsidP="00173882">
      <w:pPr>
        <w:spacing w:line="480" w:lineRule="auto"/>
        <w:jc w:val="both"/>
        <w:rPr>
          <w:rFonts w:eastAsiaTheme="minorEastAsia" w:cstheme="minorBidi"/>
          <w:lang w:eastAsia="zh-CN"/>
        </w:rPr>
      </w:pPr>
      <w:r w:rsidRPr="00B013ED">
        <w:rPr>
          <w:rFonts w:cstheme="minorBidi"/>
        </w:rPr>
        <w:t>It has been revealed that in chronic periapical infections micro-organisms co-exist like an organi</w:t>
      </w:r>
      <w:r>
        <w:rPr>
          <w:rFonts w:cstheme="minorBidi"/>
        </w:rPr>
        <w:t>s</w:t>
      </w:r>
      <w:r w:rsidRPr="00B013ED">
        <w:rPr>
          <w:rFonts w:cstheme="minorBidi"/>
        </w:rPr>
        <w:t>ed community with each species having its hierarchical importance and function. The biofilm not only augments microbial pathogenicity but also provides protection from external factors like host defence system</w:t>
      </w:r>
      <w:r>
        <w:rPr>
          <w:rFonts w:cstheme="minorBidi"/>
        </w:rPr>
        <w:t>s</w:t>
      </w:r>
      <w:r w:rsidRPr="00B013ED">
        <w:rPr>
          <w:rFonts w:cstheme="minorBidi"/>
        </w:rPr>
        <w:t>, other micro-organisms, antimicrobials and environmental stress (Siqueira and Rocas, 2011)</w:t>
      </w:r>
    </w:p>
    <w:p w:rsidR="00173882" w:rsidRPr="00B013ED" w:rsidRDefault="00173882" w:rsidP="00173882">
      <w:pPr>
        <w:spacing w:line="480" w:lineRule="auto"/>
        <w:jc w:val="both"/>
        <w:rPr>
          <w:rFonts w:cstheme="minorBidi"/>
        </w:rPr>
      </w:pPr>
      <w:r w:rsidRPr="00B013ED">
        <w:rPr>
          <w:rFonts w:cstheme="minorBidi"/>
        </w:rPr>
        <w:t>It has been suggested that genetic exchange of information also takes place across the species. Synergistic or additive relationships occur due to these bacterial interactions which determine the virulence of the microbial community (</w:t>
      </w:r>
      <w:r w:rsidRPr="00B013ED">
        <w:t xml:space="preserve">Nair, 2004).  </w:t>
      </w:r>
      <w:r w:rsidRPr="00B013ED">
        <w:rPr>
          <w:rFonts w:cstheme="minorBidi"/>
        </w:rPr>
        <w:t>In contrast, bacteria in acute apical infections are no longer part of the biofilm and exist in a planktonic phase. Though they are more toxic in this form they make relatively easy targets for antimicrobial therapy during treatment (</w:t>
      </w:r>
      <w:r w:rsidR="006747E2">
        <w:t xml:space="preserve">Siqueira and Rocas, 2011). </w:t>
      </w:r>
    </w:p>
    <w:p w:rsidR="00173882" w:rsidRPr="006747E2" w:rsidRDefault="00173882" w:rsidP="00173882">
      <w:pPr>
        <w:spacing w:line="480" w:lineRule="auto"/>
        <w:jc w:val="both"/>
        <w:rPr>
          <w:rFonts w:cstheme="minorBidi"/>
          <w:iCs/>
          <w:color w:val="231F20"/>
          <w:szCs w:val="24"/>
        </w:rPr>
      </w:pPr>
      <w:r w:rsidRPr="006747E2">
        <w:rPr>
          <w:rFonts w:cstheme="minorBidi"/>
          <w:szCs w:val="24"/>
        </w:rPr>
        <w:lastRenderedPageBreak/>
        <w:t xml:space="preserve">It is the virulence of individual bacterial species that determines the pathogenic potential of the biofilm once it gains entry into the tooth. </w:t>
      </w:r>
      <w:r w:rsidRPr="006747E2">
        <w:rPr>
          <w:rFonts w:eastAsia="Times New Roman" w:cstheme="minorBidi"/>
          <w:szCs w:val="24"/>
          <w:lang w:eastAsia="en-GB"/>
        </w:rPr>
        <w:t xml:space="preserve">Strict anaerobes accounted for 64.9% of all species isolated, and gram-negative microorganisms accounted for 55.4%. Microbial genera most frequently isolated were </w:t>
      </w:r>
      <w:r w:rsidRPr="006747E2">
        <w:rPr>
          <w:rFonts w:eastAsia="Times New Roman" w:cstheme="minorBidi"/>
          <w:i/>
          <w:szCs w:val="24"/>
          <w:lang w:eastAsia="en-GB"/>
        </w:rPr>
        <w:t>Prevotella, Fusobacterium,</w:t>
      </w:r>
      <w:r w:rsidRPr="006747E2">
        <w:rPr>
          <w:rFonts w:eastAsia="Times New Roman" w:cstheme="minorBidi"/>
          <w:szCs w:val="24"/>
          <w:lang w:eastAsia="en-GB"/>
        </w:rPr>
        <w:t xml:space="preserve"> </w:t>
      </w:r>
      <w:r w:rsidRPr="006747E2">
        <w:rPr>
          <w:rFonts w:eastAsia="Times New Roman" w:cstheme="minorBidi"/>
          <w:i/>
          <w:szCs w:val="24"/>
          <w:lang w:eastAsia="en-GB"/>
        </w:rPr>
        <w:t>Peptostreptococcus, Streptococcus, Enterococcus, Clostridium, and Porphyromonas</w:t>
      </w:r>
      <w:r w:rsidRPr="006747E2">
        <w:rPr>
          <w:rFonts w:cstheme="minorBidi"/>
          <w:i/>
          <w:iCs/>
          <w:color w:val="231F20"/>
          <w:szCs w:val="24"/>
        </w:rPr>
        <w:t xml:space="preserve"> </w:t>
      </w:r>
      <w:r w:rsidRPr="006747E2">
        <w:rPr>
          <w:rFonts w:cstheme="minorBidi"/>
          <w:iCs/>
          <w:color w:val="231F20"/>
          <w:szCs w:val="24"/>
        </w:rPr>
        <w:t xml:space="preserve">(Ferreira </w:t>
      </w:r>
      <w:r w:rsidRPr="006747E2">
        <w:rPr>
          <w:rFonts w:cstheme="minorBidi"/>
          <w:i/>
          <w:iCs/>
          <w:color w:val="231F20"/>
          <w:szCs w:val="24"/>
        </w:rPr>
        <w:t xml:space="preserve">et al., </w:t>
      </w:r>
      <w:r w:rsidRPr="006747E2">
        <w:rPr>
          <w:rFonts w:cstheme="minorBidi"/>
          <w:iCs/>
          <w:color w:val="231F20"/>
          <w:szCs w:val="24"/>
        </w:rPr>
        <w:t>2006).</w:t>
      </w:r>
    </w:p>
    <w:p w:rsidR="00805867" w:rsidRPr="006747E2" w:rsidRDefault="00173882" w:rsidP="00173882">
      <w:pPr>
        <w:spacing w:line="480" w:lineRule="auto"/>
        <w:jc w:val="both"/>
        <w:rPr>
          <w:rFonts w:cstheme="minorBidi"/>
          <w:iCs/>
          <w:color w:val="231F20"/>
          <w:szCs w:val="24"/>
        </w:rPr>
      </w:pPr>
      <w:r w:rsidRPr="006747E2">
        <w:rPr>
          <w:rFonts w:cstheme="minorBidi"/>
          <w:iCs/>
          <w:color w:val="231F20"/>
          <w:szCs w:val="24"/>
        </w:rPr>
        <w:t xml:space="preserve">The most common bacterial species found in untreated primary infections are shown </w:t>
      </w:r>
      <w:r w:rsidR="001F5024" w:rsidRPr="006747E2">
        <w:rPr>
          <w:rFonts w:cstheme="minorBidi"/>
          <w:iCs/>
          <w:color w:val="231F20"/>
          <w:szCs w:val="24"/>
        </w:rPr>
        <w:t xml:space="preserve">in </w:t>
      </w:r>
      <w:r w:rsidRPr="006747E2">
        <w:rPr>
          <w:rFonts w:cstheme="minorBidi"/>
          <w:iCs/>
          <w:color w:val="231F20"/>
          <w:szCs w:val="24"/>
        </w:rPr>
        <w:fldChar w:fldCharType="begin"/>
      </w:r>
      <w:r w:rsidRPr="006747E2">
        <w:rPr>
          <w:rFonts w:cstheme="minorBidi"/>
          <w:iCs/>
          <w:color w:val="231F20"/>
          <w:szCs w:val="24"/>
        </w:rPr>
        <w:instrText xml:space="preserve"> REF _Ref361587986 \h  \* MERGEFORMAT </w:instrText>
      </w:r>
      <w:r w:rsidRPr="006747E2">
        <w:rPr>
          <w:rFonts w:cstheme="minorBidi"/>
          <w:iCs/>
          <w:color w:val="231F20"/>
          <w:szCs w:val="24"/>
        </w:rPr>
      </w:r>
      <w:r w:rsidRPr="006747E2">
        <w:rPr>
          <w:rFonts w:cstheme="minorBidi"/>
          <w:iCs/>
          <w:color w:val="231F20"/>
          <w:szCs w:val="24"/>
        </w:rPr>
        <w:fldChar w:fldCharType="separate"/>
      </w:r>
      <w:r w:rsidR="00374B77" w:rsidRPr="00374B77">
        <w:rPr>
          <w:rFonts w:ascii="Arial" w:hAnsi="Arial" w:cs="Arial"/>
          <w:szCs w:val="24"/>
        </w:rPr>
        <w:t xml:space="preserve">Figure </w:t>
      </w:r>
      <w:r w:rsidR="00374B77" w:rsidRPr="00374B77">
        <w:rPr>
          <w:rFonts w:ascii="Arial" w:hAnsi="Arial" w:cs="Arial"/>
          <w:noProof/>
          <w:szCs w:val="24"/>
          <w:cs/>
        </w:rPr>
        <w:t>‎</w:t>
      </w:r>
      <w:r w:rsidR="00374B77">
        <w:rPr>
          <w:rFonts w:ascii="Arial" w:hAnsi="Arial" w:cs="Arial"/>
          <w:b/>
          <w:noProof/>
          <w:sz w:val="20"/>
          <w:szCs w:val="20"/>
        </w:rPr>
        <w:t>3.2</w:t>
      </w:r>
      <w:r w:rsidRPr="006747E2">
        <w:rPr>
          <w:rFonts w:cstheme="minorBidi"/>
          <w:iCs/>
          <w:color w:val="231F20"/>
          <w:szCs w:val="24"/>
        </w:rPr>
        <w:fldChar w:fldCharType="end"/>
      </w:r>
      <w:r w:rsidRPr="006747E2">
        <w:rPr>
          <w:rFonts w:cstheme="minorBidi"/>
          <w:iCs/>
          <w:color w:val="231F20"/>
          <w:szCs w:val="24"/>
        </w:rPr>
        <w:t xml:space="preserve"> </w:t>
      </w:r>
      <w:r w:rsidR="00805867" w:rsidRPr="006747E2">
        <w:rPr>
          <w:rFonts w:cstheme="minorBidi"/>
          <w:iCs/>
          <w:color w:val="231F20"/>
          <w:szCs w:val="24"/>
        </w:rPr>
        <w:t>(</w:t>
      </w:r>
      <w:r w:rsidR="00CE0CD9" w:rsidRPr="006747E2">
        <w:rPr>
          <w:rFonts w:cstheme="minorBidi"/>
          <w:iCs/>
          <w:color w:val="231F20"/>
          <w:szCs w:val="24"/>
        </w:rPr>
        <w:t>Siqueira and</w:t>
      </w:r>
      <w:r w:rsidR="00805867" w:rsidRPr="006747E2">
        <w:rPr>
          <w:rFonts w:cstheme="minorBidi"/>
          <w:iCs/>
          <w:color w:val="231F20"/>
          <w:szCs w:val="24"/>
        </w:rPr>
        <w:t xml:space="preserve"> Rôças</w:t>
      </w:r>
      <w:r w:rsidR="00CE0CD9" w:rsidRPr="006747E2">
        <w:rPr>
          <w:rFonts w:cstheme="minorBidi"/>
          <w:iCs/>
          <w:color w:val="231F20"/>
          <w:szCs w:val="24"/>
        </w:rPr>
        <w:t>, 2009</w:t>
      </w:r>
      <w:r w:rsidR="00805867" w:rsidRPr="006747E2">
        <w:rPr>
          <w:rFonts w:cstheme="minorBidi"/>
          <w:iCs/>
          <w:color w:val="231F20"/>
          <w:szCs w:val="24"/>
        </w:rPr>
        <w:t>)</w:t>
      </w:r>
    </w:p>
    <w:p w:rsidR="00805867" w:rsidRPr="00B013ED" w:rsidRDefault="00A578A7" w:rsidP="00805867">
      <w:pPr>
        <w:spacing w:line="480" w:lineRule="auto"/>
        <w:jc w:val="both"/>
        <w:rPr>
          <w:rFonts w:cstheme="minorBidi"/>
          <w:b/>
          <w:bCs/>
          <w:iCs/>
          <w:color w:val="231F20"/>
        </w:rPr>
      </w:pPr>
      <w:r>
        <w:rPr>
          <w:noProof/>
          <w:lang w:eastAsia="en-GB"/>
        </w:rPr>
        <mc:AlternateContent>
          <mc:Choice Requires="wps">
            <w:drawing>
              <wp:anchor distT="0" distB="0" distL="114300" distR="114300" simplePos="0" relativeHeight="251771904" behindDoc="0" locked="0" layoutInCell="1" allowOverlap="1" wp14:anchorId="49F6157D" wp14:editId="00A33162">
                <wp:simplePos x="0" y="0"/>
                <wp:positionH relativeFrom="column">
                  <wp:posOffset>695325</wp:posOffset>
                </wp:positionH>
                <wp:positionV relativeFrom="paragraph">
                  <wp:posOffset>57785</wp:posOffset>
                </wp:positionV>
                <wp:extent cx="4191000" cy="457200"/>
                <wp:effectExtent l="0" t="0" r="0" b="0"/>
                <wp:wrapTight wrapText="bothSides">
                  <wp:wrapPolygon edited="0">
                    <wp:start x="0" y="0"/>
                    <wp:lineTo x="0" y="20700"/>
                    <wp:lineTo x="21502" y="20700"/>
                    <wp:lineTo x="21502" y="0"/>
                    <wp:lineTo x="0" y="0"/>
                  </wp:wrapPolygon>
                </wp:wrapTight>
                <wp:docPr id="272" name="Text Box 272"/>
                <wp:cNvGraphicFramePr/>
                <a:graphic xmlns:a="http://schemas.openxmlformats.org/drawingml/2006/main">
                  <a:graphicData uri="http://schemas.microsoft.com/office/word/2010/wordprocessingShape">
                    <wps:wsp>
                      <wps:cNvSpPr txBox="1"/>
                      <wps:spPr>
                        <a:xfrm>
                          <a:off x="0" y="0"/>
                          <a:ext cx="4191000" cy="457200"/>
                        </a:xfrm>
                        <a:prstGeom prst="rect">
                          <a:avLst/>
                        </a:prstGeom>
                        <a:solidFill>
                          <a:prstClr val="white"/>
                        </a:solidFill>
                        <a:ln>
                          <a:noFill/>
                        </a:ln>
                        <a:effectLst/>
                      </wps:spPr>
                      <wps:txbx>
                        <w:txbxContent>
                          <w:p w:rsidR="003208E6" w:rsidRPr="00173882" w:rsidRDefault="003208E6" w:rsidP="001D3F19">
                            <w:pPr>
                              <w:rPr>
                                <w:rFonts w:ascii="Arial" w:hAnsi="Arial" w:cs="Arial"/>
                                <w:b/>
                                <w:sz w:val="20"/>
                                <w:szCs w:val="20"/>
                              </w:rPr>
                            </w:pPr>
                            <w:bookmarkStart w:id="465" w:name="_Ref361587986"/>
                            <w:bookmarkStart w:id="466" w:name="_Toc361733616"/>
                            <w:bookmarkStart w:id="467" w:name="_Toc361734259"/>
                            <w:bookmarkStart w:id="468" w:name="_Toc370511655"/>
                            <w:r w:rsidRPr="00173882">
                              <w:rPr>
                                <w:rFonts w:ascii="Arial" w:hAnsi="Arial" w:cs="Arial"/>
                                <w:b/>
                                <w:sz w:val="20"/>
                                <w:szCs w:val="20"/>
                              </w:rPr>
                              <w:t xml:space="preserve">Figure </w:t>
                            </w:r>
                            <w:r>
                              <w:rPr>
                                <w:rFonts w:ascii="Arial" w:hAnsi="Arial" w:cs="Arial"/>
                                <w:b/>
                                <w:sz w:val="20"/>
                                <w:szCs w:val="20"/>
                              </w:rPr>
                              <w:fldChar w:fldCharType="begin"/>
                            </w:r>
                            <w:r>
                              <w:rPr>
                                <w:rFonts w:ascii="Arial" w:hAnsi="Arial" w:cs="Arial"/>
                                <w:b/>
                                <w:sz w:val="20"/>
                                <w:szCs w:val="20"/>
                              </w:rPr>
                              <w:instrText xml:space="preserve"> STYLEREF 1 \s </w:instrText>
                            </w:r>
                            <w:r>
                              <w:rPr>
                                <w:rFonts w:ascii="Arial" w:hAnsi="Arial" w:cs="Arial"/>
                                <w:b/>
                                <w:sz w:val="20"/>
                                <w:szCs w:val="20"/>
                              </w:rPr>
                              <w:fldChar w:fldCharType="separate"/>
                            </w:r>
                            <w:r>
                              <w:rPr>
                                <w:rFonts w:ascii="Arial" w:hAnsi="Arial" w:cs="Arial"/>
                                <w:b/>
                                <w:noProof/>
                                <w:sz w:val="20"/>
                                <w:szCs w:val="20"/>
                                <w:cs/>
                              </w:rPr>
                              <w:t>‎</w:t>
                            </w:r>
                            <w:r>
                              <w:rPr>
                                <w:rFonts w:ascii="Arial" w:hAnsi="Arial" w:cs="Arial"/>
                                <w:b/>
                                <w:noProof/>
                                <w:sz w:val="20"/>
                                <w:szCs w:val="20"/>
                              </w:rPr>
                              <w:t>3</w:t>
                            </w:r>
                            <w:r>
                              <w:rPr>
                                <w:rFonts w:ascii="Arial" w:hAnsi="Arial" w:cs="Arial"/>
                                <w:b/>
                                <w:sz w:val="20"/>
                                <w:szCs w:val="20"/>
                              </w:rPr>
                              <w:fldChar w:fldCharType="end"/>
                            </w:r>
                            <w:r>
                              <w:rPr>
                                <w:rFonts w:ascii="Arial" w:hAnsi="Arial" w:cs="Arial"/>
                                <w:b/>
                                <w:sz w:val="20"/>
                                <w:szCs w:val="20"/>
                              </w:rPr>
                              <w:t>.</w:t>
                            </w:r>
                            <w:r>
                              <w:rPr>
                                <w:rFonts w:ascii="Arial" w:hAnsi="Arial" w:cs="Arial"/>
                                <w:b/>
                                <w:sz w:val="20"/>
                                <w:szCs w:val="20"/>
                              </w:rPr>
                              <w:fldChar w:fldCharType="begin"/>
                            </w:r>
                            <w:r>
                              <w:rPr>
                                <w:rFonts w:ascii="Arial" w:hAnsi="Arial" w:cs="Arial"/>
                                <w:b/>
                                <w:sz w:val="20"/>
                                <w:szCs w:val="20"/>
                              </w:rPr>
                              <w:instrText xml:space="preserve"> SEQ Figure \* ARABIC \s 1 </w:instrText>
                            </w:r>
                            <w:r>
                              <w:rPr>
                                <w:rFonts w:ascii="Arial" w:hAnsi="Arial" w:cs="Arial"/>
                                <w:b/>
                                <w:sz w:val="20"/>
                                <w:szCs w:val="20"/>
                              </w:rPr>
                              <w:fldChar w:fldCharType="separate"/>
                            </w:r>
                            <w:r>
                              <w:rPr>
                                <w:rFonts w:ascii="Arial" w:hAnsi="Arial" w:cs="Arial"/>
                                <w:b/>
                                <w:noProof/>
                                <w:sz w:val="20"/>
                                <w:szCs w:val="20"/>
                              </w:rPr>
                              <w:t>2</w:t>
                            </w:r>
                            <w:r>
                              <w:rPr>
                                <w:rFonts w:ascii="Arial" w:hAnsi="Arial" w:cs="Arial"/>
                                <w:b/>
                                <w:sz w:val="20"/>
                                <w:szCs w:val="20"/>
                              </w:rPr>
                              <w:fldChar w:fldCharType="end"/>
                            </w:r>
                            <w:bookmarkEnd w:id="465"/>
                            <w:r w:rsidRPr="00173882">
                              <w:rPr>
                                <w:rFonts w:ascii="Arial" w:hAnsi="Arial" w:cs="Arial"/>
                                <w:b/>
                                <w:sz w:val="20"/>
                                <w:szCs w:val="20"/>
                              </w:rPr>
                              <w:t xml:space="preserve"> Bacterial species found in primary infections</w:t>
                            </w:r>
                            <w:bookmarkEnd w:id="466"/>
                            <w:bookmarkEnd w:id="467"/>
                            <w:bookmarkEnd w:id="4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2" o:spid="_x0000_s1045" type="#_x0000_t202" style="position:absolute;left:0;text-align:left;margin-left:54.75pt;margin-top:4.55pt;width:330pt;height:36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" stroked="f">
                <v:textbox inset="0,0,0,0">
                  <w:txbxContent>
                    <w:p w:rsidR="003208E6" w:rsidRPr="00173882" w:rsidRDefault="003208E6" w:rsidP="001D3F19">
                      <w:pPr>
                        <w:rPr>
                          <w:rFonts w:ascii="Arial" w:hAnsi="Arial" w:cs="Arial"/>
                          <w:b/>
                          <w:sz w:val="20"/>
                          <w:szCs w:val="20"/>
                        </w:rPr>
                      </w:pPr>
                      <w:bookmarkStart w:id="503" w:name="_Ref361587986"/>
                      <w:bookmarkStart w:id="504" w:name="_Toc361733616"/>
                      <w:bookmarkStart w:id="505" w:name="_Toc361734259"/>
                      <w:bookmarkStart w:id="506" w:name="_Toc370511655"/>
                      <w:r w:rsidRPr="00173882">
                        <w:rPr>
                          <w:rFonts w:ascii="Arial" w:hAnsi="Arial" w:cs="Arial"/>
                          <w:b/>
                          <w:sz w:val="20"/>
                          <w:szCs w:val="20"/>
                        </w:rPr>
                        <w:t xml:space="preserve">Figure </w:t>
                      </w:r>
                      <w:r>
                        <w:rPr>
                          <w:rFonts w:ascii="Arial" w:hAnsi="Arial" w:cs="Arial"/>
                          <w:b/>
                          <w:sz w:val="20"/>
                          <w:szCs w:val="20"/>
                        </w:rPr>
                        <w:fldChar w:fldCharType="begin"/>
                      </w:r>
                      <w:r>
                        <w:rPr>
                          <w:rFonts w:ascii="Arial" w:hAnsi="Arial" w:cs="Arial"/>
                          <w:b/>
                          <w:sz w:val="20"/>
                          <w:szCs w:val="20"/>
                        </w:rPr>
                        <w:instrText xml:space="preserve"> STYLEREF 1 \s </w:instrText>
                      </w:r>
                      <w:r>
                        <w:rPr>
                          <w:rFonts w:ascii="Arial" w:hAnsi="Arial" w:cs="Arial"/>
                          <w:b/>
                          <w:sz w:val="20"/>
                          <w:szCs w:val="20"/>
                        </w:rPr>
                        <w:fldChar w:fldCharType="separate"/>
                      </w:r>
                      <w:r>
                        <w:rPr>
                          <w:rFonts w:ascii="Arial" w:hAnsi="Arial" w:cs="Arial"/>
                          <w:b/>
                          <w:noProof/>
                          <w:sz w:val="20"/>
                          <w:szCs w:val="20"/>
                          <w:cs/>
                        </w:rPr>
                        <w:t>‎</w:t>
                      </w:r>
                      <w:r>
                        <w:rPr>
                          <w:rFonts w:ascii="Arial" w:hAnsi="Arial" w:cs="Arial"/>
                          <w:b/>
                          <w:noProof/>
                          <w:sz w:val="20"/>
                          <w:szCs w:val="20"/>
                        </w:rPr>
                        <w:t>3</w:t>
                      </w:r>
                      <w:r>
                        <w:rPr>
                          <w:rFonts w:ascii="Arial" w:hAnsi="Arial" w:cs="Arial"/>
                          <w:b/>
                          <w:sz w:val="20"/>
                          <w:szCs w:val="20"/>
                        </w:rPr>
                        <w:fldChar w:fldCharType="end"/>
                      </w:r>
                      <w:r>
                        <w:rPr>
                          <w:rFonts w:ascii="Arial" w:hAnsi="Arial" w:cs="Arial"/>
                          <w:b/>
                          <w:sz w:val="20"/>
                          <w:szCs w:val="20"/>
                        </w:rPr>
                        <w:t>.</w:t>
                      </w:r>
                      <w:r>
                        <w:rPr>
                          <w:rFonts w:ascii="Arial" w:hAnsi="Arial" w:cs="Arial"/>
                          <w:b/>
                          <w:sz w:val="20"/>
                          <w:szCs w:val="20"/>
                        </w:rPr>
                        <w:fldChar w:fldCharType="begin"/>
                      </w:r>
                      <w:r>
                        <w:rPr>
                          <w:rFonts w:ascii="Arial" w:hAnsi="Arial" w:cs="Arial"/>
                          <w:b/>
                          <w:sz w:val="20"/>
                          <w:szCs w:val="20"/>
                        </w:rPr>
                        <w:instrText xml:space="preserve"> SEQ Figure \* ARABIC \s 1 </w:instrText>
                      </w:r>
                      <w:r>
                        <w:rPr>
                          <w:rFonts w:ascii="Arial" w:hAnsi="Arial" w:cs="Arial"/>
                          <w:b/>
                          <w:sz w:val="20"/>
                          <w:szCs w:val="20"/>
                        </w:rPr>
                        <w:fldChar w:fldCharType="separate"/>
                      </w:r>
                      <w:r>
                        <w:rPr>
                          <w:rFonts w:ascii="Arial" w:hAnsi="Arial" w:cs="Arial"/>
                          <w:b/>
                          <w:noProof/>
                          <w:sz w:val="20"/>
                          <w:szCs w:val="20"/>
                        </w:rPr>
                        <w:t>2</w:t>
                      </w:r>
                      <w:r>
                        <w:rPr>
                          <w:rFonts w:ascii="Arial" w:hAnsi="Arial" w:cs="Arial"/>
                          <w:b/>
                          <w:sz w:val="20"/>
                          <w:szCs w:val="20"/>
                        </w:rPr>
                        <w:fldChar w:fldCharType="end"/>
                      </w:r>
                      <w:bookmarkEnd w:id="503"/>
                      <w:r w:rsidRPr="00173882">
                        <w:rPr>
                          <w:rFonts w:ascii="Arial" w:hAnsi="Arial" w:cs="Arial"/>
                          <w:b/>
                          <w:sz w:val="20"/>
                          <w:szCs w:val="20"/>
                        </w:rPr>
                        <w:t xml:space="preserve"> Bacterial species found in primary infections</w:t>
                      </w:r>
                      <w:bookmarkEnd w:id="504"/>
                      <w:bookmarkEnd w:id="505"/>
                      <w:bookmarkEnd w:id="506"/>
                    </w:p>
                  </w:txbxContent>
                </v:textbox>
                <w10:wrap type="tight"/>
              </v:shape>
            </w:pict>
          </mc:Fallback>
        </mc:AlternateContent>
      </w:r>
    </w:p>
    <w:p w:rsidR="00805867" w:rsidRPr="00B013ED" w:rsidRDefault="00805867" w:rsidP="00805867">
      <w:pPr>
        <w:spacing w:line="480" w:lineRule="auto"/>
        <w:jc w:val="both"/>
        <w:rPr>
          <w:rFonts w:eastAsia="Times New Roman" w:cstheme="minorBidi"/>
          <w:lang w:eastAsia="en-GB"/>
        </w:rPr>
      </w:pPr>
      <w:r w:rsidRPr="00B013ED">
        <w:rPr>
          <w:rFonts w:ascii="Arial" w:hAnsi="Arial" w:cs="Arial"/>
          <w:noProof/>
          <w:lang w:eastAsia="en-GB"/>
        </w:rPr>
        <w:drawing>
          <wp:anchor distT="0" distB="0" distL="114300" distR="114300" simplePos="0" relativeHeight="251669504" behindDoc="1" locked="0" layoutInCell="1" allowOverlap="1" wp14:anchorId="0FAA2F55" wp14:editId="0EE6823C">
            <wp:simplePos x="0" y="0"/>
            <wp:positionH relativeFrom="column">
              <wp:posOffset>350520</wp:posOffset>
            </wp:positionH>
            <wp:positionV relativeFrom="paragraph">
              <wp:posOffset>140970</wp:posOffset>
            </wp:positionV>
            <wp:extent cx="4895850" cy="3049270"/>
            <wp:effectExtent l="0" t="0" r="0" b="0"/>
            <wp:wrapSquare wrapText="bothSides"/>
            <wp:docPr id="11" name="Picture 11" descr="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5850" cy="3049270"/>
                    </a:xfrm>
                    <a:prstGeom prst="rect">
                      <a:avLst/>
                    </a:prstGeom>
                    <a:noFill/>
                  </pic:spPr>
                </pic:pic>
              </a:graphicData>
            </a:graphic>
            <wp14:sizeRelH relativeFrom="page">
              <wp14:pctWidth>0</wp14:pctWidth>
            </wp14:sizeRelH>
            <wp14:sizeRelV relativeFrom="page">
              <wp14:pctHeight>0</wp14:pctHeight>
            </wp14:sizeRelV>
          </wp:anchor>
        </w:drawing>
      </w:r>
    </w:p>
    <w:p w:rsidR="00805867" w:rsidRPr="00B013ED" w:rsidRDefault="00805867" w:rsidP="00805867">
      <w:pPr>
        <w:spacing w:line="360" w:lineRule="auto"/>
        <w:rPr>
          <w:rFonts w:eastAsia="Corbel" w:cstheme="minorBidi"/>
          <w:szCs w:val="22"/>
        </w:rPr>
      </w:pPr>
    </w:p>
    <w:p w:rsidR="00805867" w:rsidRPr="00B013ED" w:rsidRDefault="00805867" w:rsidP="00805867">
      <w:pPr>
        <w:keepNext/>
        <w:keepLines/>
        <w:spacing w:before="200" w:line="360" w:lineRule="auto"/>
        <w:outlineLvl w:val="1"/>
        <w:rPr>
          <w:rFonts w:eastAsia="Times New Roman" w:cstheme="minorBidi"/>
          <w:b/>
          <w:bCs/>
          <w:color w:val="7030A0"/>
          <w:szCs w:val="26"/>
        </w:rPr>
      </w:pPr>
      <w:r w:rsidRPr="00B013ED">
        <w:rPr>
          <w:rFonts w:eastAsia="Times New Roman" w:cstheme="minorBidi"/>
          <w:b/>
          <w:bCs/>
          <w:color w:val="7030A0"/>
          <w:szCs w:val="26"/>
        </w:rPr>
        <w:br/>
      </w:r>
    </w:p>
    <w:p w:rsidR="00805867" w:rsidRPr="00B013ED" w:rsidRDefault="00805867" w:rsidP="00805867">
      <w:pPr>
        <w:rPr>
          <w:rFonts w:eastAsia="Times New Roman" w:cstheme="minorBidi"/>
          <w:b/>
          <w:bCs/>
          <w:color w:val="7030A0"/>
          <w:szCs w:val="26"/>
        </w:rPr>
      </w:pPr>
    </w:p>
    <w:p w:rsidR="00805867" w:rsidRPr="00B013ED" w:rsidRDefault="00805867" w:rsidP="00805867">
      <w:pPr>
        <w:rPr>
          <w:rFonts w:eastAsia="Times New Roman" w:cstheme="minorBidi"/>
          <w:b/>
          <w:bCs/>
          <w:color w:val="7030A0"/>
          <w:szCs w:val="26"/>
        </w:rPr>
      </w:pPr>
    </w:p>
    <w:p w:rsidR="00805867" w:rsidRPr="00B013ED" w:rsidRDefault="00805867" w:rsidP="00805867">
      <w:pPr>
        <w:rPr>
          <w:rFonts w:eastAsia="Times New Roman" w:cstheme="minorBidi"/>
          <w:b/>
          <w:bCs/>
          <w:color w:val="7030A0"/>
          <w:szCs w:val="26"/>
        </w:rPr>
      </w:pPr>
    </w:p>
    <w:p w:rsidR="00805867" w:rsidRPr="00B013ED" w:rsidRDefault="00805867" w:rsidP="00805867">
      <w:pPr>
        <w:rPr>
          <w:rFonts w:eastAsia="Times New Roman" w:cstheme="minorBidi"/>
          <w:b/>
          <w:bCs/>
          <w:color w:val="7030A0"/>
          <w:szCs w:val="26"/>
        </w:rPr>
      </w:pPr>
    </w:p>
    <w:p w:rsidR="00805867" w:rsidRPr="00B013ED" w:rsidRDefault="00805867" w:rsidP="00805867">
      <w:pPr>
        <w:rPr>
          <w:rFonts w:eastAsia="Times New Roman" w:cstheme="minorBidi"/>
          <w:b/>
          <w:bCs/>
          <w:color w:val="7030A0"/>
          <w:szCs w:val="26"/>
        </w:rPr>
      </w:pPr>
    </w:p>
    <w:p w:rsidR="00805867" w:rsidRPr="00B013ED" w:rsidRDefault="00805867" w:rsidP="00805867">
      <w:pPr>
        <w:rPr>
          <w:rFonts w:eastAsia="Times New Roman" w:cstheme="minorBidi"/>
          <w:b/>
          <w:bCs/>
          <w:color w:val="7030A0"/>
          <w:szCs w:val="26"/>
        </w:rPr>
      </w:pPr>
    </w:p>
    <w:p w:rsidR="00173882" w:rsidRDefault="00173882">
      <w:pPr>
        <w:rPr>
          <w:rFonts w:eastAsia="Times New Roman"/>
          <w:b/>
          <w:bCs/>
          <w:sz w:val="28"/>
          <w:lang w:eastAsia="en-GB"/>
        </w:rPr>
      </w:pPr>
      <w:r>
        <w:rPr>
          <w:rFonts w:eastAsia="Times New Roman"/>
          <w:lang w:eastAsia="en-GB"/>
        </w:rPr>
        <w:br w:type="page"/>
      </w:r>
    </w:p>
    <w:p w:rsidR="00082311" w:rsidRPr="00B013ED" w:rsidRDefault="00082311" w:rsidP="009B236F">
      <w:pPr>
        <w:pStyle w:val="Heading4"/>
        <w:spacing w:line="480" w:lineRule="auto"/>
        <w:rPr>
          <w:szCs w:val="24"/>
          <w:lang w:eastAsia="en-GB"/>
        </w:rPr>
      </w:pPr>
      <w:r w:rsidRPr="00B013ED">
        <w:rPr>
          <w:lang w:eastAsia="en-GB"/>
        </w:rPr>
        <w:lastRenderedPageBreak/>
        <w:t>Microbial i</w:t>
      </w:r>
      <w:r w:rsidR="001F5024">
        <w:rPr>
          <w:lang w:eastAsia="en-GB"/>
        </w:rPr>
        <w:t>nfluence on the development of p</w:t>
      </w:r>
      <w:r w:rsidRPr="00B013ED">
        <w:rPr>
          <w:lang w:eastAsia="en-GB"/>
        </w:rPr>
        <w:t>eriapical diseases</w:t>
      </w:r>
    </w:p>
    <w:p w:rsidR="008C7CB7" w:rsidRDefault="00173882" w:rsidP="008C7CB7">
      <w:pPr>
        <w:spacing w:after="120" w:line="480" w:lineRule="auto"/>
        <w:jc w:val="both"/>
        <w:rPr>
          <w:rFonts w:ascii="Arial" w:eastAsia="Times New Roman" w:hAnsi="Arial" w:cs="Arial"/>
          <w:color w:val="000000"/>
          <w:szCs w:val="24"/>
          <w:lang w:eastAsia="en-GB"/>
        </w:rPr>
      </w:pPr>
      <w:r w:rsidRPr="00B013ED">
        <w:rPr>
          <w:rFonts w:ascii="Arial" w:eastAsia="Times New Roman" w:hAnsi="Arial" w:cs="Arial"/>
          <w:color w:val="000000"/>
          <w:szCs w:val="24"/>
          <w:lang w:eastAsia="en-GB"/>
        </w:rPr>
        <w:t xml:space="preserve">Apical periodontitis is an inflammation and destruction of periradicular tissues caused by </w:t>
      </w:r>
      <w:r>
        <w:rPr>
          <w:rFonts w:ascii="Arial" w:eastAsia="Times New Roman" w:hAnsi="Arial" w:cs="Arial"/>
          <w:color w:val="000000"/>
          <w:szCs w:val="24"/>
          <w:lang w:eastAsia="en-GB"/>
        </w:rPr>
        <w:t>a</w:t>
      </w:r>
      <w:r w:rsidRPr="00B013ED">
        <w:rPr>
          <w:rFonts w:ascii="Arial" w:eastAsia="Times New Roman" w:hAnsi="Arial" w:cs="Arial"/>
          <w:color w:val="000000"/>
          <w:szCs w:val="24"/>
          <w:lang w:eastAsia="en-GB"/>
        </w:rPr>
        <w:t>etiological agent</w:t>
      </w:r>
      <w:r>
        <w:rPr>
          <w:rFonts w:ascii="Arial" w:eastAsia="Times New Roman" w:hAnsi="Arial" w:cs="Arial"/>
          <w:color w:val="000000"/>
          <w:szCs w:val="24"/>
          <w:lang w:eastAsia="en-GB"/>
        </w:rPr>
        <w:t>s</w:t>
      </w:r>
      <w:r w:rsidRPr="00B013ED">
        <w:rPr>
          <w:rFonts w:ascii="Arial" w:eastAsia="Times New Roman" w:hAnsi="Arial" w:cs="Arial"/>
          <w:color w:val="000000"/>
          <w:szCs w:val="24"/>
          <w:lang w:eastAsia="en-GB"/>
        </w:rPr>
        <w:t xml:space="preserve"> of endodontic origin. Periapical disease development is a complex process between pathogens and bodily defence mechanisms. Progression of any disease may</w:t>
      </w:r>
      <w:r w:rsidRPr="00B013ED">
        <w:rPr>
          <w:rFonts w:ascii="Arial" w:eastAsia="Times New Roman" w:hAnsi="Arial" w:cs="Arial"/>
          <w:color w:val="000000"/>
          <w:sz w:val="28"/>
          <w:lang w:eastAsia="en-GB"/>
        </w:rPr>
        <w:t xml:space="preserve"> </w:t>
      </w:r>
      <w:r w:rsidRPr="00B013ED">
        <w:rPr>
          <w:rFonts w:ascii="Arial" w:eastAsia="Times New Roman" w:hAnsi="Arial" w:cs="Arial"/>
          <w:color w:val="000000"/>
          <w:szCs w:val="24"/>
          <w:lang w:eastAsia="en-GB"/>
        </w:rPr>
        <w:t xml:space="preserve">combine or rely completely on pathogen virulence factors or debilitated bodily immunity. Under normal conditions, dental pulp and dentine are completely sterile and protected from external environment by an overlying enamel and cementum. </w:t>
      </w:r>
    </w:p>
    <w:p w:rsidR="00173882" w:rsidRPr="00B013ED" w:rsidRDefault="00173882" w:rsidP="008C7CB7">
      <w:pPr>
        <w:spacing w:after="120" w:line="480" w:lineRule="auto"/>
        <w:jc w:val="both"/>
        <w:rPr>
          <w:rFonts w:ascii="Arial" w:eastAsia="Times New Roman" w:hAnsi="Arial" w:cs="Arial"/>
          <w:color w:val="000000"/>
          <w:szCs w:val="24"/>
          <w:lang w:eastAsia="en-GB"/>
        </w:rPr>
      </w:pPr>
      <w:r w:rsidRPr="00B013ED">
        <w:rPr>
          <w:rFonts w:ascii="Arial" w:eastAsia="Times New Roman" w:hAnsi="Arial" w:cs="Arial"/>
          <w:color w:val="000000"/>
          <w:szCs w:val="24"/>
          <w:lang w:eastAsia="en-GB"/>
        </w:rPr>
        <w:t xml:space="preserve">In conventional laboratory rats, oral microorganisms </w:t>
      </w:r>
      <w:r>
        <w:rPr>
          <w:rFonts w:ascii="Arial" w:eastAsia="Times New Roman" w:hAnsi="Arial" w:cs="Arial"/>
          <w:color w:val="000000"/>
          <w:szCs w:val="24"/>
          <w:lang w:eastAsia="en-GB"/>
        </w:rPr>
        <w:t xml:space="preserve">have been shown to </w:t>
      </w:r>
      <w:r w:rsidRPr="00B013ED">
        <w:rPr>
          <w:rFonts w:ascii="Arial" w:eastAsia="Times New Roman" w:hAnsi="Arial" w:cs="Arial"/>
          <w:color w:val="000000"/>
          <w:szCs w:val="24"/>
          <w:lang w:eastAsia="en-GB"/>
        </w:rPr>
        <w:t xml:space="preserve">enter the pulp cavity </w:t>
      </w:r>
      <w:r>
        <w:rPr>
          <w:rFonts w:ascii="Arial" w:eastAsia="Times New Roman" w:hAnsi="Arial" w:cs="Arial"/>
          <w:color w:val="000000"/>
          <w:szCs w:val="24"/>
          <w:lang w:eastAsia="en-GB"/>
        </w:rPr>
        <w:t>and</w:t>
      </w:r>
      <w:r w:rsidRPr="00B013ED">
        <w:rPr>
          <w:rFonts w:ascii="Arial" w:eastAsia="Times New Roman" w:hAnsi="Arial" w:cs="Arial"/>
          <w:color w:val="000000"/>
          <w:szCs w:val="24"/>
          <w:lang w:eastAsia="en-GB"/>
        </w:rPr>
        <w:t xml:space="preserve"> cause pulpal inflammation and necrosis (</w:t>
      </w:r>
      <w:r w:rsidRPr="00F40909">
        <w:rPr>
          <w:rFonts w:ascii="Arial" w:eastAsia="Times New Roman" w:hAnsi="Arial" w:cs="Arial"/>
          <w:color w:val="000000"/>
          <w:szCs w:val="24"/>
          <w:lang w:eastAsia="en-GB"/>
        </w:rPr>
        <w:t xml:space="preserve">Kakehashi </w:t>
      </w:r>
      <w:r w:rsidRPr="00F40909">
        <w:rPr>
          <w:rFonts w:ascii="Arial" w:eastAsia="Times New Roman" w:hAnsi="Arial" w:cs="Arial"/>
          <w:i/>
          <w:iCs/>
          <w:color w:val="000000"/>
          <w:szCs w:val="24"/>
          <w:lang w:eastAsia="en-GB"/>
        </w:rPr>
        <w:t>et al.,</w:t>
      </w:r>
      <w:r w:rsidRPr="00F40909">
        <w:rPr>
          <w:rFonts w:ascii="Arial" w:eastAsia="Times New Roman" w:hAnsi="Arial" w:cs="Arial"/>
          <w:color w:val="000000"/>
          <w:szCs w:val="24"/>
          <w:lang w:eastAsia="en-GB"/>
        </w:rPr>
        <w:t xml:space="preserve"> 1965). Subsequently, peri-radicular inflammation emerged that needed 1 to 42 days after exposure of coronal pulp. The classic study of (Kakehashi</w:t>
      </w:r>
      <w:r w:rsidRPr="00121A09">
        <w:rPr>
          <w:rFonts w:ascii="Arial" w:eastAsia="Times New Roman" w:hAnsi="Arial" w:cs="Arial"/>
          <w:color w:val="000000"/>
          <w:szCs w:val="24"/>
          <w:lang w:eastAsia="en-GB"/>
        </w:rPr>
        <w:t xml:space="preserve"> </w:t>
      </w:r>
      <w:r w:rsidRPr="00B013ED">
        <w:rPr>
          <w:rFonts w:ascii="Arial" w:eastAsia="Times New Roman" w:hAnsi="Arial" w:cs="Arial"/>
          <w:i/>
          <w:iCs/>
          <w:color w:val="000000"/>
          <w:szCs w:val="24"/>
          <w:lang w:eastAsia="en-GB"/>
        </w:rPr>
        <w:t>et al.,</w:t>
      </w:r>
      <w:r w:rsidRPr="00B013ED">
        <w:rPr>
          <w:rFonts w:ascii="Arial" w:eastAsia="Times New Roman" w:hAnsi="Arial" w:cs="Arial"/>
          <w:color w:val="000000"/>
          <w:szCs w:val="24"/>
          <w:lang w:eastAsia="en-GB"/>
        </w:rPr>
        <w:t xml:space="preserve"> 1965) showed that peri</w:t>
      </w:r>
      <w:r>
        <w:rPr>
          <w:rFonts w:ascii="Arial" w:eastAsia="Times New Roman" w:hAnsi="Arial" w:cs="Arial"/>
          <w:color w:val="000000"/>
          <w:szCs w:val="24"/>
          <w:lang w:eastAsia="en-GB"/>
        </w:rPr>
        <w:t>-</w:t>
      </w:r>
      <w:r w:rsidRPr="00B013ED">
        <w:rPr>
          <w:rFonts w:ascii="Arial" w:eastAsia="Times New Roman" w:hAnsi="Arial" w:cs="Arial"/>
          <w:color w:val="000000"/>
          <w:szCs w:val="24"/>
          <w:lang w:eastAsia="en-GB"/>
        </w:rPr>
        <w:t xml:space="preserve">radicular inflammation developed in conventional laboratory rats but not in germ-free rats with surgically exposed pulps. </w:t>
      </w:r>
    </w:p>
    <w:p w:rsidR="00173882" w:rsidRPr="00B013ED" w:rsidRDefault="00173882" w:rsidP="00173882">
      <w:pPr>
        <w:spacing w:after="120" w:line="480" w:lineRule="auto"/>
        <w:jc w:val="both"/>
        <w:rPr>
          <w:rFonts w:ascii="Arial" w:eastAsia="Times New Roman" w:hAnsi="Arial" w:cs="Arial"/>
          <w:color w:val="000000"/>
          <w:szCs w:val="24"/>
          <w:lang w:eastAsia="en-GB"/>
        </w:rPr>
      </w:pPr>
      <w:r w:rsidRPr="00B013ED">
        <w:rPr>
          <w:rFonts w:ascii="Arial" w:eastAsia="Times New Roman" w:hAnsi="Arial" w:cs="Arial"/>
          <w:color w:val="000000"/>
          <w:szCs w:val="24"/>
          <w:lang w:eastAsia="en-GB"/>
        </w:rPr>
        <w:t>On the other hand, uninfected devitali</w:t>
      </w:r>
      <w:r>
        <w:rPr>
          <w:rFonts w:ascii="Arial" w:eastAsia="Times New Roman" w:hAnsi="Arial" w:cs="Arial"/>
          <w:color w:val="000000"/>
          <w:szCs w:val="24"/>
          <w:lang w:eastAsia="en-GB"/>
        </w:rPr>
        <w:t>s</w:t>
      </w:r>
      <w:r w:rsidRPr="00B013ED">
        <w:rPr>
          <w:rFonts w:ascii="Arial" w:eastAsia="Times New Roman" w:hAnsi="Arial" w:cs="Arial"/>
          <w:color w:val="000000"/>
          <w:szCs w:val="24"/>
          <w:lang w:eastAsia="en-GB"/>
        </w:rPr>
        <w:t>ed pulp could not stimulate any inflammatory response (</w:t>
      </w:r>
      <w:r>
        <w:rPr>
          <w:rFonts w:ascii="Arial" w:eastAsia="Times New Roman" w:hAnsi="Arial" w:cs="Arial"/>
          <w:color w:val="000000"/>
          <w:szCs w:val="24"/>
          <w:lang w:eastAsia="en-GB"/>
        </w:rPr>
        <w:t xml:space="preserve">Lin </w:t>
      </w:r>
      <w:r w:rsidRPr="00B013ED">
        <w:rPr>
          <w:rFonts w:ascii="Arial" w:eastAsia="Times New Roman" w:hAnsi="Arial" w:cs="Arial"/>
          <w:i/>
          <w:iCs/>
          <w:color w:val="000000"/>
          <w:szCs w:val="24"/>
          <w:lang w:eastAsia="en-GB"/>
        </w:rPr>
        <w:t>et al.,</w:t>
      </w:r>
      <w:r w:rsidRPr="00B013ED">
        <w:rPr>
          <w:rFonts w:ascii="Arial" w:eastAsia="Times New Roman" w:hAnsi="Arial" w:cs="Arial"/>
          <w:color w:val="000000"/>
          <w:szCs w:val="24"/>
          <w:lang w:eastAsia="en-GB"/>
        </w:rPr>
        <w:t xml:space="preserve"> 2006). </w:t>
      </w:r>
    </w:p>
    <w:p w:rsidR="00173882" w:rsidRPr="00B013ED" w:rsidRDefault="00173882" w:rsidP="00173882">
      <w:pPr>
        <w:spacing w:after="120" w:line="480" w:lineRule="auto"/>
        <w:jc w:val="both"/>
        <w:rPr>
          <w:rFonts w:ascii="Arial" w:eastAsia="Times New Roman" w:hAnsi="Arial" w:cs="Arial"/>
          <w:color w:val="000000"/>
          <w:szCs w:val="24"/>
          <w:lang w:eastAsia="en-GB"/>
        </w:rPr>
      </w:pPr>
      <w:r w:rsidRPr="00B013ED">
        <w:rPr>
          <w:rFonts w:ascii="Arial" w:eastAsia="Times New Roman" w:hAnsi="Arial" w:cs="Arial"/>
          <w:color w:val="000000"/>
          <w:szCs w:val="24"/>
          <w:lang w:eastAsia="en-GB"/>
        </w:rPr>
        <w:t>Despite the large number of bacterial species coloni</w:t>
      </w:r>
      <w:r>
        <w:rPr>
          <w:rFonts w:ascii="Arial" w:eastAsia="Times New Roman" w:hAnsi="Arial" w:cs="Arial"/>
          <w:color w:val="000000"/>
          <w:szCs w:val="24"/>
          <w:lang w:eastAsia="en-GB"/>
        </w:rPr>
        <w:t>s</w:t>
      </w:r>
      <w:r w:rsidRPr="00B013ED">
        <w:rPr>
          <w:rFonts w:ascii="Arial" w:eastAsia="Times New Roman" w:hAnsi="Arial" w:cs="Arial"/>
          <w:color w:val="000000"/>
          <w:szCs w:val="24"/>
          <w:lang w:eastAsia="en-GB"/>
        </w:rPr>
        <w:t xml:space="preserve">ing oral cavity, only few species can survive inside the root canal, either with live or necrotic pulp tissue. The endodontic environment provides a selective habitat for establishment of a mixed with predominant strict anaerobic flora. </w:t>
      </w:r>
    </w:p>
    <w:p w:rsidR="00173882" w:rsidRPr="00B013ED" w:rsidRDefault="00173882" w:rsidP="00173882">
      <w:pPr>
        <w:spacing w:after="120" w:line="480" w:lineRule="auto"/>
        <w:jc w:val="both"/>
        <w:rPr>
          <w:rFonts w:ascii="Arial" w:eastAsia="Times New Roman" w:hAnsi="Arial" w:cs="Arial"/>
          <w:color w:val="000000"/>
          <w:szCs w:val="24"/>
          <w:lang w:eastAsia="en-GB"/>
        </w:rPr>
      </w:pPr>
      <w:r w:rsidRPr="00B013ED">
        <w:rPr>
          <w:rFonts w:ascii="Arial" w:eastAsia="Times New Roman" w:hAnsi="Arial" w:cs="Arial"/>
          <w:color w:val="000000"/>
          <w:szCs w:val="24"/>
          <w:lang w:eastAsia="en-GB"/>
        </w:rPr>
        <w:t xml:space="preserve">Microorganisms can reach the dental pulp mainly by breaching the hard tissue wall, </w:t>
      </w:r>
      <w:r>
        <w:rPr>
          <w:rFonts w:ascii="Arial" w:eastAsia="Times New Roman" w:hAnsi="Arial" w:cs="Arial"/>
          <w:color w:val="000000"/>
          <w:szCs w:val="24"/>
          <w:lang w:eastAsia="en-GB"/>
        </w:rPr>
        <w:t>due to</w:t>
      </w:r>
      <w:r w:rsidRPr="00B013ED">
        <w:rPr>
          <w:rFonts w:ascii="Arial" w:eastAsia="Times New Roman" w:hAnsi="Arial" w:cs="Arial"/>
          <w:color w:val="000000"/>
          <w:szCs w:val="24"/>
          <w:lang w:eastAsia="en-GB"/>
        </w:rPr>
        <w:t xml:space="preserve"> caries, clinical procedures or trauma induced fractures and cracks (</w:t>
      </w:r>
      <w:r>
        <w:rPr>
          <w:rFonts w:ascii="Arial" w:eastAsia="Times New Roman" w:hAnsi="Arial" w:cs="Arial"/>
          <w:color w:val="000000"/>
          <w:szCs w:val="24"/>
          <w:lang w:eastAsia="en-GB"/>
        </w:rPr>
        <w:t>Lin</w:t>
      </w:r>
      <w:r w:rsidRPr="00B013ED">
        <w:rPr>
          <w:rFonts w:ascii="Arial" w:eastAsia="Times New Roman" w:hAnsi="Arial" w:cs="Arial"/>
          <w:color w:val="000000"/>
          <w:szCs w:val="24"/>
          <w:lang w:eastAsia="en-GB"/>
        </w:rPr>
        <w:t xml:space="preserve"> </w:t>
      </w:r>
      <w:r w:rsidRPr="00B013ED">
        <w:rPr>
          <w:rFonts w:ascii="Arial" w:eastAsia="Times New Roman" w:hAnsi="Arial" w:cs="Arial"/>
          <w:i/>
          <w:iCs/>
          <w:color w:val="000000"/>
          <w:szCs w:val="24"/>
          <w:lang w:eastAsia="en-GB"/>
        </w:rPr>
        <w:t>et al.,</w:t>
      </w:r>
      <w:r w:rsidRPr="00B013ED">
        <w:rPr>
          <w:rFonts w:ascii="Arial" w:eastAsia="Times New Roman" w:hAnsi="Arial" w:cs="Arial"/>
          <w:color w:val="000000"/>
          <w:szCs w:val="24"/>
          <w:lang w:eastAsia="en-GB"/>
        </w:rPr>
        <w:t xml:space="preserve"> 2006). These routes have been considered as the most frequent portals of pulp infection where the bacteria can survive the host defences (Ørstavik and Ford, 2008). However, microbes have also been isolated from </w:t>
      </w:r>
      <w:r w:rsidRPr="00B013ED">
        <w:rPr>
          <w:rFonts w:ascii="Arial" w:eastAsia="Times New Roman" w:hAnsi="Arial" w:cs="Arial"/>
          <w:color w:val="000000"/>
          <w:szCs w:val="24"/>
          <w:lang w:eastAsia="en-GB"/>
        </w:rPr>
        <w:lastRenderedPageBreak/>
        <w:t xml:space="preserve">necrotic pulps and clinically intact crowns (Nair, 2006). These microbes may reach </w:t>
      </w:r>
      <w:r>
        <w:rPr>
          <w:rFonts w:ascii="Arial" w:eastAsia="Times New Roman" w:hAnsi="Arial" w:cs="Arial"/>
          <w:color w:val="000000"/>
          <w:szCs w:val="24"/>
          <w:lang w:eastAsia="en-GB"/>
        </w:rPr>
        <w:t xml:space="preserve">the </w:t>
      </w:r>
      <w:r w:rsidRPr="00B013ED">
        <w:rPr>
          <w:rFonts w:ascii="Arial" w:eastAsia="Times New Roman" w:hAnsi="Arial" w:cs="Arial"/>
          <w:color w:val="000000"/>
          <w:szCs w:val="24"/>
          <w:lang w:eastAsia="en-GB"/>
        </w:rPr>
        <w:t>pulp through severed periodontal blood vessels of periodontal pockets (Nair, 2006).</w:t>
      </w:r>
    </w:p>
    <w:p w:rsidR="00173882" w:rsidRPr="00B013ED" w:rsidRDefault="00173882" w:rsidP="00173882">
      <w:pPr>
        <w:spacing w:after="120" w:line="480" w:lineRule="auto"/>
        <w:jc w:val="both"/>
        <w:rPr>
          <w:rFonts w:ascii="Arial" w:eastAsia="Times New Roman" w:hAnsi="Arial" w:cs="Arial"/>
          <w:color w:val="000000"/>
          <w:szCs w:val="24"/>
          <w:lang w:eastAsia="en-GB"/>
        </w:rPr>
      </w:pPr>
      <w:r w:rsidRPr="00B013ED">
        <w:rPr>
          <w:rFonts w:ascii="Arial" w:eastAsia="Times New Roman" w:hAnsi="Arial" w:cs="Arial"/>
          <w:color w:val="000000"/>
          <w:szCs w:val="24"/>
          <w:lang w:eastAsia="en-GB"/>
        </w:rPr>
        <w:t xml:space="preserve">The root canal flora of teeth with intact crowns, but having necrotic pulps and diseased </w:t>
      </w:r>
      <w:r w:rsidRPr="00121A09">
        <w:rPr>
          <w:rFonts w:ascii="Arial" w:eastAsia="Times New Roman" w:hAnsi="Arial" w:cs="Arial"/>
          <w:color w:val="000000"/>
          <w:szCs w:val="24"/>
          <w:lang w:eastAsia="en-GB"/>
        </w:rPr>
        <w:t>periapical</w:t>
      </w:r>
      <w:r>
        <w:rPr>
          <w:rFonts w:ascii="Arial" w:eastAsia="Times New Roman" w:hAnsi="Arial" w:cs="Arial"/>
          <w:color w:val="000000"/>
          <w:szCs w:val="24"/>
          <w:lang w:eastAsia="en-GB"/>
        </w:rPr>
        <w:t xml:space="preserve"> tissues</w:t>
      </w:r>
      <w:r w:rsidRPr="00B013ED">
        <w:rPr>
          <w:rFonts w:ascii="Arial" w:eastAsia="Times New Roman" w:hAnsi="Arial" w:cs="Arial"/>
          <w:color w:val="000000"/>
          <w:szCs w:val="24"/>
          <w:lang w:eastAsia="en-GB"/>
        </w:rPr>
        <w:t xml:space="preserve"> </w:t>
      </w:r>
      <w:r>
        <w:rPr>
          <w:rFonts w:ascii="Arial" w:eastAsia="Times New Roman" w:hAnsi="Arial" w:cs="Arial"/>
          <w:color w:val="000000"/>
          <w:szCs w:val="24"/>
          <w:lang w:eastAsia="en-GB"/>
        </w:rPr>
        <w:t>are</w:t>
      </w:r>
      <w:r w:rsidRPr="00B013ED">
        <w:rPr>
          <w:rFonts w:ascii="Arial" w:eastAsia="Times New Roman" w:hAnsi="Arial" w:cs="Arial"/>
          <w:color w:val="000000"/>
          <w:szCs w:val="24"/>
          <w:lang w:eastAsia="en-GB"/>
        </w:rPr>
        <w:t xml:space="preserve"> dominated by obligate anaerobes (Tani-Ishii, 1994). Consequently, </w:t>
      </w:r>
      <w:r>
        <w:rPr>
          <w:rFonts w:ascii="Arial" w:eastAsia="Times New Roman" w:hAnsi="Arial" w:cs="Arial"/>
          <w:color w:val="000000"/>
          <w:szCs w:val="24"/>
          <w:lang w:eastAsia="en-GB"/>
        </w:rPr>
        <w:t xml:space="preserve">the </w:t>
      </w:r>
      <w:r w:rsidRPr="00B013ED">
        <w:rPr>
          <w:rFonts w:ascii="Arial" w:eastAsia="Times New Roman" w:hAnsi="Arial" w:cs="Arial"/>
          <w:color w:val="000000"/>
          <w:szCs w:val="24"/>
          <w:lang w:eastAsia="en-GB"/>
        </w:rPr>
        <w:t>types of pathogen</w:t>
      </w:r>
      <w:r>
        <w:rPr>
          <w:rFonts w:ascii="Arial" w:eastAsia="Times New Roman" w:hAnsi="Arial" w:cs="Arial"/>
          <w:color w:val="000000"/>
          <w:szCs w:val="24"/>
          <w:lang w:eastAsia="en-GB"/>
        </w:rPr>
        <w:t xml:space="preserve">s </w:t>
      </w:r>
      <w:r w:rsidR="008C7CB7">
        <w:rPr>
          <w:rFonts w:ascii="Arial" w:eastAsia="Times New Roman" w:hAnsi="Arial" w:cs="Arial"/>
          <w:color w:val="000000"/>
          <w:szCs w:val="24"/>
          <w:lang w:eastAsia="en-GB"/>
        </w:rPr>
        <w:t xml:space="preserve">that </w:t>
      </w:r>
      <w:r w:rsidR="008C7CB7" w:rsidRPr="00B013ED">
        <w:rPr>
          <w:rFonts w:ascii="Arial" w:eastAsia="Times New Roman" w:hAnsi="Arial" w:cs="Arial"/>
          <w:color w:val="000000"/>
          <w:szCs w:val="24"/>
          <w:lang w:eastAsia="en-GB"/>
        </w:rPr>
        <w:t>colonise</w:t>
      </w:r>
      <w:r w:rsidRPr="00B013ED">
        <w:rPr>
          <w:rFonts w:ascii="Arial" w:eastAsia="Times New Roman" w:hAnsi="Arial" w:cs="Arial"/>
          <w:color w:val="000000"/>
          <w:szCs w:val="24"/>
          <w:lang w:eastAsia="en-GB"/>
        </w:rPr>
        <w:t xml:space="preserve"> the pulp and periapical area reflect </w:t>
      </w:r>
      <w:r>
        <w:rPr>
          <w:rFonts w:ascii="Arial" w:eastAsia="Times New Roman" w:hAnsi="Arial" w:cs="Arial"/>
          <w:color w:val="000000"/>
          <w:szCs w:val="24"/>
          <w:lang w:eastAsia="en-GB"/>
        </w:rPr>
        <w:t>the</w:t>
      </w:r>
      <w:r w:rsidRPr="00B013ED">
        <w:rPr>
          <w:rFonts w:ascii="Arial" w:eastAsia="Times New Roman" w:hAnsi="Arial" w:cs="Arial"/>
          <w:color w:val="000000"/>
          <w:szCs w:val="24"/>
          <w:lang w:eastAsia="en-GB"/>
        </w:rPr>
        <w:t xml:space="preserve"> clinical signs and symptom</w:t>
      </w:r>
      <w:r>
        <w:rPr>
          <w:rFonts w:ascii="Arial" w:eastAsia="Times New Roman" w:hAnsi="Arial" w:cs="Arial"/>
          <w:color w:val="000000"/>
          <w:szCs w:val="24"/>
          <w:lang w:eastAsia="en-GB"/>
        </w:rPr>
        <w:t>s.</w:t>
      </w:r>
    </w:p>
    <w:p w:rsidR="00805867" w:rsidRPr="00B013ED" w:rsidRDefault="00533B81" w:rsidP="00762F29">
      <w:pPr>
        <w:rPr>
          <w:rFonts w:eastAsia="Times New Roman" w:cstheme="minorBidi"/>
          <w:b/>
          <w:bCs/>
          <w:szCs w:val="26"/>
        </w:rPr>
      </w:pPr>
      <w:r w:rsidRPr="00B013ED">
        <w:rPr>
          <w:rFonts w:eastAsia="Times New Roman" w:cstheme="minorBidi"/>
          <w:b/>
          <w:bCs/>
          <w:szCs w:val="26"/>
        </w:rPr>
        <w:br w:type="page"/>
      </w:r>
    </w:p>
    <w:p w:rsidR="00805867" w:rsidRPr="00B013ED" w:rsidRDefault="00805867" w:rsidP="009B236F">
      <w:pPr>
        <w:pStyle w:val="Heading2"/>
      </w:pPr>
      <w:bookmarkStart w:id="469" w:name="_Toc370819256"/>
      <w:r w:rsidRPr="00B013ED">
        <w:lastRenderedPageBreak/>
        <w:t>Dentinal tubules</w:t>
      </w:r>
      <w:bookmarkEnd w:id="469"/>
    </w:p>
    <w:p w:rsidR="00B30E8F" w:rsidRPr="0030050E" w:rsidRDefault="00861FAD" w:rsidP="0030050E">
      <w:pPr>
        <w:spacing w:line="480" w:lineRule="auto"/>
        <w:jc w:val="both"/>
        <w:rPr>
          <w:rFonts w:ascii="Arial" w:eastAsia="Corbel" w:hAnsi="Arial" w:cs="Arial"/>
          <w:szCs w:val="24"/>
        </w:rPr>
      </w:pPr>
      <w:r w:rsidRPr="00B42737">
        <w:rPr>
          <w:rFonts w:ascii="Arial" w:eastAsia="Corbel" w:hAnsi="Arial" w:cs="Arial"/>
          <w:szCs w:val="24"/>
        </w:rPr>
        <w:t>The sterile pulp-dentine complex (PDC) is protected by the enamel and cementum. However, an infringement of these layers exposes the dentinal tubules to several predominant bacterial species in the oral cavity. Due to their tubular structure and permeable nature, bacteria from caries and periodontal disease can easily penetrate the tubules. Bacteria present in carious lesions have been deemed responsible for the aetiology of pulpitis (</w:t>
      </w:r>
      <w:r w:rsidRPr="00B42737">
        <w:rPr>
          <w:rFonts w:ascii="Arial" w:hAnsi="Arial" w:cs="Arial"/>
          <w:szCs w:val="24"/>
        </w:rPr>
        <w:t xml:space="preserve">Haapasalo </w:t>
      </w:r>
      <w:r w:rsidRPr="00B42737">
        <w:rPr>
          <w:rFonts w:ascii="Arial" w:hAnsi="Arial" w:cs="Arial"/>
          <w:i/>
          <w:szCs w:val="24"/>
        </w:rPr>
        <w:t>et al.,</w:t>
      </w:r>
      <w:r w:rsidRPr="00B42737">
        <w:rPr>
          <w:rFonts w:ascii="Arial" w:hAnsi="Arial" w:cs="Arial"/>
          <w:szCs w:val="24"/>
        </w:rPr>
        <w:t xml:space="preserve"> </w:t>
      </w:r>
      <w:r w:rsidRPr="00B42737">
        <w:rPr>
          <w:rFonts w:ascii="Arial" w:eastAsia="Corbel" w:hAnsi="Arial" w:cs="Arial"/>
          <w:szCs w:val="24"/>
        </w:rPr>
        <w:t>2003). Conditions like tooth surface loss and trauma can expose the dentinal tubules to the oral microbiota. Iatrogenic factors like microleakage from poor restorative margins and aggressive root planning also result in dentinal exposure. In addition, bacterial assault may occur from the radicular dentine (</w:t>
      </w:r>
      <w:r w:rsidRPr="00B42737">
        <w:rPr>
          <w:rFonts w:ascii="Arial" w:hAnsi="Arial" w:cs="Arial"/>
          <w:szCs w:val="24"/>
        </w:rPr>
        <w:t>Love and Jenkinson, 2002).</w:t>
      </w:r>
      <w:r w:rsidRPr="00B42737">
        <w:rPr>
          <w:rFonts w:ascii="Arial" w:eastAsia="Corbel" w:hAnsi="Arial" w:cs="Arial"/>
          <w:szCs w:val="24"/>
        </w:rPr>
        <w:t xml:space="preserve"> Despite th</w:t>
      </w:r>
      <w:r>
        <w:rPr>
          <w:rFonts w:ascii="Arial" w:eastAsia="Corbel" w:hAnsi="Arial" w:cs="Arial"/>
          <w:szCs w:val="24"/>
        </w:rPr>
        <w:t>i</w:t>
      </w:r>
      <w:r w:rsidRPr="00B42737">
        <w:rPr>
          <w:rFonts w:ascii="Arial" w:eastAsia="Corbel" w:hAnsi="Arial" w:cs="Arial"/>
          <w:szCs w:val="24"/>
        </w:rPr>
        <w:t>s microbial invasion can be allayed by the outward flow of the dentinal fluid. Odontoblasts have special ‘Toll-like Receptors’ (TLRs) that can ‘sense’ cariogenic bacteria and induce the production of chemokines for pulpal protection (</w:t>
      </w:r>
      <w:r w:rsidRPr="00B42737">
        <w:rPr>
          <w:rFonts w:ascii="Arial" w:hAnsi="Arial" w:cs="Arial"/>
          <w:szCs w:val="24"/>
        </w:rPr>
        <w:t xml:space="preserve">Farges </w:t>
      </w:r>
      <w:r w:rsidRPr="00B42737">
        <w:rPr>
          <w:rFonts w:ascii="Arial" w:hAnsi="Arial" w:cs="Arial"/>
          <w:i/>
          <w:szCs w:val="24"/>
        </w:rPr>
        <w:t>et al.,</w:t>
      </w:r>
      <w:r w:rsidRPr="00B42737">
        <w:rPr>
          <w:rFonts w:ascii="Arial" w:hAnsi="Arial" w:cs="Arial"/>
          <w:szCs w:val="24"/>
        </w:rPr>
        <w:t xml:space="preserve"> </w:t>
      </w:r>
      <w:r w:rsidRPr="00B42737">
        <w:rPr>
          <w:rFonts w:ascii="Arial" w:eastAsia="Corbel" w:hAnsi="Arial" w:cs="Arial"/>
          <w:szCs w:val="24"/>
        </w:rPr>
        <w:t xml:space="preserve">2009). The presence of a smear layer also blocks the dentinal tubules and prevents or delays bacterial ingress. The laying down of sclerotic and tertiary dentine is seen as a protective response to external </w:t>
      </w:r>
      <w:r>
        <w:t>stress</w:t>
      </w:r>
      <w:r w:rsidRPr="00B42737">
        <w:rPr>
          <w:rFonts w:ascii="Arial" w:eastAsia="Corbel" w:hAnsi="Arial" w:cs="Arial"/>
          <w:szCs w:val="24"/>
        </w:rPr>
        <w:t xml:space="preserve">. Regardless of the obstacles constructed by the host defence mechanism, certain bacterial species like </w:t>
      </w:r>
      <w:r w:rsidRPr="00B42737">
        <w:rPr>
          <w:rFonts w:ascii="Arial" w:eastAsia="Corbel" w:hAnsi="Arial" w:cs="Arial"/>
          <w:i/>
          <w:iCs/>
          <w:szCs w:val="24"/>
        </w:rPr>
        <w:t>E. faecalis</w:t>
      </w:r>
      <w:r w:rsidRPr="00B42737">
        <w:rPr>
          <w:rFonts w:ascii="Arial" w:eastAsia="Corbel" w:hAnsi="Arial" w:cs="Arial"/>
          <w:szCs w:val="24"/>
        </w:rPr>
        <w:t xml:space="preserve"> have been known to get past the barriers and into the dentinal tubules</w:t>
      </w:r>
      <w:r w:rsidRPr="00B42737">
        <w:rPr>
          <w:rFonts w:ascii="Arial" w:hAnsi="Arial" w:cs="Arial"/>
          <w:szCs w:val="24"/>
        </w:rPr>
        <w:t xml:space="preserve"> (Haapasalo </w:t>
      </w:r>
      <w:r w:rsidRPr="00B42737">
        <w:rPr>
          <w:rFonts w:ascii="Arial" w:hAnsi="Arial" w:cs="Arial"/>
          <w:i/>
          <w:szCs w:val="24"/>
        </w:rPr>
        <w:t>et al.,</w:t>
      </w:r>
      <w:r w:rsidRPr="00B42737">
        <w:rPr>
          <w:rFonts w:ascii="Arial" w:hAnsi="Arial" w:cs="Arial"/>
          <w:szCs w:val="24"/>
        </w:rPr>
        <w:t xml:space="preserve"> 2003). </w:t>
      </w:r>
      <w:r w:rsidRPr="00B42737">
        <w:rPr>
          <w:rFonts w:ascii="Arial" w:eastAsia="Corbel" w:hAnsi="Arial" w:cs="Arial"/>
          <w:szCs w:val="24"/>
        </w:rPr>
        <w:t xml:space="preserve"> Moreover, the defensive mechanism of the dentinal tubules is limited if the pulp is non-vital. In non-vital and necrotic teeth, dentin</w:t>
      </w:r>
      <w:r>
        <w:rPr>
          <w:rFonts w:ascii="Arial" w:eastAsia="Corbel" w:hAnsi="Arial" w:cs="Arial"/>
          <w:szCs w:val="24"/>
        </w:rPr>
        <w:t>e</w:t>
      </w:r>
      <w:r w:rsidRPr="00B42737">
        <w:rPr>
          <w:rFonts w:ascii="Arial" w:eastAsia="Corbel" w:hAnsi="Arial" w:cs="Arial"/>
          <w:szCs w:val="24"/>
        </w:rPr>
        <w:t xml:space="preserve"> permeability increases which results in increased bacterial invasion (</w:t>
      </w:r>
      <w:r w:rsidRPr="00B42737">
        <w:rPr>
          <w:rFonts w:ascii="Arial" w:hAnsi="Arial" w:cs="Arial"/>
          <w:szCs w:val="24"/>
        </w:rPr>
        <w:t xml:space="preserve">Nagaoka </w:t>
      </w:r>
      <w:r w:rsidRPr="00B42737">
        <w:rPr>
          <w:rFonts w:ascii="Arial" w:hAnsi="Arial" w:cs="Arial"/>
          <w:i/>
          <w:szCs w:val="24"/>
        </w:rPr>
        <w:t>et al.,</w:t>
      </w:r>
      <w:r w:rsidRPr="00B42737">
        <w:rPr>
          <w:rFonts w:ascii="Arial" w:hAnsi="Arial" w:cs="Arial"/>
          <w:szCs w:val="24"/>
        </w:rPr>
        <w:t xml:space="preserve"> 1995). </w:t>
      </w:r>
      <w:r w:rsidR="00805867" w:rsidRPr="00B013ED">
        <w:rPr>
          <w:rFonts w:eastAsia="Corbel" w:cstheme="minorBidi"/>
          <w:b/>
          <w:szCs w:val="22"/>
        </w:rPr>
        <w:br w:type="page"/>
      </w:r>
    </w:p>
    <w:p w:rsidR="00805867" w:rsidRPr="00B013ED" w:rsidRDefault="00805867" w:rsidP="009B236F">
      <w:pPr>
        <w:pStyle w:val="Heading2"/>
        <w:rPr>
          <w:szCs w:val="24"/>
        </w:rPr>
      </w:pPr>
      <w:bookmarkStart w:id="470" w:name="_Toc370819257"/>
      <w:r w:rsidRPr="00B013ED">
        <w:lastRenderedPageBreak/>
        <w:t xml:space="preserve">Antibacterial properties of </w:t>
      </w:r>
      <w:r w:rsidR="004B3418">
        <w:t>intra-canal</w:t>
      </w:r>
      <w:r w:rsidRPr="00B013ED">
        <w:t xml:space="preserve"> medicaments</w:t>
      </w:r>
      <w:bookmarkEnd w:id="470"/>
    </w:p>
    <w:p w:rsidR="00805867" w:rsidRPr="00B013ED" w:rsidRDefault="0053214E" w:rsidP="009B236F">
      <w:pPr>
        <w:pStyle w:val="Heading3"/>
        <w:spacing w:line="480" w:lineRule="auto"/>
      </w:pPr>
      <w:bookmarkStart w:id="471" w:name="_Toc370819258"/>
      <w:proofErr w:type="gramStart"/>
      <w:r>
        <w:t>Non-</w:t>
      </w:r>
      <w:r w:rsidR="00805867" w:rsidRPr="00B013ED">
        <w:t>setting calcium hydroxide (NSCH).</w:t>
      </w:r>
      <w:proofErr w:type="gramEnd"/>
      <w:r w:rsidR="00805867" w:rsidRPr="00B013ED">
        <w:t xml:space="preserve"> (UltraCal XS, Ultradent, USA)</w:t>
      </w:r>
      <w:bookmarkEnd w:id="471"/>
    </w:p>
    <w:p w:rsidR="0053214E" w:rsidRPr="00B013ED" w:rsidRDefault="0053214E" w:rsidP="0053214E">
      <w:pPr>
        <w:spacing w:line="480" w:lineRule="auto"/>
        <w:jc w:val="both"/>
        <w:rPr>
          <w:rFonts w:eastAsiaTheme="minorEastAsia" w:cstheme="minorBidi"/>
          <w:lang w:eastAsia="zh-CN"/>
        </w:rPr>
      </w:pPr>
      <w:r w:rsidRPr="00B013ED">
        <w:rPr>
          <w:rFonts w:cstheme="minorBidi"/>
        </w:rPr>
        <w:t>The antibacterial effect of calcium hydroxide is based on high pH and its ability to release hydroxyl ions (Cvek, 1974</w:t>
      </w:r>
      <w:r>
        <w:rPr>
          <w:rFonts w:cstheme="minorBidi"/>
        </w:rPr>
        <w:t>;</w:t>
      </w:r>
      <w:r w:rsidRPr="00B013ED">
        <w:rPr>
          <w:rFonts w:cstheme="minorBidi"/>
        </w:rPr>
        <w:t xml:space="preserve"> Bystrom </w:t>
      </w:r>
      <w:r w:rsidRPr="00B013ED">
        <w:rPr>
          <w:rFonts w:cstheme="minorBidi"/>
          <w:i/>
          <w:iCs/>
        </w:rPr>
        <w:t>et al.,</w:t>
      </w:r>
      <w:r w:rsidRPr="00B013ED">
        <w:rPr>
          <w:rFonts w:cstheme="minorBidi"/>
        </w:rPr>
        <w:t xml:space="preserve"> 1985). Killing of bacteria by calcium hydroxide will therefore depend on the availability of hydroxyl ions in solution. Studies have showed that hydroxyl ions diffuse through root dentine. The pH of calcium hydroxide paste has been shown to be as high as 12.5 when used as an</w:t>
      </w:r>
      <w:r>
        <w:rPr>
          <w:rFonts w:cstheme="minorBidi"/>
        </w:rPr>
        <w:t xml:space="preserve"> intra-canal</w:t>
      </w:r>
      <w:r w:rsidRPr="00B013ED">
        <w:rPr>
          <w:rFonts w:cstheme="minorBidi"/>
        </w:rPr>
        <w:t xml:space="preserve"> medicament (Bystrom </w:t>
      </w:r>
      <w:r w:rsidRPr="00B013ED">
        <w:rPr>
          <w:rFonts w:cstheme="minorBidi"/>
          <w:i/>
          <w:iCs/>
        </w:rPr>
        <w:t>et al.,</w:t>
      </w:r>
      <w:r w:rsidRPr="00B013ED">
        <w:rPr>
          <w:rFonts w:cstheme="minorBidi"/>
        </w:rPr>
        <w:t xml:space="preserve"> 1985).</w:t>
      </w:r>
    </w:p>
    <w:p w:rsidR="0053214E" w:rsidRPr="00B013ED" w:rsidRDefault="0053214E" w:rsidP="0053214E">
      <w:pPr>
        <w:spacing w:line="480" w:lineRule="auto"/>
        <w:jc w:val="both"/>
        <w:rPr>
          <w:rFonts w:cstheme="minorBidi"/>
        </w:rPr>
      </w:pPr>
      <w:r w:rsidRPr="00B013ED">
        <w:rPr>
          <w:rFonts w:cstheme="minorBidi"/>
        </w:rPr>
        <w:t xml:space="preserve">Tronstad </w:t>
      </w:r>
      <w:r w:rsidRPr="00B013ED">
        <w:rPr>
          <w:rFonts w:cstheme="minorBidi"/>
          <w:i/>
          <w:iCs/>
        </w:rPr>
        <w:t>et al.,</w:t>
      </w:r>
      <w:r w:rsidRPr="00B013ED">
        <w:rPr>
          <w:rFonts w:cstheme="minorBidi"/>
        </w:rPr>
        <w:t xml:space="preserve"> (1981) reported </w:t>
      </w:r>
      <w:r>
        <w:rPr>
          <w:rFonts w:cstheme="minorBidi"/>
        </w:rPr>
        <w:t xml:space="preserve">a </w:t>
      </w:r>
      <w:r w:rsidRPr="00B013ED">
        <w:rPr>
          <w:rFonts w:cstheme="minorBidi"/>
        </w:rPr>
        <w:t xml:space="preserve">pH greater than 12.2 for </w:t>
      </w:r>
      <w:r>
        <w:rPr>
          <w:rFonts w:cstheme="minorBidi"/>
        </w:rPr>
        <w:t>four</w:t>
      </w:r>
      <w:r w:rsidRPr="00B013ED">
        <w:rPr>
          <w:rFonts w:cstheme="minorBidi"/>
        </w:rPr>
        <w:t xml:space="preserve"> weeks</w:t>
      </w:r>
      <w:r>
        <w:rPr>
          <w:rFonts w:cstheme="minorBidi"/>
        </w:rPr>
        <w:t xml:space="preserve"> after calcium hydroxide application</w:t>
      </w:r>
      <w:r w:rsidRPr="00B013ED">
        <w:rPr>
          <w:rFonts w:cstheme="minorBidi"/>
        </w:rPr>
        <w:t>. However, the pH values were decreased in the more distant areas from the root canal where pH values ranged from 7.4 to 9.6</w:t>
      </w:r>
      <w:r>
        <w:rPr>
          <w:rFonts w:cstheme="minorBidi"/>
        </w:rPr>
        <w:t xml:space="preserve"> </w:t>
      </w:r>
      <w:r w:rsidRPr="00B013ED">
        <w:rPr>
          <w:rFonts w:cstheme="minorBidi"/>
        </w:rPr>
        <w:t xml:space="preserve">(Nerwich </w:t>
      </w:r>
      <w:r w:rsidRPr="00B013ED">
        <w:rPr>
          <w:rFonts w:cstheme="minorBidi"/>
          <w:i/>
          <w:iCs/>
        </w:rPr>
        <w:t>et al.,</w:t>
      </w:r>
      <w:r w:rsidRPr="00B013ED">
        <w:rPr>
          <w:rFonts w:cstheme="minorBidi"/>
        </w:rPr>
        <w:t xml:space="preserve"> 1993). The pH of the inner dentine reached a plateau of approximately 9.5 after </w:t>
      </w:r>
      <w:r>
        <w:rPr>
          <w:rFonts w:cstheme="minorBidi"/>
        </w:rPr>
        <w:t>two</w:t>
      </w:r>
      <w:r w:rsidRPr="00B013ED">
        <w:rPr>
          <w:rFonts w:cstheme="minorBidi"/>
        </w:rPr>
        <w:t xml:space="preserve"> weeks. In the outer dentine, although the pH began rising earlier, the maximum pH level was low, reaching just under pH 9 at </w:t>
      </w:r>
      <w:r>
        <w:rPr>
          <w:rFonts w:cstheme="minorBidi"/>
        </w:rPr>
        <w:t>two</w:t>
      </w:r>
      <w:r w:rsidRPr="00B013ED">
        <w:rPr>
          <w:rFonts w:cstheme="minorBidi"/>
        </w:rPr>
        <w:t xml:space="preserve"> weeks. The pH of inner cervical dentine peaked at 10.8 after 24 hours and the outer cervical dentine reached over 9 at </w:t>
      </w:r>
      <w:r>
        <w:rPr>
          <w:rFonts w:cstheme="minorBidi"/>
        </w:rPr>
        <w:t>two</w:t>
      </w:r>
      <w:r w:rsidRPr="00B013ED">
        <w:rPr>
          <w:rFonts w:cstheme="minorBidi"/>
        </w:rPr>
        <w:t xml:space="preserve"> weeks. </w:t>
      </w:r>
    </w:p>
    <w:p w:rsidR="00E318F4" w:rsidRPr="00E318F4" w:rsidRDefault="0053214E" w:rsidP="00E318F4">
      <w:pPr>
        <w:spacing w:line="480" w:lineRule="auto"/>
        <w:jc w:val="both"/>
        <w:rPr>
          <w:rFonts w:cstheme="minorBidi"/>
        </w:rPr>
      </w:pPr>
      <w:r w:rsidRPr="00B013ED">
        <w:rPr>
          <w:rFonts w:cstheme="minorBidi"/>
        </w:rPr>
        <w:t>Bacteria vary in their pH tolerance</w:t>
      </w:r>
      <w:r>
        <w:rPr>
          <w:rFonts w:cstheme="minorBidi"/>
        </w:rPr>
        <w:t>, which</w:t>
      </w:r>
      <w:r w:rsidRPr="00B013ED">
        <w:rPr>
          <w:rFonts w:cstheme="minorBidi"/>
        </w:rPr>
        <w:t xml:space="preserve"> ranges </w:t>
      </w:r>
      <w:r>
        <w:rPr>
          <w:rFonts w:cstheme="minorBidi"/>
        </w:rPr>
        <w:t>between</w:t>
      </w:r>
      <w:r w:rsidRPr="00B013ED">
        <w:rPr>
          <w:rFonts w:cstheme="minorBidi"/>
        </w:rPr>
        <w:t xml:space="preserve"> </w:t>
      </w:r>
      <w:r>
        <w:rPr>
          <w:rFonts w:cstheme="minorBidi"/>
        </w:rPr>
        <w:t xml:space="preserve">pH </w:t>
      </w:r>
      <w:r w:rsidR="00DC1447">
        <w:rPr>
          <w:rFonts w:cstheme="minorBidi"/>
        </w:rPr>
        <w:t>6-</w:t>
      </w:r>
      <w:r w:rsidRPr="00B013ED">
        <w:rPr>
          <w:rFonts w:cstheme="minorBidi"/>
        </w:rPr>
        <w:t xml:space="preserve">9. </w:t>
      </w:r>
      <w:proofErr w:type="gramStart"/>
      <w:r w:rsidRPr="00B013ED">
        <w:rPr>
          <w:rFonts w:cstheme="minorBidi"/>
        </w:rPr>
        <w:t xml:space="preserve">(Padan </w:t>
      </w:r>
      <w:r w:rsidRPr="00B013ED">
        <w:rPr>
          <w:rFonts w:cstheme="minorBidi"/>
          <w:i/>
          <w:iCs/>
        </w:rPr>
        <w:t>et al.,</w:t>
      </w:r>
      <w:r w:rsidRPr="00B013ED">
        <w:rPr>
          <w:rFonts w:cstheme="minorBidi"/>
        </w:rPr>
        <w:t xml:space="preserve"> 1981).</w:t>
      </w:r>
      <w:proofErr w:type="gramEnd"/>
      <w:r w:rsidRPr="00B013ED">
        <w:rPr>
          <w:rFonts w:cstheme="minorBidi"/>
        </w:rPr>
        <w:t xml:space="preserve"> Some strains of </w:t>
      </w:r>
      <w:r w:rsidRPr="00B42737">
        <w:rPr>
          <w:rFonts w:cstheme="minorBidi"/>
          <w:i/>
        </w:rPr>
        <w:t>Escherichia coli, Proteus vulgaris, Enterobacter aerogenes</w:t>
      </w:r>
      <w:r w:rsidRPr="00B013ED">
        <w:rPr>
          <w:rFonts w:cstheme="minorBidi"/>
        </w:rPr>
        <w:t xml:space="preserve"> and </w:t>
      </w:r>
      <w:r w:rsidRPr="00B42737">
        <w:rPr>
          <w:rFonts w:cstheme="minorBidi"/>
          <w:i/>
        </w:rPr>
        <w:t>Pseudomonas aeruginosa</w:t>
      </w:r>
      <w:r w:rsidRPr="00B013ED">
        <w:rPr>
          <w:rFonts w:cstheme="minorBidi"/>
        </w:rPr>
        <w:t xml:space="preserve"> can survive </w:t>
      </w:r>
      <w:r>
        <w:rPr>
          <w:rFonts w:cstheme="minorBidi"/>
        </w:rPr>
        <w:t>at</w:t>
      </w:r>
      <w:r w:rsidRPr="00B013ED">
        <w:rPr>
          <w:rFonts w:cstheme="minorBidi"/>
        </w:rPr>
        <w:t xml:space="preserve"> pH 8</w:t>
      </w:r>
      <w:r w:rsidR="00DC1447">
        <w:rPr>
          <w:rFonts w:cstheme="minorBidi"/>
        </w:rPr>
        <w:t>-</w:t>
      </w:r>
      <w:r w:rsidRPr="00B013ED">
        <w:rPr>
          <w:rFonts w:cstheme="minorBidi"/>
        </w:rPr>
        <w:t>9</w:t>
      </w:r>
      <w:r w:rsidR="00DC1447">
        <w:rPr>
          <w:rFonts w:cstheme="minorBidi"/>
        </w:rPr>
        <w:t>.</w:t>
      </w:r>
      <w:r w:rsidRPr="00B013ED">
        <w:rPr>
          <w:rFonts w:cstheme="minorBidi"/>
        </w:rPr>
        <w:t xml:space="preserve"> </w:t>
      </w:r>
      <w:proofErr w:type="gramStart"/>
      <w:r w:rsidRPr="00B013ED">
        <w:rPr>
          <w:rFonts w:cstheme="minorBidi"/>
        </w:rPr>
        <w:t>(Atlas, 1997).</w:t>
      </w:r>
      <w:proofErr w:type="gramEnd"/>
      <w:r w:rsidRPr="00B013ED">
        <w:rPr>
          <w:rFonts w:cstheme="minorBidi"/>
        </w:rPr>
        <w:t xml:space="preserve"> These bacterial species have been occasionally isolated from infected root canals, usually causing secondary infections (Tronstad, 1992</w:t>
      </w:r>
      <w:r>
        <w:rPr>
          <w:rFonts w:cstheme="minorBidi"/>
        </w:rPr>
        <w:t>;</w:t>
      </w:r>
      <w:r w:rsidRPr="00B013ED">
        <w:rPr>
          <w:rFonts w:cstheme="minorBidi"/>
        </w:rPr>
        <w:t xml:space="preserve"> Siren </w:t>
      </w:r>
      <w:r w:rsidRPr="00B013ED">
        <w:rPr>
          <w:rFonts w:cstheme="minorBidi"/>
          <w:i/>
          <w:iCs/>
        </w:rPr>
        <w:t>et al.,</w:t>
      </w:r>
      <w:r w:rsidRPr="00B013ED">
        <w:rPr>
          <w:rFonts w:cstheme="minorBidi"/>
        </w:rPr>
        <w:t xml:space="preserve"> </w:t>
      </w:r>
      <w:r w:rsidRPr="00B013ED">
        <w:rPr>
          <w:rFonts w:cstheme="minorBidi"/>
        </w:rPr>
        <w:lastRenderedPageBreak/>
        <w:t>1997). Certain bacteria, such as some enterococci, tolerate very high pH values, varying from 9 to 11. Fungi generally also exhibit a wide pH ran</w:t>
      </w:r>
      <w:r w:rsidR="0030050E">
        <w:rPr>
          <w:rFonts w:cstheme="minorBidi"/>
        </w:rPr>
        <w:t>ge, growing within a range of 5-</w:t>
      </w:r>
      <w:r w:rsidRPr="00B013ED">
        <w:rPr>
          <w:rFonts w:cstheme="minorBidi"/>
        </w:rPr>
        <w:t xml:space="preserve">9 </w:t>
      </w:r>
      <w:proofErr w:type="gramStart"/>
      <w:r w:rsidRPr="00B013ED">
        <w:rPr>
          <w:rFonts w:cstheme="minorBidi"/>
        </w:rPr>
        <w:t>pH</w:t>
      </w:r>
      <w:proofErr w:type="gramEnd"/>
      <w:r w:rsidRPr="00B013ED">
        <w:rPr>
          <w:rFonts w:cstheme="minorBidi"/>
        </w:rPr>
        <w:t xml:space="preserve"> (Atlas, 1997). Strains of </w:t>
      </w:r>
      <w:r w:rsidRPr="00B42737">
        <w:rPr>
          <w:rFonts w:cstheme="minorBidi"/>
          <w:i/>
        </w:rPr>
        <w:t>Prevotella intermedia, Fusobacterium nucleatum</w:t>
      </w:r>
      <w:r w:rsidRPr="00B013ED">
        <w:rPr>
          <w:rFonts w:cstheme="minorBidi"/>
        </w:rPr>
        <w:t xml:space="preserve"> and </w:t>
      </w:r>
      <w:r w:rsidRPr="00B42737">
        <w:rPr>
          <w:rFonts w:cstheme="minorBidi"/>
          <w:i/>
        </w:rPr>
        <w:t>Porphyromonas gingivalis</w:t>
      </w:r>
      <w:r w:rsidRPr="00B013ED">
        <w:rPr>
          <w:rFonts w:cstheme="minorBidi"/>
        </w:rPr>
        <w:t xml:space="preserve"> may show stable growth in alkaline pH values (approximately 8.0</w:t>
      </w:r>
      <w:r w:rsidR="003E1BF6">
        <w:rPr>
          <w:rFonts w:cstheme="minorBidi"/>
        </w:rPr>
        <w:t>-</w:t>
      </w:r>
      <w:r w:rsidRPr="00B013ED">
        <w:rPr>
          <w:rFonts w:cstheme="minorBidi"/>
        </w:rPr>
        <w:t xml:space="preserve">8.3) (Marsh </w:t>
      </w:r>
      <w:r w:rsidRPr="00B013ED">
        <w:rPr>
          <w:rFonts w:cstheme="minorBidi"/>
          <w:i/>
          <w:iCs/>
        </w:rPr>
        <w:t>et al.,</w:t>
      </w:r>
      <w:r w:rsidRPr="00B013ED">
        <w:rPr>
          <w:rFonts w:cstheme="minorBidi"/>
        </w:rPr>
        <w:t xml:space="preserve"> 1993).</w:t>
      </w:r>
    </w:p>
    <w:p w:rsidR="00805867" w:rsidRPr="00B013ED" w:rsidRDefault="00993D6B" w:rsidP="009B236F">
      <w:pPr>
        <w:pStyle w:val="Heading3"/>
        <w:spacing w:line="480" w:lineRule="auto"/>
      </w:pPr>
      <w:bookmarkStart w:id="472" w:name="_Toc370819259"/>
      <w:r w:rsidRPr="00B013ED">
        <w:t>M</w:t>
      </w:r>
      <w:r w:rsidR="00805867" w:rsidRPr="00B013ED">
        <w:t xml:space="preserve">ineral trioxide aggregate </w:t>
      </w:r>
      <w:r w:rsidR="00861FAD" w:rsidRPr="00B013ED">
        <w:t>(MTA)</w:t>
      </w:r>
      <w:r w:rsidR="00861FAD">
        <w:t>,</w:t>
      </w:r>
      <w:r w:rsidR="00861FAD" w:rsidRPr="00B013ED">
        <w:t xml:space="preserve"> </w:t>
      </w:r>
      <w:r w:rsidR="00861FAD">
        <w:t xml:space="preserve">(ProRoot® </w:t>
      </w:r>
      <w:r w:rsidR="00861FAD" w:rsidRPr="00B013ED">
        <w:t>white, Tulsa Dental Specialties, USA)</w:t>
      </w:r>
      <w:bookmarkEnd w:id="472"/>
    </w:p>
    <w:p w:rsidR="0053214E" w:rsidRPr="00B013ED" w:rsidRDefault="0053214E" w:rsidP="0053214E">
      <w:pPr>
        <w:spacing w:after="120" w:line="480" w:lineRule="auto"/>
        <w:jc w:val="both"/>
        <w:rPr>
          <w:rFonts w:eastAsia="Corbel" w:cstheme="minorBidi"/>
          <w:bCs/>
          <w:szCs w:val="22"/>
        </w:rPr>
      </w:pPr>
      <w:r w:rsidRPr="00B013ED">
        <w:rPr>
          <w:rFonts w:eastAsia="Corbel" w:cstheme="minorBidi"/>
          <w:bCs/>
          <w:szCs w:val="22"/>
        </w:rPr>
        <w:t>The antibacterial effect of MTA is conflicting. Investigations reported that MTA has limited antimicrobial effect</w:t>
      </w:r>
      <w:r>
        <w:rPr>
          <w:rFonts w:eastAsia="Corbel" w:cstheme="minorBidi"/>
          <w:bCs/>
          <w:szCs w:val="22"/>
        </w:rPr>
        <w:t>s</w:t>
      </w:r>
      <w:r w:rsidRPr="00B013ED">
        <w:rPr>
          <w:rFonts w:eastAsia="Corbel" w:cstheme="minorBidi"/>
          <w:bCs/>
          <w:szCs w:val="22"/>
        </w:rPr>
        <w:t xml:space="preserve"> against some microorganisms (Torabinejad </w:t>
      </w:r>
      <w:r w:rsidRPr="00B013ED">
        <w:rPr>
          <w:rFonts w:cstheme="minorBidi"/>
          <w:i/>
          <w:iCs/>
        </w:rPr>
        <w:t>et al.,</w:t>
      </w:r>
      <w:r w:rsidRPr="00B013ED">
        <w:rPr>
          <w:rFonts w:cstheme="minorBidi"/>
        </w:rPr>
        <w:t xml:space="preserve"> </w:t>
      </w:r>
      <w:r w:rsidRPr="00B013ED">
        <w:rPr>
          <w:rFonts w:eastAsia="Corbel" w:cstheme="minorBidi"/>
          <w:bCs/>
          <w:szCs w:val="22"/>
        </w:rPr>
        <w:t>1995</w:t>
      </w:r>
      <w:r w:rsidR="00861FAD">
        <w:rPr>
          <w:rFonts w:eastAsia="Corbel" w:cstheme="minorBidi"/>
          <w:bCs/>
          <w:szCs w:val="22"/>
        </w:rPr>
        <w:t xml:space="preserve">; </w:t>
      </w:r>
      <w:r w:rsidR="00861FAD" w:rsidRPr="00B013ED">
        <w:rPr>
          <w:rFonts w:eastAsia="Corbel" w:cstheme="minorBidi"/>
          <w:bCs/>
          <w:szCs w:val="22"/>
        </w:rPr>
        <w:t>Estrela</w:t>
      </w:r>
      <w:r w:rsidRPr="00B013ED">
        <w:rPr>
          <w:rFonts w:eastAsia="Corbel" w:cstheme="minorBidi"/>
          <w:bCs/>
          <w:szCs w:val="22"/>
        </w:rPr>
        <w:t xml:space="preserve"> </w:t>
      </w:r>
      <w:r w:rsidRPr="00B013ED">
        <w:rPr>
          <w:rFonts w:cstheme="minorBidi"/>
          <w:i/>
          <w:iCs/>
        </w:rPr>
        <w:t>et al.,</w:t>
      </w:r>
      <w:r w:rsidRPr="00B013ED">
        <w:rPr>
          <w:rFonts w:cstheme="minorBidi"/>
        </w:rPr>
        <w:t xml:space="preserve"> </w:t>
      </w:r>
      <w:r w:rsidRPr="00B013ED">
        <w:rPr>
          <w:rFonts w:eastAsia="Corbel" w:cstheme="minorBidi"/>
          <w:bCs/>
          <w:szCs w:val="22"/>
        </w:rPr>
        <w:t>2000</w:t>
      </w:r>
      <w:r>
        <w:rPr>
          <w:rFonts w:eastAsia="Corbel" w:cstheme="minorBidi"/>
          <w:bCs/>
          <w:szCs w:val="22"/>
        </w:rPr>
        <w:t>;</w:t>
      </w:r>
      <w:r w:rsidRPr="00B013ED">
        <w:rPr>
          <w:rFonts w:eastAsia="Corbel" w:cstheme="minorBidi"/>
          <w:bCs/>
          <w:szCs w:val="22"/>
        </w:rPr>
        <w:t xml:space="preserve"> Yasuda </w:t>
      </w:r>
      <w:r w:rsidRPr="00B013ED">
        <w:rPr>
          <w:rFonts w:cstheme="minorBidi"/>
          <w:i/>
          <w:iCs/>
        </w:rPr>
        <w:t>et al.,</w:t>
      </w:r>
      <w:r w:rsidRPr="00B013ED">
        <w:rPr>
          <w:rFonts w:cstheme="minorBidi"/>
        </w:rPr>
        <w:t xml:space="preserve"> </w:t>
      </w:r>
      <w:r w:rsidRPr="00B013ED">
        <w:rPr>
          <w:rFonts w:eastAsia="Corbel" w:cstheme="minorBidi"/>
          <w:bCs/>
          <w:szCs w:val="22"/>
        </w:rPr>
        <w:t xml:space="preserve">2008). An investigation (Torabinejad </w:t>
      </w:r>
      <w:r w:rsidRPr="00B013ED">
        <w:rPr>
          <w:rFonts w:cstheme="minorBidi"/>
          <w:i/>
        </w:rPr>
        <w:t>et al.,</w:t>
      </w:r>
      <w:r w:rsidRPr="00B013ED">
        <w:rPr>
          <w:rFonts w:cstheme="minorBidi"/>
        </w:rPr>
        <w:t xml:space="preserve"> </w:t>
      </w:r>
      <w:r w:rsidRPr="00B013ED">
        <w:rPr>
          <w:rFonts w:eastAsia="Corbel" w:cstheme="minorBidi"/>
          <w:bCs/>
          <w:szCs w:val="22"/>
        </w:rPr>
        <w:t>1995) on facultative and strict anaerobic bacteria showed that MTA ha</w:t>
      </w:r>
      <w:r>
        <w:rPr>
          <w:rFonts w:eastAsia="Corbel" w:cstheme="minorBidi"/>
          <w:bCs/>
          <w:szCs w:val="22"/>
        </w:rPr>
        <w:t>d</w:t>
      </w:r>
      <w:r w:rsidRPr="00B013ED">
        <w:rPr>
          <w:rFonts w:eastAsia="Corbel" w:cstheme="minorBidi"/>
          <w:bCs/>
          <w:szCs w:val="22"/>
        </w:rPr>
        <w:t xml:space="preserve"> an antibacterial effect on some facultative</w:t>
      </w:r>
      <w:r w:rsidRPr="008F7BF6">
        <w:t xml:space="preserve"> </w:t>
      </w:r>
      <w:r>
        <w:t>anaerobic</w:t>
      </w:r>
      <w:r w:rsidRPr="00B013ED">
        <w:rPr>
          <w:rFonts w:eastAsia="Corbel" w:cstheme="minorBidi"/>
          <w:bCs/>
          <w:szCs w:val="22"/>
        </w:rPr>
        <w:t xml:space="preserve"> bacteria and no effect on any species of strict anaerobes. In another antimicrobial study, MTA exhibited diffusion in agar without inhibition of microbial growth</w:t>
      </w:r>
      <w:r>
        <w:rPr>
          <w:rFonts w:eastAsia="Corbel" w:cstheme="minorBidi"/>
          <w:bCs/>
          <w:szCs w:val="22"/>
        </w:rPr>
        <w:t xml:space="preserve"> </w:t>
      </w:r>
      <w:r w:rsidRPr="00B013ED">
        <w:rPr>
          <w:rFonts w:eastAsia="Corbel" w:cstheme="minorBidi"/>
          <w:bCs/>
          <w:szCs w:val="22"/>
        </w:rPr>
        <w:t xml:space="preserve">(Estrela </w:t>
      </w:r>
      <w:r w:rsidRPr="00B013ED">
        <w:rPr>
          <w:rFonts w:cstheme="minorBidi"/>
          <w:i/>
          <w:iCs/>
        </w:rPr>
        <w:t>et al.,</w:t>
      </w:r>
      <w:r w:rsidRPr="00B013ED">
        <w:rPr>
          <w:rFonts w:cstheme="minorBidi"/>
        </w:rPr>
        <w:t xml:space="preserve"> </w:t>
      </w:r>
      <w:r w:rsidRPr="00B013ED">
        <w:rPr>
          <w:rFonts w:eastAsia="Corbel" w:cstheme="minorBidi"/>
          <w:bCs/>
          <w:szCs w:val="22"/>
        </w:rPr>
        <w:t xml:space="preserve">2000). The antifungal effect of MTA might be due to its high pH or to substances that are released from MTA into the media. </w:t>
      </w:r>
    </w:p>
    <w:p w:rsidR="0053214E" w:rsidRPr="00B013ED" w:rsidRDefault="0053214E" w:rsidP="0053214E">
      <w:pPr>
        <w:spacing w:after="120" w:line="480" w:lineRule="auto"/>
        <w:jc w:val="both"/>
        <w:rPr>
          <w:rFonts w:eastAsia="Corbel" w:cstheme="minorBidi"/>
          <w:bCs/>
          <w:szCs w:val="22"/>
        </w:rPr>
      </w:pPr>
      <w:r w:rsidRPr="00B013ED">
        <w:rPr>
          <w:rFonts w:eastAsia="Corbel" w:cstheme="minorBidi"/>
          <w:bCs/>
          <w:szCs w:val="22"/>
        </w:rPr>
        <w:t xml:space="preserve">A recent investigation reported that both white MTA and grey MTA had </w:t>
      </w:r>
      <w:r w:rsidR="00FB63F8" w:rsidRPr="00B013ED">
        <w:rPr>
          <w:rFonts w:eastAsia="Corbel" w:cstheme="minorBidi"/>
          <w:bCs/>
          <w:szCs w:val="22"/>
        </w:rPr>
        <w:t>similar antibacterial properties</w:t>
      </w:r>
      <w:r w:rsidRPr="00B013ED">
        <w:rPr>
          <w:rFonts w:eastAsia="Corbel" w:cstheme="minorBidi"/>
          <w:bCs/>
          <w:szCs w:val="22"/>
        </w:rPr>
        <w:t xml:space="preserve"> (Asgary and Kamrani, 2008).  It has been shown that GMTA (Al-Nazhan and Al-Judai, 2003</w:t>
      </w:r>
      <w:r>
        <w:rPr>
          <w:rFonts w:eastAsia="Corbel" w:cstheme="minorBidi"/>
          <w:bCs/>
          <w:szCs w:val="22"/>
        </w:rPr>
        <w:t>;</w:t>
      </w:r>
      <w:r w:rsidRPr="00B013ED">
        <w:rPr>
          <w:rFonts w:eastAsia="Corbel" w:cstheme="minorBidi"/>
          <w:bCs/>
          <w:szCs w:val="22"/>
        </w:rPr>
        <w:t xml:space="preserve"> Mohammadi </w:t>
      </w:r>
      <w:r w:rsidRPr="00B013ED">
        <w:rPr>
          <w:rFonts w:cstheme="minorBidi"/>
          <w:i/>
          <w:iCs/>
        </w:rPr>
        <w:t>et al.,</w:t>
      </w:r>
      <w:r w:rsidRPr="00B013ED">
        <w:rPr>
          <w:rFonts w:cstheme="minorBidi"/>
        </w:rPr>
        <w:t xml:space="preserve"> </w:t>
      </w:r>
      <w:r w:rsidRPr="00B013ED">
        <w:rPr>
          <w:rFonts w:eastAsia="Corbel" w:cstheme="minorBidi"/>
          <w:bCs/>
          <w:szCs w:val="22"/>
        </w:rPr>
        <w:t>2006</w:t>
      </w:r>
      <w:r>
        <w:rPr>
          <w:rFonts w:eastAsia="Corbel" w:cstheme="minorBidi"/>
          <w:bCs/>
          <w:szCs w:val="22"/>
        </w:rPr>
        <w:t>;</w:t>
      </w:r>
      <w:r w:rsidRPr="00B013ED">
        <w:rPr>
          <w:rFonts w:eastAsia="Corbel" w:cstheme="minorBidi"/>
          <w:bCs/>
          <w:szCs w:val="22"/>
        </w:rPr>
        <w:t xml:space="preserve"> Tanomaru-Filho </w:t>
      </w:r>
      <w:r w:rsidRPr="00B013ED">
        <w:rPr>
          <w:rFonts w:cstheme="minorBidi"/>
          <w:i/>
          <w:iCs/>
        </w:rPr>
        <w:t>et al.,</w:t>
      </w:r>
      <w:r w:rsidRPr="00B013ED">
        <w:rPr>
          <w:rFonts w:cstheme="minorBidi"/>
        </w:rPr>
        <w:t xml:space="preserve"> </w:t>
      </w:r>
      <w:r w:rsidRPr="00B013ED">
        <w:rPr>
          <w:rFonts w:eastAsia="Corbel" w:cstheme="minorBidi"/>
          <w:bCs/>
          <w:szCs w:val="22"/>
        </w:rPr>
        <w:t xml:space="preserve">2007) and WMTA (Mohammadi </w:t>
      </w:r>
      <w:r w:rsidRPr="00B013ED">
        <w:rPr>
          <w:rFonts w:cstheme="minorBidi"/>
          <w:i/>
          <w:iCs/>
        </w:rPr>
        <w:t>et al.,</w:t>
      </w:r>
      <w:r w:rsidRPr="00B013ED">
        <w:rPr>
          <w:rFonts w:cstheme="minorBidi"/>
        </w:rPr>
        <w:t xml:space="preserve"> </w:t>
      </w:r>
      <w:r w:rsidRPr="00B013ED">
        <w:rPr>
          <w:rFonts w:eastAsia="Corbel" w:cstheme="minorBidi"/>
          <w:bCs/>
          <w:szCs w:val="22"/>
        </w:rPr>
        <w:t xml:space="preserve">2006) have an antifungal effect.  Al-Nazhan and Al-Judai </w:t>
      </w:r>
      <w:r>
        <w:rPr>
          <w:rFonts w:eastAsia="Corbel" w:cstheme="minorBidi"/>
          <w:bCs/>
          <w:szCs w:val="22"/>
        </w:rPr>
        <w:t>(</w:t>
      </w:r>
      <w:r w:rsidRPr="00B013ED">
        <w:rPr>
          <w:rFonts w:eastAsia="Corbel" w:cstheme="minorBidi"/>
          <w:bCs/>
          <w:szCs w:val="22"/>
        </w:rPr>
        <w:t>2003</w:t>
      </w:r>
      <w:r>
        <w:rPr>
          <w:rFonts w:eastAsia="Corbel" w:cstheme="minorBidi"/>
          <w:bCs/>
          <w:szCs w:val="22"/>
        </w:rPr>
        <w:t>)</w:t>
      </w:r>
      <w:r w:rsidRPr="00B013ED">
        <w:rPr>
          <w:rFonts w:eastAsia="Corbel" w:cstheme="minorBidi"/>
          <w:bCs/>
          <w:szCs w:val="22"/>
        </w:rPr>
        <w:t xml:space="preserve"> reported that freshly mixed and 24-hour set </w:t>
      </w:r>
      <w:r>
        <w:rPr>
          <w:rFonts w:eastAsia="Corbel" w:cstheme="minorBidi"/>
          <w:bCs/>
          <w:szCs w:val="22"/>
        </w:rPr>
        <w:t xml:space="preserve">grey </w:t>
      </w:r>
      <w:r w:rsidRPr="00B013ED">
        <w:rPr>
          <w:rFonts w:eastAsia="Corbel" w:cstheme="minorBidi"/>
          <w:bCs/>
          <w:szCs w:val="22"/>
        </w:rPr>
        <w:t xml:space="preserve">MTA </w:t>
      </w:r>
      <w:r>
        <w:rPr>
          <w:rFonts w:eastAsia="Corbel" w:cstheme="minorBidi"/>
          <w:bCs/>
          <w:szCs w:val="22"/>
        </w:rPr>
        <w:t>h</w:t>
      </w:r>
      <w:r w:rsidRPr="00B013ED">
        <w:rPr>
          <w:rFonts w:eastAsia="Corbel" w:cstheme="minorBidi"/>
          <w:bCs/>
          <w:szCs w:val="22"/>
        </w:rPr>
        <w:t xml:space="preserve">ave an antifungal effect on </w:t>
      </w:r>
      <w:r w:rsidRPr="008F7BF6">
        <w:rPr>
          <w:rFonts w:eastAsia="Corbel" w:cstheme="minorBidi"/>
          <w:bCs/>
          <w:i/>
          <w:szCs w:val="22"/>
        </w:rPr>
        <w:t>C. albicans</w:t>
      </w:r>
      <w:r w:rsidRPr="00B013ED">
        <w:rPr>
          <w:rFonts w:eastAsia="Corbel" w:cstheme="minorBidi"/>
          <w:bCs/>
          <w:szCs w:val="22"/>
        </w:rPr>
        <w:t>. However, other</w:t>
      </w:r>
      <w:r>
        <w:rPr>
          <w:rFonts w:eastAsia="Corbel" w:cstheme="minorBidi"/>
          <w:bCs/>
          <w:szCs w:val="22"/>
        </w:rPr>
        <w:t xml:space="preserve"> researchers</w:t>
      </w:r>
      <w:r w:rsidRPr="00B013ED">
        <w:rPr>
          <w:rFonts w:eastAsia="Corbel" w:cstheme="minorBidi"/>
          <w:bCs/>
          <w:szCs w:val="22"/>
        </w:rPr>
        <w:t xml:space="preserve"> showed that GMTA ha</w:t>
      </w:r>
      <w:r>
        <w:rPr>
          <w:rFonts w:eastAsia="Corbel" w:cstheme="minorBidi"/>
          <w:bCs/>
          <w:szCs w:val="22"/>
        </w:rPr>
        <w:t>d</w:t>
      </w:r>
      <w:r w:rsidRPr="00B013ED">
        <w:rPr>
          <w:rFonts w:eastAsia="Corbel" w:cstheme="minorBidi"/>
          <w:bCs/>
          <w:szCs w:val="22"/>
        </w:rPr>
        <w:t xml:space="preserve"> limited or no antifungal effect (Estrela </w:t>
      </w:r>
      <w:r w:rsidRPr="00B013ED">
        <w:rPr>
          <w:rFonts w:cstheme="minorBidi"/>
          <w:i/>
          <w:iCs/>
        </w:rPr>
        <w:t xml:space="preserve">et </w:t>
      </w:r>
      <w:r w:rsidRPr="00B013ED">
        <w:rPr>
          <w:rFonts w:cstheme="minorBidi"/>
          <w:i/>
          <w:iCs/>
        </w:rPr>
        <w:lastRenderedPageBreak/>
        <w:t>al.,</w:t>
      </w:r>
      <w:r w:rsidRPr="00B013ED">
        <w:rPr>
          <w:rFonts w:cstheme="minorBidi"/>
        </w:rPr>
        <w:t xml:space="preserve"> </w:t>
      </w:r>
      <w:r w:rsidRPr="00B013ED">
        <w:rPr>
          <w:rFonts w:eastAsia="Corbel" w:cstheme="minorBidi"/>
          <w:bCs/>
          <w:szCs w:val="22"/>
        </w:rPr>
        <w:t>2000</w:t>
      </w:r>
      <w:r>
        <w:rPr>
          <w:rFonts w:eastAsia="Corbel" w:cstheme="minorBidi"/>
          <w:bCs/>
          <w:szCs w:val="22"/>
        </w:rPr>
        <w:t>;</w:t>
      </w:r>
      <w:r w:rsidRPr="00B013ED">
        <w:rPr>
          <w:rFonts w:eastAsia="Corbel" w:cstheme="minorBidi"/>
          <w:bCs/>
          <w:szCs w:val="22"/>
        </w:rPr>
        <w:t xml:space="preserve"> Yasuda </w:t>
      </w:r>
      <w:r w:rsidRPr="00B013ED">
        <w:rPr>
          <w:rFonts w:cstheme="minorBidi"/>
          <w:i/>
          <w:iCs/>
        </w:rPr>
        <w:t>et al.,</w:t>
      </w:r>
      <w:r w:rsidRPr="00B013ED">
        <w:rPr>
          <w:rFonts w:cstheme="minorBidi"/>
        </w:rPr>
        <w:t xml:space="preserve"> </w:t>
      </w:r>
      <w:r w:rsidRPr="00B013ED">
        <w:rPr>
          <w:rFonts w:eastAsia="Corbel" w:cstheme="minorBidi"/>
          <w:bCs/>
          <w:szCs w:val="22"/>
        </w:rPr>
        <w:t xml:space="preserve">2008). On the other hand </w:t>
      </w:r>
      <w:r>
        <w:rPr>
          <w:rFonts w:eastAsia="Corbel" w:cstheme="minorBidi"/>
          <w:bCs/>
          <w:szCs w:val="22"/>
        </w:rPr>
        <w:t>the</w:t>
      </w:r>
      <w:r w:rsidRPr="00B013ED">
        <w:rPr>
          <w:rFonts w:eastAsia="Corbel" w:cstheme="minorBidi"/>
          <w:bCs/>
          <w:szCs w:val="22"/>
        </w:rPr>
        <w:t xml:space="preserve"> study by Al-Hezaimi </w:t>
      </w:r>
      <w:r w:rsidRPr="00B013ED">
        <w:rPr>
          <w:rFonts w:cstheme="minorBidi"/>
          <w:i/>
        </w:rPr>
        <w:t>et al.</w:t>
      </w:r>
      <w:r>
        <w:rPr>
          <w:rFonts w:cstheme="minorBidi"/>
          <w:i/>
        </w:rPr>
        <w:t xml:space="preserve"> </w:t>
      </w:r>
      <w:r>
        <w:rPr>
          <w:rFonts w:cstheme="minorBidi"/>
        </w:rPr>
        <w:t>(</w:t>
      </w:r>
      <w:r w:rsidRPr="00B013ED">
        <w:rPr>
          <w:rFonts w:eastAsia="Corbel" w:cstheme="minorBidi"/>
          <w:bCs/>
          <w:szCs w:val="22"/>
        </w:rPr>
        <w:t xml:space="preserve">2005) comparing the effect of MTA and PC on </w:t>
      </w:r>
      <w:r w:rsidRPr="008F7BF6">
        <w:rPr>
          <w:rFonts w:eastAsia="Corbel" w:cstheme="minorBidi"/>
          <w:bCs/>
          <w:i/>
          <w:szCs w:val="22"/>
        </w:rPr>
        <w:t>C. albicans, S. aureus</w:t>
      </w:r>
      <w:r w:rsidRPr="00B013ED">
        <w:rPr>
          <w:rFonts w:eastAsia="Corbel" w:cstheme="minorBidi"/>
          <w:bCs/>
          <w:szCs w:val="22"/>
        </w:rPr>
        <w:t xml:space="preserve">, and </w:t>
      </w:r>
      <w:r w:rsidRPr="008F7BF6">
        <w:rPr>
          <w:rFonts w:eastAsia="Corbel" w:cstheme="minorBidi"/>
          <w:bCs/>
          <w:i/>
          <w:szCs w:val="22"/>
        </w:rPr>
        <w:t>Escherichia coli</w:t>
      </w:r>
      <w:r w:rsidRPr="00B013ED">
        <w:rPr>
          <w:rFonts w:eastAsia="Corbel" w:cstheme="minorBidi"/>
          <w:bCs/>
          <w:szCs w:val="22"/>
        </w:rPr>
        <w:t xml:space="preserve"> showed no antimicrobial effect for either of the tested materials. </w:t>
      </w:r>
    </w:p>
    <w:p w:rsidR="00805867" w:rsidRPr="00B013ED" w:rsidRDefault="00805867" w:rsidP="009B236F">
      <w:pPr>
        <w:pStyle w:val="Heading4"/>
        <w:spacing w:line="480" w:lineRule="auto"/>
      </w:pPr>
      <w:r w:rsidRPr="00B013ED">
        <w:t>The antimicrobial effect of MTA on bacterial dentin</w:t>
      </w:r>
      <w:r w:rsidR="0053214E">
        <w:t>e</w:t>
      </w:r>
    </w:p>
    <w:p w:rsidR="0053214E" w:rsidRPr="00B013ED" w:rsidRDefault="0053214E" w:rsidP="0053214E">
      <w:pPr>
        <w:spacing w:after="120" w:line="480" w:lineRule="auto"/>
        <w:jc w:val="both"/>
        <w:rPr>
          <w:rFonts w:eastAsia="Corbel" w:cstheme="minorBidi"/>
          <w:bCs/>
          <w:szCs w:val="22"/>
        </w:rPr>
      </w:pPr>
      <w:r w:rsidRPr="00B013ED">
        <w:rPr>
          <w:rFonts w:eastAsia="Corbel" w:cstheme="minorBidi"/>
          <w:bCs/>
          <w:szCs w:val="22"/>
        </w:rPr>
        <w:t>There are many reports about the inhibitory effect on bacterial dentin</w:t>
      </w:r>
      <w:r>
        <w:rPr>
          <w:rFonts w:eastAsia="Corbel" w:cstheme="minorBidi"/>
          <w:bCs/>
          <w:szCs w:val="22"/>
        </w:rPr>
        <w:t>e</w:t>
      </w:r>
      <w:r w:rsidRPr="00B013ED">
        <w:rPr>
          <w:rFonts w:eastAsia="Corbel" w:cstheme="minorBidi"/>
          <w:bCs/>
          <w:szCs w:val="22"/>
        </w:rPr>
        <w:t xml:space="preserve"> by calcium hydroxide, </w:t>
      </w:r>
      <w:r>
        <w:rPr>
          <w:rFonts w:eastAsia="Corbel" w:cstheme="minorBidi"/>
          <w:bCs/>
          <w:szCs w:val="22"/>
        </w:rPr>
        <w:t>sodium hypochlorit</w:t>
      </w:r>
      <w:r w:rsidRPr="00B013ED">
        <w:rPr>
          <w:rFonts w:eastAsia="Corbel" w:cstheme="minorBidi"/>
          <w:bCs/>
          <w:szCs w:val="22"/>
        </w:rPr>
        <w:t xml:space="preserve">e, and </w:t>
      </w:r>
      <w:r w:rsidR="00B91190">
        <w:rPr>
          <w:rFonts w:eastAsia="Corbel" w:cstheme="minorBidi"/>
          <w:bCs/>
          <w:szCs w:val="22"/>
        </w:rPr>
        <w:t>calcium hydroxide</w:t>
      </w:r>
      <w:r w:rsidRPr="00B013ED">
        <w:rPr>
          <w:rFonts w:eastAsia="Corbel" w:cstheme="minorBidi"/>
          <w:bCs/>
          <w:szCs w:val="22"/>
        </w:rPr>
        <w:t xml:space="preserve"> (Portenier </w:t>
      </w:r>
      <w:r w:rsidRPr="00B013ED">
        <w:rPr>
          <w:rFonts w:cstheme="minorBidi"/>
          <w:i/>
          <w:iCs/>
        </w:rPr>
        <w:t>et al.,</w:t>
      </w:r>
      <w:r w:rsidRPr="00B013ED">
        <w:rPr>
          <w:rFonts w:cstheme="minorBidi"/>
        </w:rPr>
        <w:t xml:space="preserve"> </w:t>
      </w:r>
      <w:r w:rsidRPr="00B013ED">
        <w:rPr>
          <w:rFonts w:eastAsia="Corbel" w:cstheme="minorBidi"/>
          <w:bCs/>
          <w:szCs w:val="22"/>
        </w:rPr>
        <w:t>2001</w:t>
      </w:r>
      <w:r>
        <w:rPr>
          <w:rFonts w:eastAsia="Corbel" w:cstheme="minorBidi"/>
          <w:bCs/>
          <w:szCs w:val="22"/>
        </w:rPr>
        <w:t xml:space="preserve">; </w:t>
      </w:r>
      <w:r w:rsidRPr="00B013ED">
        <w:rPr>
          <w:rFonts w:eastAsia="Corbel" w:cstheme="minorBidi"/>
          <w:bCs/>
          <w:szCs w:val="22"/>
        </w:rPr>
        <w:t xml:space="preserve">Reynaud </w:t>
      </w:r>
      <w:r w:rsidRPr="00B013ED">
        <w:rPr>
          <w:rFonts w:cstheme="minorBidi"/>
          <w:i/>
        </w:rPr>
        <w:t>et al.,</w:t>
      </w:r>
      <w:r w:rsidRPr="00B013ED">
        <w:rPr>
          <w:rFonts w:cstheme="minorBidi"/>
        </w:rPr>
        <w:t xml:space="preserve"> </w:t>
      </w:r>
      <w:r w:rsidRPr="00B013ED">
        <w:rPr>
          <w:rFonts w:eastAsia="Corbel" w:cstheme="minorBidi"/>
          <w:bCs/>
          <w:szCs w:val="22"/>
        </w:rPr>
        <w:t>2007)</w:t>
      </w:r>
      <w:r>
        <w:rPr>
          <w:rFonts w:eastAsia="Corbel" w:cstheme="minorBidi"/>
          <w:bCs/>
          <w:szCs w:val="22"/>
        </w:rPr>
        <w:t>.</w:t>
      </w:r>
      <w:r w:rsidRPr="00B013ED">
        <w:rPr>
          <w:rFonts w:eastAsia="Corbel" w:cstheme="minorBidi"/>
          <w:bCs/>
          <w:szCs w:val="22"/>
        </w:rPr>
        <w:t xml:space="preserve"> </w:t>
      </w:r>
      <w:r>
        <w:rPr>
          <w:rFonts w:eastAsia="Corbel" w:cstheme="minorBidi"/>
          <w:bCs/>
          <w:szCs w:val="22"/>
        </w:rPr>
        <w:t>H</w:t>
      </w:r>
      <w:r w:rsidRPr="00B013ED">
        <w:rPr>
          <w:rFonts w:eastAsia="Corbel" w:cstheme="minorBidi"/>
          <w:bCs/>
          <w:szCs w:val="22"/>
        </w:rPr>
        <w:t>owever, a recent investigation reported dentin</w:t>
      </w:r>
      <w:r>
        <w:rPr>
          <w:rFonts w:eastAsia="Corbel" w:cstheme="minorBidi"/>
          <w:bCs/>
          <w:szCs w:val="22"/>
        </w:rPr>
        <w:t>e</w:t>
      </w:r>
      <w:r w:rsidRPr="00B013ED">
        <w:rPr>
          <w:rFonts w:eastAsia="Corbel" w:cstheme="minorBidi"/>
          <w:bCs/>
          <w:szCs w:val="22"/>
        </w:rPr>
        <w:t xml:space="preserve"> enhance</w:t>
      </w:r>
      <w:r>
        <w:rPr>
          <w:rFonts w:eastAsia="Corbel" w:cstheme="minorBidi"/>
          <w:bCs/>
          <w:szCs w:val="22"/>
        </w:rPr>
        <w:t>d</w:t>
      </w:r>
      <w:r w:rsidRPr="00B013ED">
        <w:rPr>
          <w:rFonts w:eastAsia="Corbel" w:cstheme="minorBidi"/>
          <w:bCs/>
          <w:szCs w:val="22"/>
        </w:rPr>
        <w:t xml:space="preserve"> MTA’s bacterial killing activity (Zhang </w:t>
      </w:r>
      <w:r w:rsidRPr="00B013ED">
        <w:rPr>
          <w:rFonts w:cstheme="minorBidi"/>
          <w:i/>
          <w:iCs/>
        </w:rPr>
        <w:t>et al.,</w:t>
      </w:r>
      <w:r w:rsidRPr="00B013ED">
        <w:rPr>
          <w:rFonts w:cstheme="minorBidi"/>
        </w:rPr>
        <w:t xml:space="preserve"> </w:t>
      </w:r>
      <w:r w:rsidRPr="00B013ED">
        <w:rPr>
          <w:rFonts w:eastAsia="Corbel" w:cstheme="minorBidi"/>
          <w:bCs/>
          <w:szCs w:val="22"/>
        </w:rPr>
        <w:t xml:space="preserve">2009). It has been reported that the source of MTA might affect the antibacterial activity of the material (Al-Hezaimi </w:t>
      </w:r>
      <w:r w:rsidRPr="00B013ED">
        <w:rPr>
          <w:rFonts w:cstheme="minorBidi"/>
          <w:i/>
          <w:iCs/>
        </w:rPr>
        <w:t>et al.,</w:t>
      </w:r>
      <w:r w:rsidRPr="00B013ED">
        <w:rPr>
          <w:rFonts w:cstheme="minorBidi"/>
        </w:rPr>
        <w:t xml:space="preserve"> </w:t>
      </w:r>
      <w:r w:rsidR="00B91190">
        <w:rPr>
          <w:rFonts w:eastAsia="Corbel" w:cstheme="minorBidi"/>
          <w:bCs/>
          <w:szCs w:val="22"/>
        </w:rPr>
        <w:t>2009).</w:t>
      </w:r>
    </w:p>
    <w:p w:rsidR="0053214E" w:rsidRPr="00B013ED" w:rsidRDefault="0053214E" w:rsidP="0053214E">
      <w:pPr>
        <w:spacing w:after="120" w:line="480" w:lineRule="auto"/>
        <w:jc w:val="both"/>
        <w:rPr>
          <w:rFonts w:eastAsia="Corbel" w:cstheme="minorBidi"/>
          <w:bCs/>
          <w:szCs w:val="22"/>
        </w:rPr>
      </w:pPr>
      <w:r w:rsidRPr="00B013ED">
        <w:rPr>
          <w:rFonts w:eastAsia="Corbel" w:cstheme="minorBidi"/>
          <w:bCs/>
          <w:szCs w:val="22"/>
        </w:rPr>
        <w:t xml:space="preserve">The antibacterial and antifungal effect of MTA depends on several factors: </w:t>
      </w:r>
    </w:p>
    <w:p w:rsidR="00805867" w:rsidRPr="00B91190" w:rsidRDefault="0053214E" w:rsidP="00805867">
      <w:pPr>
        <w:spacing w:after="120" w:line="480" w:lineRule="auto"/>
        <w:jc w:val="both"/>
        <w:rPr>
          <w:rFonts w:eastAsia="Corbel" w:cstheme="minorBidi"/>
          <w:bCs/>
          <w:szCs w:val="22"/>
        </w:rPr>
      </w:pPr>
      <w:r w:rsidRPr="00B013ED">
        <w:rPr>
          <w:rFonts w:eastAsia="Corbel" w:cstheme="minorBidi"/>
          <w:bCs/>
          <w:szCs w:val="22"/>
        </w:rPr>
        <w:t xml:space="preserve">Reducing the powder-to-liquid ratio might adversely affect the antibacterial and antifungal properties of MTA. Other factors include the various tested species of microorganisms, the source of the preparing material (Torabinejad </w:t>
      </w:r>
      <w:r w:rsidRPr="00B013ED">
        <w:rPr>
          <w:rFonts w:cstheme="minorBidi"/>
          <w:i/>
        </w:rPr>
        <w:t>et al.,</w:t>
      </w:r>
      <w:r w:rsidRPr="00B013ED">
        <w:rPr>
          <w:rFonts w:cstheme="minorBidi"/>
        </w:rPr>
        <w:t xml:space="preserve"> </w:t>
      </w:r>
      <w:r w:rsidRPr="00B013ED">
        <w:rPr>
          <w:rFonts w:eastAsia="Corbel" w:cstheme="minorBidi"/>
          <w:bCs/>
          <w:szCs w:val="22"/>
        </w:rPr>
        <w:t>1995</w:t>
      </w:r>
      <w:r>
        <w:rPr>
          <w:rFonts w:eastAsia="Corbel" w:cstheme="minorBidi"/>
          <w:bCs/>
          <w:szCs w:val="22"/>
        </w:rPr>
        <w:t>;</w:t>
      </w:r>
      <w:r w:rsidRPr="007A501D">
        <w:rPr>
          <w:rFonts w:eastAsia="Corbel" w:cstheme="minorBidi"/>
          <w:bCs/>
          <w:szCs w:val="22"/>
        </w:rPr>
        <w:t xml:space="preserve"> </w:t>
      </w:r>
      <w:r w:rsidRPr="00B013ED">
        <w:rPr>
          <w:rFonts w:eastAsia="Corbel" w:cstheme="minorBidi"/>
          <w:bCs/>
          <w:szCs w:val="22"/>
        </w:rPr>
        <w:t xml:space="preserve">Estrela </w:t>
      </w:r>
      <w:r w:rsidRPr="00B013ED">
        <w:rPr>
          <w:rFonts w:cstheme="minorBidi"/>
          <w:i/>
          <w:iCs/>
        </w:rPr>
        <w:t>et al.,</w:t>
      </w:r>
      <w:r w:rsidRPr="00B013ED">
        <w:rPr>
          <w:rFonts w:cstheme="minorBidi"/>
        </w:rPr>
        <w:t xml:space="preserve"> </w:t>
      </w:r>
      <w:r w:rsidRPr="00B013ED">
        <w:rPr>
          <w:rFonts w:eastAsia="Corbel" w:cstheme="minorBidi"/>
          <w:bCs/>
          <w:szCs w:val="22"/>
        </w:rPr>
        <w:t>2000</w:t>
      </w:r>
      <w:r>
        <w:rPr>
          <w:rFonts w:eastAsia="Corbel" w:cstheme="minorBidi"/>
          <w:bCs/>
          <w:szCs w:val="22"/>
        </w:rPr>
        <w:t>;</w:t>
      </w:r>
      <w:r w:rsidRPr="00B013ED">
        <w:rPr>
          <w:rFonts w:eastAsia="Corbel" w:cstheme="minorBidi"/>
          <w:bCs/>
          <w:szCs w:val="22"/>
        </w:rPr>
        <w:t xml:space="preserve"> Stowe </w:t>
      </w:r>
      <w:r w:rsidRPr="00B013ED">
        <w:rPr>
          <w:rFonts w:cstheme="minorBidi"/>
          <w:i/>
          <w:iCs/>
        </w:rPr>
        <w:t>et al.,</w:t>
      </w:r>
      <w:r w:rsidRPr="00B013ED">
        <w:rPr>
          <w:rFonts w:cstheme="minorBidi"/>
        </w:rPr>
        <w:t xml:space="preserve"> </w:t>
      </w:r>
      <w:r w:rsidRPr="00B013ED">
        <w:rPr>
          <w:rFonts w:eastAsia="Corbel" w:cstheme="minorBidi"/>
          <w:bCs/>
          <w:szCs w:val="22"/>
        </w:rPr>
        <w:t>2004</w:t>
      </w:r>
      <w:r>
        <w:rPr>
          <w:rFonts w:eastAsia="Corbel" w:cstheme="minorBidi"/>
          <w:bCs/>
          <w:szCs w:val="22"/>
        </w:rPr>
        <w:t xml:space="preserve">; </w:t>
      </w:r>
      <w:r w:rsidRPr="00B013ED">
        <w:rPr>
          <w:rFonts w:eastAsia="Corbel" w:cstheme="minorBidi"/>
          <w:bCs/>
          <w:szCs w:val="22"/>
        </w:rPr>
        <w:t xml:space="preserve">Holt </w:t>
      </w:r>
      <w:r w:rsidRPr="00B013ED">
        <w:rPr>
          <w:rFonts w:cstheme="minorBidi"/>
          <w:i/>
          <w:iCs/>
        </w:rPr>
        <w:t>et al.,</w:t>
      </w:r>
      <w:r w:rsidRPr="00B013ED">
        <w:rPr>
          <w:rFonts w:cstheme="minorBidi"/>
        </w:rPr>
        <w:t xml:space="preserve"> </w:t>
      </w:r>
      <w:r w:rsidRPr="00B013ED">
        <w:rPr>
          <w:rFonts w:eastAsia="Corbel" w:cstheme="minorBidi"/>
          <w:bCs/>
          <w:szCs w:val="22"/>
        </w:rPr>
        <w:t xml:space="preserve">2007, Zhang </w:t>
      </w:r>
      <w:r w:rsidRPr="00B013ED">
        <w:rPr>
          <w:rFonts w:cstheme="minorBidi"/>
          <w:i/>
          <w:iCs/>
        </w:rPr>
        <w:t>et al.,</w:t>
      </w:r>
      <w:r w:rsidRPr="00B013ED">
        <w:rPr>
          <w:rFonts w:cstheme="minorBidi"/>
        </w:rPr>
        <w:t xml:space="preserve"> </w:t>
      </w:r>
      <w:r w:rsidRPr="00B013ED">
        <w:rPr>
          <w:rFonts w:eastAsia="Corbel" w:cstheme="minorBidi"/>
          <w:bCs/>
          <w:szCs w:val="22"/>
        </w:rPr>
        <w:t xml:space="preserve">2009), as well as the concentration and the type of MTA used in these studies (Al-Hezaimi </w:t>
      </w:r>
      <w:r w:rsidRPr="00B013ED">
        <w:rPr>
          <w:rFonts w:cstheme="minorBidi"/>
          <w:i/>
          <w:iCs/>
        </w:rPr>
        <w:t>et al.,</w:t>
      </w:r>
      <w:r w:rsidRPr="00B013ED">
        <w:rPr>
          <w:rFonts w:cstheme="minorBidi"/>
        </w:rPr>
        <w:t xml:space="preserve"> </w:t>
      </w:r>
      <w:r w:rsidRPr="00B013ED">
        <w:rPr>
          <w:rFonts w:eastAsia="Corbel" w:cstheme="minorBidi"/>
          <w:bCs/>
          <w:szCs w:val="22"/>
        </w:rPr>
        <w:t>2005</w:t>
      </w:r>
      <w:r>
        <w:rPr>
          <w:rFonts w:eastAsia="Corbel" w:cstheme="minorBidi"/>
          <w:bCs/>
          <w:szCs w:val="22"/>
        </w:rPr>
        <w:t>;</w:t>
      </w:r>
      <w:r w:rsidRPr="00B013ED">
        <w:rPr>
          <w:rFonts w:eastAsia="Corbel" w:cstheme="minorBidi"/>
          <w:bCs/>
          <w:szCs w:val="22"/>
        </w:rPr>
        <w:t xml:space="preserve"> Al-Hezaimi </w:t>
      </w:r>
      <w:r w:rsidRPr="00B013ED">
        <w:rPr>
          <w:rFonts w:cstheme="minorBidi"/>
          <w:i/>
          <w:iCs/>
        </w:rPr>
        <w:t>et al.,</w:t>
      </w:r>
      <w:r w:rsidRPr="00B013ED">
        <w:rPr>
          <w:rFonts w:cstheme="minorBidi"/>
        </w:rPr>
        <w:t xml:space="preserve"> </w:t>
      </w:r>
      <w:r w:rsidRPr="00B013ED">
        <w:rPr>
          <w:rFonts w:eastAsia="Corbel" w:cstheme="minorBidi"/>
          <w:bCs/>
          <w:szCs w:val="22"/>
        </w:rPr>
        <w:t>2006</w:t>
      </w:r>
      <w:r>
        <w:rPr>
          <w:rFonts w:eastAsia="Corbel" w:cstheme="minorBidi"/>
          <w:bCs/>
          <w:szCs w:val="22"/>
        </w:rPr>
        <w:t>;</w:t>
      </w:r>
      <w:r w:rsidRPr="00B013ED">
        <w:rPr>
          <w:rFonts w:eastAsia="Corbel" w:cstheme="minorBidi"/>
          <w:bCs/>
          <w:szCs w:val="22"/>
        </w:rPr>
        <w:t xml:space="preserve"> Al-Hezaimi </w:t>
      </w:r>
      <w:r w:rsidRPr="00B013ED">
        <w:rPr>
          <w:rFonts w:cstheme="minorBidi"/>
          <w:i/>
          <w:iCs/>
        </w:rPr>
        <w:t>et al.,</w:t>
      </w:r>
      <w:r w:rsidRPr="00B013ED">
        <w:rPr>
          <w:rFonts w:cstheme="minorBidi"/>
        </w:rPr>
        <w:t xml:space="preserve"> </w:t>
      </w:r>
      <w:r w:rsidRPr="00B013ED">
        <w:rPr>
          <w:rFonts w:eastAsia="Corbel" w:cstheme="minorBidi"/>
          <w:bCs/>
          <w:szCs w:val="22"/>
        </w:rPr>
        <w:t>2009).</w:t>
      </w:r>
    </w:p>
    <w:p w:rsidR="00082311" w:rsidRPr="00B013ED" w:rsidRDefault="00805867" w:rsidP="002B54A2">
      <w:pPr>
        <w:pStyle w:val="Heading2"/>
      </w:pPr>
      <w:r w:rsidRPr="00B013ED">
        <w:rPr>
          <w:rFonts w:eastAsia="Corbel" w:cstheme="minorBidi"/>
          <w:szCs w:val="22"/>
        </w:rPr>
        <w:br w:type="page"/>
      </w:r>
      <w:bookmarkStart w:id="473" w:name="_Toc370819260"/>
      <w:r w:rsidR="00082311" w:rsidRPr="00B013ED">
        <w:lastRenderedPageBreak/>
        <w:t>Brief history of using antibiotics</w:t>
      </w:r>
      <w:bookmarkEnd w:id="473"/>
      <w:r w:rsidR="00082311" w:rsidRPr="00B013ED">
        <w:t xml:space="preserve"> </w:t>
      </w:r>
    </w:p>
    <w:p w:rsidR="002D4942" w:rsidRPr="00B013ED" w:rsidRDefault="002D4942" w:rsidP="002D4942">
      <w:pPr>
        <w:spacing w:line="480" w:lineRule="auto"/>
        <w:jc w:val="both"/>
        <w:rPr>
          <w:lang w:eastAsia="en-GB"/>
        </w:rPr>
      </w:pPr>
      <w:r w:rsidRPr="00B013ED">
        <w:rPr>
          <w:lang w:eastAsia="en-GB"/>
        </w:rPr>
        <w:t xml:space="preserve">Although the discovery of antibiotics was in 1926, </w:t>
      </w:r>
      <w:r>
        <w:rPr>
          <w:lang w:eastAsia="en-GB"/>
        </w:rPr>
        <w:t>they have</w:t>
      </w:r>
      <w:r w:rsidRPr="00B013ED">
        <w:rPr>
          <w:lang w:eastAsia="en-GB"/>
        </w:rPr>
        <w:t xml:space="preserve"> not been used routinely in clinic</w:t>
      </w:r>
      <w:r>
        <w:rPr>
          <w:lang w:eastAsia="en-GB"/>
        </w:rPr>
        <w:t>s</w:t>
      </w:r>
      <w:r w:rsidRPr="00B013ED">
        <w:rPr>
          <w:lang w:eastAsia="en-GB"/>
        </w:rPr>
        <w:t xml:space="preserve"> till the early forties. After the Second World War where </w:t>
      </w:r>
      <w:r>
        <w:rPr>
          <w:lang w:eastAsia="en-GB"/>
        </w:rPr>
        <w:t>many</w:t>
      </w:r>
      <w:r w:rsidRPr="00B013ED">
        <w:rPr>
          <w:lang w:eastAsia="en-GB"/>
        </w:rPr>
        <w:t xml:space="preserve"> soldiers lost their li</w:t>
      </w:r>
      <w:r>
        <w:rPr>
          <w:lang w:eastAsia="en-GB"/>
        </w:rPr>
        <w:t>v</w:t>
      </w:r>
      <w:r w:rsidRPr="00B013ED">
        <w:rPr>
          <w:lang w:eastAsia="en-GB"/>
        </w:rPr>
        <w:t>e</w:t>
      </w:r>
      <w:r>
        <w:rPr>
          <w:lang w:eastAsia="en-GB"/>
        </w:rPr>
        <w:t>s</w:t>
      </w:r>
      <w:r w:rsidRPr="00B013ED">
        <w:rPr>
          <w:lang w:eastAsia="en-GB"/>
        </w:rPr>
        <w:t xml:space="preserve"> due to bacterial infection rather than the wound itself this magic material helped </w:t>
      </w:r>
      <w:r>
        <w:rPr>
          <w:lang w:eastAsia="en-GB"/>
        </w:rPr>
        <w:t xml:space="preserve">to </w:t>
      </w:r>
      <w:r w:rsidRPr="00B013ED">
        <w:rPr>
          <w:lang w:eastAsia="en-GB"/>
        </w:rPr>
        <w:t>sav</w:t>
      </w:r>
      <w:r>
        <w:rPr>
          <w:lang w:eastAsia="en-GB"/>
        </w:rPr>
        <w:t>e</w:t>
      </w:r>
      <w:r w:rsidRPr="00B013ED">
        <w:rPr>
          <w:lang w:eastAsia="en-GB"/>
        </w:rPr>
        <w:t xml:space="preserve"> </w:t>
      </w:r>
      <w:r>
        <w:rPr>
          <w:lang w:eastAsia="en-GB"/>
        </w:rPr>
        <w:t>many</w:t>
      </w:r>
      <w:r w:rsidRPr="00B013ED">
        <w:rPr>
          <w:lang w:eastAsia="en-GB"/>
        </w:rPr>
        <w:t xml:space="preserve"> human lives (Abbott, 2000). In dentistry antibiotics were applied systematically for trauma patients and for root canal treatment</w:t>
      </w:r>
      <w:r>
        <w:rPr>
          <w:lang w:eastAsia="en-GB"/>
        </w:rPr>
        <w:t>s</w:t>
      </w:r>
      <w:r w:rsidRPr="00B013ED">
        <w:rPr>
          <w:lang w:eastAsia="en-GB"/>
        </w:rPr>
        <w:t>. The first time antibiotics were applied topically were in 1951 by Grossman as poly</w:t>
      </w:r>
      <w:r>
        <w:rPr>
          <w:lang w:eastAsia="en-GB"/>
        </w:rPr>
        <w:t>-</w:t>
      </w:r>
      <w:r w:rsidRPr="00B013ED">
        <w:rPr>
          <w:lang w:eastAsia="en-GB"/>
        </w:rPr>
        <w:t>antibiotic past</w:t>
      </w:r>
      <w:r>
        <w:rPr>
          <w:lang w:eastAsia="en-GB"/>
        </w:rPr>
        <w:t>es</w:t>
      </w:r>
      <w:r w:rsidRPr="00B013ED">
        <w:rPr>
          <w:lang w:eastAsia="en-GB"/>
        </w:rPr>
        <w:t xml:space="preserve"> which were known as PBSC (formulated from </w:t>
      </w:r>
      <w:r>
        <w:rPr>
          <w:lang w:eastAsia="en-GB"/>
        </w:rPr>
        <w:t>p</w:t>
      </w:r>
      <w:r w:rsidRPr="00B013ED">
        <w:rPr>
          <w:lang w:eastAsia="en-GB"/>
        </w:rPr>
        <w:t>enicillin, bacitracin, streptomycin and caprylate sodium) and the idea behind this mixture w</w:t>
      </w:r>
      <w:r>
        <w:rPr>
          <w:lang w:eastAsia="en-GB"/>
        </w:rPr>
        <w:t>as for</w:t>
      </w:r>
      <w:r w:rsidRPr="00B013ED">
        <w:rPr>
          <w:lang w:eastAsia="en-GB"/>
        </w:rPr>
        <w:t xml:space="preserve"> Penicillin targeting the gram positive bacteria, streptomycin against gram negative bacteria, bacitracin for organism</w:t>
      </w:r>
      <w:r>
        <w:rPr>
          <w:lang w:eastAsia="en-GB"/>
        </w:rPr>
        <w:t>s</w:t>
      </w:r>
      <w:r w:rsidRPr="00B013ED">
        <w:rPr>
          <w:lang w:eastAsia="en-GB"/>
        </w:rPr>
        <w:t xml:space="preserve"> that </w:t>
      </w:r>
      <w:r>
        <w:rPr>
          <w:lang w:eastAsia="en-GB"/>
        </w:rPr>
        <w:t xml:space="preserve">were </w:t>
      </w:r>
      <w:r w:rsidRPr="00B013ED">
        <w:rPr>
          <w:lang w:eastAsia="en-GB"/>
        </w:rPr>
        <w:t>resistan</w:t>
      </w:r>
      <w:r>
        <w:rPr>
          <w:lang w:eastAsia="en-GB"/>
        </w:rPr>
        <w:t>t</w:t>
      </w:r>
      <w:r w:rsidRPr="00B013ED">
        <w:rPr>
          <w:lang w:eastAsia="en-GB"/>
        </w:rPr>
        <w:t xml:space="preserve"> to penicillin and finally caprylate sodium </w:t>
      </w:r>
      <w:r>
        <w:rPr>
          <w:lang w:eastAsia="en-GB"/>
        </w:rPr>
        <w:t>for</w:t>
      </w:r>
      <w:r w:rsidRPr="00B013ED">
        <w:rPr>
          <w:lang w:eastAsia="en-GB"/>
        </w:rPr>
        <w:t xml:space="preserve"> antifungal infection</w:t>
      </w:r>
      <w:r>
        <w:rPr>
          <w:lang w:eastAsia="en-GB"/>
        </w:rPr>
        <w:t>s</w:t>
      </w:r>
      <w:r w:rsidRPr="00B013ED">
        <w:rPr>
          <w:lang w:eastAsia="en-GB"/>
        </w:rPr>
        <w:t xml:space="preserve">. These formulas were updated to be PBSN </w:t>
      </w:r>
      <w:r>
        <w:rPr>
          <w:lang w:eastAsia="en-GB"/>
        </w:rPr>
        <w:t xml:space="preserve">by </w:t>
      </w:r>
      <w:r w:rsidRPr="00B013ED">
        <w:rPr>
          <w:lang w:eastAsia="en-GB"/>
        </w:rPr>
        <w:t xml:space="preserve">Weine (2003) </w:t>
      </w:r>
      <w:r>
        <w:rPr>
          <w:lang w:eastAsia="en-GB"/>
        </w:rPr>
        <w:t xml:space="preserve">who </w:t>
      </w:r>
      <w:r w:rsidRPr="00B013ED">
        <w:rPr>
          <w:lang w:eastAsia="en-GB"/>
        </w:rPr>
        <w:t>substitut</w:t>
      </w:r>
      <w:r>
        <w:rPr>
          <w:lang w:eastAsia="en-GB"/>
        </w:rPr>
        <w:t>ed</w:t>
      </w:r>
      <w:r w:rsidRPr="00B013ED">
        <w:rPr>
          <w:lang w:eastAsia="en-GB"/>
        </w:rPr>
        <w:t xml:space="preserve"> caprylate sodium with Nystatin.</w:t>
      </w:r>
    </w:p>
    <w:p w:rsidR="00082311" w:rsidRPr="00B013ED" w:rsidRDefault="00082311" w:rsidP="00713B58">
      <w:pPr>
        <w:pStyle w:val="Heading3"/>
        <w:spacing w:line="480" w:lineRule="auto"/>
        <w:jc w:val="both"/>
        <w:rPr>
          <w:rFonts w:eastAsia="Calibri"/>
          <w:lang w:eastAsia="en-GB"/>
        </w:rPr>
      </w:pPr>
      <w:bookmarkStart w:id="474" w:name="_Toc370819261"/>
      <w:r w:rsidRPr="00B013ED">
        <w:rPr>
          <w:rFonts w:eastAsia="Calibri"/>
          <w:lang w:eastAsia="en-GB"/>
        </w:rPr>
        <w:t xml:space="preserve">The antibiotic paste was </w:t>
      </w:r>
      <w:r w:rsidR="00713B58" w:rsidRPr="00B013ED">
        <w:rPr>
          <w:rFonts w:eastAsia="Calibri"/>
          <w:lang w:eastAsia="en-GB"/>
        </w:rPr>
        <w:t xml:space="preserve">formulated </w:t>
      </w:r>
      <w:r w:rsidR="00713B58">
        <w:rPr>
          <w:rFonts w:eastAsia="Calibri"/>
          <w:lang w:eastAsia="en-GB"/>
        </w:rPr>
        <w:t>by</w:t>
      </w:r>
      <w:r w:rsidR="00713B58" w:rsidRPr="00B013ED">
        <w:rPr>
          <w:rFonts w:eastAsia="Calibri"/>
          <w:lang w:eastAsia="en-GB"/>
        </w:rPr>
        <w:t xml:space="preserve"> </w:t>
      </w:r>
      <w:proofErr w:type="gramStart"/>
      <w:r w:rsidR="00713B58" w:rsidRPr="00B013ED">
        <w:rPr>
          <w:rFonts w:eastAsia="Calibri"/>
          <w:lang w:eastAsia="en-GB"/>
        </w:rPr>
        <w:t>Winter</w:t>
      </w:r>
      <w:proofErr w:type="gramEnd"/>
      <w:r w:rsidR="00713B58" w:rsidRPr="00B013ED">
        <w:rPr>
          <w:rFonts w:eastAsia="Calibri"/>
          <w:lang w:eastAsia="en-GB"/>
        </w:rPr>
        <w:t xml:space="preserve"> (1966)</w:t>
      </w:r>
      <w:r w:rsidR="00713B58">
        <w:rPr>
          <w:rFonts w:eastAsia="Calibri"/>
          <w:lang w:eastAsia="en-GB"/>
        </w:rPr>
        <w:t xml:space="preserve"> as:</w:t>
      </w:r>
      <w:bookmarkEnd w:id="474"/>
    </w:p>
    <w:p w:rsidR="0017318E" w:rsidRPr="00B013ED" w:rsidRDefault="0017318E" w:rsidP="0017318E">
      <w:pPr>
        <w:autoSpaceDE w:val="0"/>
        <w:autoSpaceDN w:val="0"/>
        <w:adjustRightInd w:val="0"/>
        <w:spacing w:after="120" w:line="480" w:lineRule="auto"/>
        <w:jc w:val="both"/>
        <w:rPr>
          <w:rFonts w:ascii="Arial" w:eastAsia="SimSun" w:hAnsi="Arial" w:cs="Arial"/>
          <w:szCs w:val="24"/>
          <w:lang w:eastAsia="zh-CN"/>
        </w:rPr>
      </w:pPr>
      <w:r w:rsidRPr="00B013ED">
        <w:rPr>
          <w:rFonts w:ascii="Arial" w:eastAsia="SimSun" w:hAnsi="Arial" w:cs="Arial"/>
          <w:szCs w:val="24"/>
          <w:lang w:eastAsia="zh-CN"/>
        </w:rPr>
        <w:t>Neomycin sulphate 2.0gr</w:t>
      </w:r>
    </w:p>
    <w:p w:rsidR="0017318E" w:rsidRPr="00B013ED" w:rsidRDefault="0017318E" w:rsidP="0017318E">
      <w:pPr>
        <w:autoSpaceDE w:val="0"/>
        <w:autoSpaceDN w:val="0"/>
        <w:adjustRightInd w:val="0"/>
        <w:spacing w:after="120" w:line="480" w:lineRule="auto"/>
        <w:jc w:val="both"/>
        <w:rPr>
          <w:rFonts w:ascii="Arial" w:eastAsia="SimSun" w:hAnsi="Arial" w:cs="Arial"/>
          <w:szCs w:val="24"/>
          <w:lang w:eastAsia="zh-CN"/>
        </w:rPr>
      </w:pPr>
      <w:proofErr w:type="gramStart"/>
      <w:r w:rsidRPr="00B013ED">
        <w:rPr>
          <w:rFonts w:ascii="Arial" w:eastAsia="SimSun" w:hAnsi="Arial" w:cs="Arial"/>
          <w:szCs w:val="24"/>
          <w:lang w:eastAsia="zh-CN"/>
        </w:rPr>
        <w:t>Polymyxin B sulphate 100mg.</w:t>
      </w:r>
      <w:proofErr w:type="gramEnd"/>
    </w:p>
    <w:p w:rsidR="0017318E" w:rsidRPr="00B013ED" w:rsidRDefault="0017318E" w:rsidP="0017318E">
      <w:pPr>
        <w:autoSpaceDE w:val="0"/>
        <w:autoSpaceDN w:val="0"/>
        <w:adjustRightInd w:val="0"/>
        <w:spacing w:after="120" w:line="480" w:lineRule="auto"/>
        <w:jc w:val="both"/>
        <w:rPr>
          <w:rFonts w:ascii="Arial" w:eastAsia="Times New Roman" w:hAnsi="Arial" w:cs="Arial"/>
          <w:szCs w:val="24"/>
          <w:lang w:eastAsia="en-GB"/>
        </w:rPr>
      </w:pPr>
      <w:proofErr w:type="gramStart"/>
      <w:r w:rsidRPr="00B013ED">
        <w:rPr>
          <w:rFonts w:ascii="Arial" w:eastAsia="Times New Roman" w:hAnsi="Arial" w:cs="Arial"/>
          <w:szCs w:val="24"/>
          <w:lang w:eastAsia="en-GB"/>
        </w:rPr>
        <w:t>Bacitracin 500mg.</w:t>
      </w:r>
      <w:proofErr w:type="gramEnd"/>
    </w:p>
    <w:p w:rsidR="0017318E" w:rsidRPr="00B013ED" w:rsidRDefault="0017318E" w:rsidP="0017318E">
      <w:pPr>
        <w:autoSpaceDE w:val="0"/>
        <w:autoSpaceDN w:val="0"/>
        <w:adjustRightInd w:val="0"/>
        <w:spacing w:after="120" w:line="480" w:lineRule="auto"/>
        <w:jc w:val="both"/>
        <w:rPr>
          <w:rFonts w:ascii="Arial" w:eastAsia="Times New Roman" w:hAnsi="Arial" w:cs="Arial"/>
          <w:szCs w:val="24"/>
          <w:lang w:eastAsia="en-GB"/>
        </w:rPr>
      </w:pPr>
      <w:proofErr w:type="gramStart"/>
      <w:r w:rsidRPr="00B013ED">
        <w:rPr>
          <w:rFonts w:ascii="Arial" w:eastAsia="Times New Roman" w:hAnsi="Arial" w:cs="Arial"/>
          <w:szCs w:val="24"/>
          <w:lang w:eastAsia="en-GB"/>
        </w:rPr>
        <w:t>Nystatin 500,000 units.</w:t>
      </w:r>
      <w:proofErr w:type="gramEnd"/>
    </w:p>
    <w:p w:rsidR="00713B58" w:rsidRPr="00B013ED" w:rsidRDefault="00713B58" w:rsidP="00713B58">
      <w:pPr>
        <w:autoSpaceDE w:val="0"/>
        <w:autoSpaceDN w:val="0"/>
        <w:adjustRightInd w:val="0"/>
        <w:spacing w:after="120" w:line="480" w:lineRule="auto"/>
        <w:jc w:val="both"/>
        <w:rPr>
          <w:rFonts w:ascii="Arial" w:eastAsia="SimSun" w:hAnsi="Arial" w:cs="Arial"/>
          <w:szCs w:val="24"/>
          <w:lang w:eastAsia="zh-CN"/>
        </w:rPr>
      </w:pPr>
      <w:r w:rsidRPr="00B013ED">
        <w:rPr>
          <w:rFonts w:ascii="Arial" w:eastAsia="SimSun" w:hAnsi="Arial" w:cs="Arial"/>
          <w:szCs w:val="24"/>
          <w:lang w:eastAsia="zh-CN"/>
        </w:rPr>
        <w:t xml:space="preserve">John </w:t>
      </w:r>
      <w:r w:rsidRPr="00B013ED">
        <w:rPr>
          <w:rFonts w:ascii="Arial" w:eastAsia="SimSun" w:hAnsi="Arial" w:cs="Arial"/>
          <w:i/>
          <w:iCs/>
          <w:szCs w:val="24"/>
          <w:lang w:eastAsia="zh-CN"/>
        </w:rPr>
        <w:t>et al.</w:t>
      </w:r>
      <w:r w:rsidRPr="00B013ED">
        <w:rPr>
          <w:rFonts w:ascii="Arial" w:eastAsia="SimSun" w:hAnsi="Arial" w:cs="Arial"/>
          <w:szCs w:val="24"/>
          <w:lang w:eastAsia="zh-CN"/>
        </w:rPr>
        <w:t xml:space="preserve"> </w:t>
      </w:r>
      <w:r>
        <w:rPr>
          <w:rFonts w:ascii="Arial" w:eastAsia="SimSun" w:hAnsi="Arial" w:cs="Arial"/>
          <w:szCs w:val="24"/>
          <w:lang w:eastAsia="zh-CN"/>
        </w:rPr>
        <w:t>(</w:t>
      </w:r>
      <w:r w:rsidRPr="00B013ED">
        <w:rPr>
          <w:rFonts w:ascii="Arial" w:eastAsia="SimSun" w:hAnsi="Arial" w:cs="Arial"/>
          <w:szCs w:val="24"/>
          <w:lang w:eastAsia="zh-CN"/>
        </w:rPr>
        <w:t>1969) compared the revasculari</w:t>
      </w:r>
      <w:r>
        <w:rPr>
          <w:rFonts w:ascii="Arial" w:eastAsia="SimSun" w:hAnsi="Arial" w:cs="Arial"/>
          <w:szCs w:val="24"/>
          <w:lang w:eastAsia="zh-CN"/>
        </w:rPr>
        <w:t>s</w:t>
      </w:r>
      <w:r w:rsidRPr="00B013ED">
        <w:rPr>
          <w:rFonts w:ascii="Arial" w:eastAsia="SimSun" w:hAnsi="Arial" w:cs="Arial"/>
          <w:szCs w:val="24"/>
          <w:lang w:eastAsia="zh-CN"/>
        </w:rPr>
        <w:t>ation to calcium hydroxide in an animal study. Nine immature teeth were treated by fresh serial blood clot revasculari</w:t>
      </w:r>
      <w:r>
        <w:rPr>
          <w:rFonts w:ascii="Arial" w:eastAsia="SimSun" w:hAnsi="Arial" w:cs="Arial"/>
          <w:szCs w:val="24"/>
          <w:lang w:eastAsia="zh-CN"/>
        </w:rPr>
        <w:t>s</w:t>
      </w:r>
      <w:r w:rsidRPr="00B013ED">
        <w:rPr>
          <w:rFonts w:ascii="Arial" w:eastAsia="SimSun" w:hAnsi="Arial" w:cs="Arial"/>
          <w:szCs w:val="24"/>
          <w:lang w:eastAsia="zh-CN"/>
        </w:rPr>
        <w:t>ation and eight teeth received calcium hydroxide paste. This paste was inserted by using 18 gauge needles to ca</w:t>
      </w:r>
      <w:r>
        <w:rPr>
          <w:rFonts w:ascii="Arial" w:eastAsia="SimSun" w:hAnsi="Arial" w:cs="Arial"/>
          <w:szCs w:val="24"/>
          <w:lang w:eastAsia="zh-CN"/>
        </w:rPr>
        <w:t xml:space="preserve">rry the material to the apex. </w:t>
      </w:r>
      <w:r w:rsidRPr="00B013ED">
        <w:rPr>
          <w:rFonts w:ascii="Arial" w:eastAsia="SimSun" w:hAnsi="Arial" w:cs="Arial"/>
          <w:szCs w:val="24"/>
          <w:lang w:eastAsia="zh-CN"/>
        </w:rPr>
        <w:lastRenderedPageBreak/>
        <w:t xml:space="preserve">They used six teeth </w:t>
      </w:r>
      <w:r>
        <w:rPr>
          <w:rFonts w:ascii="Arial" w:eastAsia="SimSun" w:hAnsi="Arial" w:cs="Arial"/>
          <w:szCs w:val="24"/>
          <w:lang w:eastAsia="zh-CN"/>
        </w:rPr>
        <w:t>for the</w:t>
      </w:r>
      <w:r w:rsidRPr="00B013ED">
        <w:rPr>
          <w:rFonts w:ascii="Arial" w:eastAsia="SimSun" w:hAnsi="Arial" w:cs="Arial"/>
          <w:szCs w:val="24"/>
          <w:lang w:eastAsia="zh-CN"/>
        </w:rPr>
        <w:t xml:space="preserve"> control group. The result</w:t>
      </w:r>
      <w:r>
        <w:rPr>
          <w:rFonts w:ascii="Arial" w:eastAsia="SimSun" w:hAnsi="Arial" w:cs="Arial"/>
          <w:szCs w:val="24"/>
          <w:lang w:eastAsia="zh-CN"/>
        </w:rPr>
        <w:t>s</w:t>
      </w:r>
      <w:r w:rsidRPr="00B013ED">
        <w:rPr>
          <w:rFonts w:ascii="Arial" w:eastAsia="SimSun" w:hAnsi="Arial" w:cs="Arial"/>
          <w:szCs w:val="24"/>
          <w:lang w:eastAsia="zh-CN"/>
        </w:rPr>
        <w:t xml:space="preserve"> </w:t>
      </w:r>
      <w:r>
        <w:rPr>
          <w:rFonts w:ascii="Arial" w:eastAsia="SimSun" w:hAnsi="Arial" w:cs="Arial"/>
          <w:szCs w:val="24"/>
          <w:lang w:eastAsia="zh-CN"/>
        </w:rPr>
        <w:t>showed that</w:t>
      </w:r>
      <w:r w:rsidRPr="00B013ED">
        <w:rPr>
          <w:rFonts w:ascii="Arial" w:eastAsia="SimSun" w:hAnsi="Arial" w:cs="Arial"/>
          <w:szCs w:val="24"/>
          <w:lang w:eastAsia="zh-CN"/>
        </w:rPr>
        <w:t xml:space="preserve"> in </w:t>
      </w:r>
      <w:r>
        <w:rPr>
          <w:rFonts w:ascii="Arial" w:eastAsia="SimSun" w:hAnsi="Arial" w:cs="Arial"/>
          <w:szCs w:val="24"/>
          <w:lang w:eastAsia="zh-CN"/>
        </w:rPr>
        <w:t xml:space="preserve">the </w:t>
      </w:r>
      <w:r w:rsidRPr="00B013ED">
        <w:rPr>
          <w:rFonts w:ascii="Arial" w:eastAsia="SimSun" w:hAnsi="Arial" w:cs="Arial"/>
          <w:szCs w:val="24"/>
          <w:lang w:eastAsia="zh-CN"/>
        </w:rPr>
        <w:t xml:space="preserve">calcium hydroxide group </w:t>
      </w:r>
      <w:r>
        <w:rPr>
          <w:rFonts w:ascii="Arial" w:eastAsia="SimSun" w:hAnsi="Arial" w:cs="Arial"/>
          <w:szCs w:val="24"/>
          <w:lang w:eastAsia="zh-CN"/>
        </w:rPr>
        <w:t>three</w:t>
      </w:r>
      <w:r w:rsidRPr="00B013ED">
        <w:rPr>
          <w:rFonts w:ascii="Arial" w:eastAsia="SimSun" w:hAnsi="Arial" w:cs="Arial"/>
          <w:szCs w:val="24"/>
          <w:lang w:eastAsia="zh-CN"/>
        </w:rPr>
        <w:t xml:space="preserve"> teeth had no calcified barrier and one tooth had external resorption. In the second group only </w:t>
      </w:r>
      <w:r>
        <w:rPr>
          <w:rFonts w:ascii="Arial" w:eastAsia="SimSun" w:hAnsi="Arial" w:cs="Arial"/>
          <w:szCs w:val="24"/>
          <w:lang w:eastAsia="zh-CN"/>
        </w:rPr>
        <w:t>four</w:t>
      </w:r>
      <w:r w:rsidRPr="00B013ED">
        <w:rPr>
          <w:rFonts w:ascii="Arial" w:eastAsia="SimSun" w:hAnsi="Arial" w:cs="Arial"/>
          <w:szCs w:val="24"/>
          <w:lang w:eastAsia="zh-CN"/>
        </w:rPr>
        <w:t xml:space="preserve"> teeth show</w:t>
      </w:r>
      <w:r>
        <w:rPr>
          <w:rFonts w:ascii="Arial" w:eastAsia="SimSun" w:hAnsi="Arial" w:cs="Arial"/>
          <w:szCs w:val="24"/>
          <w:lang w:eastAsia="zh-CN"/>
        </w:rPr>
        <w:t>ed</w:t>
      </w:r>
      <w:r w:rsidRPr="00B013ED">
        <w:rPr>
          <w:rFonts w:ascii="Arial" w:eastAsia="SimSun" w:hAnsi="Arial" w:cs="Arial"/>
          <w:szCs w:val="24"/>
          <w:lang w:eastAsia="zh-CN"/>
        </w:rPr>
        <w:t xml:space="preserve"> partial bridging. This study concluded that the use of calcium hydroxide g</w:t>
      </w:r>
      <w:r>
        <w:rPr>
          <w:rFonts w:ascii="Arial" w:eastAsia="SimSun" w:hAnsi="Arial" w:cs="Arial"/>
          <w:szCs w:val="24"/>
          <w:lang w:eastAsia="zh-CN"/>
        </w:rPr>
        <w:t>a</w:t>
      </w:r>
      <w:r w:rsidRPr="00B013ED">
        <w:rPr>
          <w:rFonts w:ascii="Arial" w:eastAsia="SimSun" w:hAnsi="Arial" w:cs="Arial"/>
          <w:szCs w:val="24"/>
          <w:lang w:eastAsia="zh-CN"/>
        </w:rPr>
        <w:t>ve more favourable healing.</w:t>
      </w:r>
    </w:p>
    <w:p w:rsidR="00713B58" w:rsidRPr="00B013ED" w:rsidRDefault="00713B58" w:rsidP="00713B58">
      <w:pPr>
        <w:autoSpaceDE w:val="0"/>
        <w:autoSpaceDN w:val="0"/>
        <w:adjustRightInd w:val="0"/>
        <w:spacing w:after="120" w:line="480" w:lineRule="auto"/>
        <w:jc w:val="both"/>
        <w:rPr>
          <w:rFonts w:ascii="Arial" w:eastAsia="SimSun" w:hAnsi="Arial" w:cs="Arial"/>
          <w:szCs w:val="24"/>
          <w:lang w:eastAsia="zh-CN"/>
        </w:rPr>
      </w:pPr>
      <w:r w:rsidRPr="00B013ED">
        <w:rPr>
          <w:rFonts w:ascii="Arial" w:eastAsia="SimSun" w:hAnsi="Arial" w:cs="Arial"/>
          <w:szCs w:val="24"/>
          <w:lang w:eastAsia="zh-CN"/>
        </w:rPr>
        <w:t xml:space="preserve">Johnson and Burich </w:t>
      </w:r>
      <w:r>
        <w:rPr>
          <w:rFonts w:ascii="Arial" w:eastAsia="SimSun" w:hAnsi="Arial" w:cs="Arial"/>
          <w:szCs w:val="24"/>
          <w:lang w:eastAsia="zh-CN"/>
        </w:rPr>
        <w:t>(</w:t>
      </w:r>
      <w:r w:rsidRPr="00B013ED">
        <w:rPr>
          <w:rFonts w:ascii="Arial" w:eastAsia="SimSun" w:hAnsi="Arial" w:cs="Arial"/>
          <w:szCs w:val="24"/>
          <w:lang w:eastAsia="zh-CN"/>
        </w:rPr>
        <w:t xml:space="preserve">1979) </w:t>
      </w:r>
      <w:r>
        <w:rPr>
          <w:rFonts w:ascii="Arial" w:eastAsia="SimSun" w:hAnsi="Arial" w:cs="Arial"/>
          <w:szCs w:val="24"/>
          <w:lang w:eastAsia="zh-CN"/>
        </w:rPr>
        <w:t>i</w:t>
      </w:r>
      <w:r w:rsidRPr="00B013ED">
        <w:rPr>
          <w:rFonts w:ascii="Arial" w:eastAsia="SimSun" w:hAnsi="Arial" w:cs="Arial"/>
          <w:szCs w:val="24"/>
          <w:lang w:eastAsia="zh-CN"/>
        </w:rPr>
        <w:t xml:space="preserve">n an animal study of five dog </w:t>
      </w:r>
      <w:proofErr w:type="gramStart"/>
      <w:r w:rsidRPr="00B013ED">
        <w:rPr>
          <w:rFonts w:ascii="Arial" w:eastAsia="SimSun" w:hAnsi="Arial" w:cs="Arial"/>
          <w:szCs w:val="24"/>
          <w:lang w:eastAsia="zh-CN"/>
        </w:rPr>
        <w:t>teeth</w:t>
      </w:r>
      <w:r>
        <w:rPr>
          <w:rFonts w:ascii="Arial" w:eastAsia="SimSun" w:hAnsi="Arial" w:cs="Arial"/>
          <w:szCs w:val="24"/>
          <w:lang w:eastAsia="zh-CN"/>
        </w:rPr>
        <w:t>,</w:t>
      </w:r>
      <w:proofErr w:type="gramEnd"/>
      <w:r w:rsidRPr="00B013ED">
        <w:rPr>
          <w:rFonts w:ascii="Arial" w:eastAsia="SimSun" w:hAnsi="Arial" w:cs="Arial"/>
          <w:szCs w:val="24"/>
          <w:lang w:eastAsia="zh-CN"/>
        </w:rPr>
        <w:t xml:space="preserve"> </w:t>
      </w:r>
      <w:r>
        <w:rPr>
          <w:rFonts w:ascii="Arial" w:eastAsia="SimSun" w:hAnsi="Arial" w:cs="Arial"/>
          <w:szCs w:val="24"/>
          <w:lang w:eastAsia="zh-CN"/>
        </w:rPr>
        <w:t>s</w:t>
      </w:r>
      <w:r w:rsidRPr="00B013ED">
        <w:rPr>
          <w:rFonts w:ascii="Arial" w:eastAsia="SimSun" w:hAnsi="Arial" w:cs="Arial"/>
          <w:szCs w:val="24"/>
          <w:lang w:eastAsia="zh-CN"/>
        </w:rPr>
        <w:t>tated that the success rate of revasculari</w:t>
      </w:r>
      <w:r>
        <w:rPr>
          <w:rFonts w:ascii="Arial" w:eastAsia="SimSun" w:hAnsi="Arial" w:cs="Arial"/>
          <w:szCs w:val="24"/>
          <w:lang w:eastAsia="zh-CN"/>
        </w:rPr>
        <w:t>s</w:t>
      </w:r>
      <w:r w:rsidRPr="00B013ED">
        <w:rPr>
          <w:rFonts w:ascii="Arial" w:eastAsia="SimSun" w:hAnsi="Arial" w:cs="Arial"/>
          <w:szCs w:val="24"/>
          <w:lang w:eastAsia="zh-CN"/>
        </w:rPr>
        <w:t xml:space="preserve">ation </w:t>
      </w:r>
      <w:r>
        <w:rPr>
          <w:rFonts w:ascii="Arial" w:eastAsia="SimSun" w:hAnsi="Arial" w:cs="Arial"/>
          <w:szCs w:val="24"/>
          <w:lang w:eastAsia="zh-CN"/>
        </w:rPr>
        <w:t xml:space="preserve">was </w:t>
      </w:r>
      <w:r w:rsidRPr="00B013ED">
        <w:rPr>
          <w:rFonts w:ascii="Arial" w:eastAsia="SimSun" w:hAnsi="Arial" w:cs="Arial"/>
          <w:szCs w:val="24"/>
          <w:lang w:eastAsia="zh-CN"/>
        </w:rPr>
        <w:t xml:space="preserve">100% and it could be </w:t>
      </w:r>
      <w:r>
        <w:rPr>
          <w:rFonts w:ascii="Arial" w:eastAsia="SimSun" w:hAnsi="Arial" w:cs="Arial"/>
          <w:szCs w:val="24"/>
          <w:lang w:eastAsia="zh-CN"/>
        </w:rPr>
        <w:t>considered</w:t>
      </w:r>
      <w:r w:rsidRPr="00B013ED">
        <w:rPr>
          <w:rFonts w:ascii="Arial" w:eastAsia="SimSun" w:hAnsi="Arial" w:cs="Arial"/>
          <w:szCs w:val="24"/>
          <w:lang w:eastAsia="zh-CN"/>
        </w:rPr>
        <w:t xml:space="preserve"> as one of the endodontic treatment option</w:t>
      </w:r>
      <w:r>
        <w:rPr>
          <w:rFonts w:ascii="Arial" w:eastAsia="SimSun" w:hAnsi="Arial" w:cs="Arial"/>
          <w:szCs w:val="24"/>
          <w:lang w:eastAsia="zh-CN"/>
        </w:rPr>
        <w:t>s</w:t>
      </w:r>
      <w:r w:rsidRPr="00B013ED">
        <w:rPr>
          <w:rFonts w:ascii="Arial" w:eastAsia="SimSun" w:hAnsi="Arial" w:cs="Arial"/>
          <w:szCs w:val="24"/>
          <w:lang w:eastAsia="zh-CN"/>
        </w:rPr>
        <w:t xml:space="preserve"> to treat immature teeth.</w:t>
      </w:r>
    </w:p>
    <w:p w:rsidR="00805867" w:rsidRPr="00B013ED" w:rsidRDefault="00805867" w:rsidP="00F32858">
      <w:pPr>
        <w:pStyle w:val="Heading3"/>
        <w:spacing w:line="480" w:lineRule="auto"/>
        <w:jc w:val="both"/>
        <w:rPr>
          <w:rFonts w:eastAsia="Corbel"/>
        </w:rPr>
      </w:pPr>
      <w:bookmarkStart w:id="475" w:name="_Toc370819262"/>
      <w:r w:rsidRPr="00B013ED">
        <w:rPr>
          <w:rFonts w:eastAsia="Corbel"/>
        </w:rPr>
        <w:t>Triple antibiotic paste in root canal therapy</w:t>
      </w:r>
      <w:bookmarkEnd w:id="475"/>
    </w:p>
    <w:p w:rsidR="00713B58" w:rsidRPr="00B013ED" w:rsidRDefault="00713B58" w:rsidP="00713B58">
      <w:pPr>
        <w:spacing w:line="480" w:lineRule="auto"/>
        <w:jc w:val="both"/>
        <w:rPr>
          <w:rFonts w:eastAsiaTheme="minorEastAsia" w:cstheme="minorBidi"/>
          <w:szCs w:val="24"/>
          <w:lang w:eastAsia="zh-CN"/>
        </w:rPr>
      </w:pPr>
      <w:r w:rsidRPr="00B013ED">
        <w:rPr>
          <w:rFonts w:cstheme="minorBidi"/>
        </w:rPr>
        <w:t>The infection of the root canal system is believed to be a polymicrobial infection, consisting of both aerobic and anaerobic bacteria. This complexity of the root canal infection makes it unlikely that any single antibiotic would work effectively to sterili</w:t>
      </w:r>
      <w:r>
        <w:rPr>
          <w:rFonts w:cstheme="minorBidi"/>
        </w:rPr>
        <w:t>s</w:t>
      </w:r>
      <w:r w:rsidRPr="00B013ED">
        <w:rPr>
          <w:rFonts w:cstheme="minorBidi"/>
        </w:rPr>
        <w:t xml:space="preserve">e the tooth canal; an antibiotic mixture would be needed to address the diversity of </w:t>
      </w:r>
      <w:r>
        <w:rPr>
          <w:rFonts w:cstheme="minorBidi"/>
        </w:rPr>
        <w:t>the microbiota</w:t>
      </w:r>
      <w:r w:rsidRPr="00B013ED">
        <w:rPr>
          <w:rFonts w:cstheme="minorBidi"/>
        </w:rPr>
        <w:t xml:space="preserve"> encountered. The combination that appears to be most promising consists of metronidazole, ciprofloxacin, and minocycline (William </w:t>
      </w:r>
      <w:r w:rsidRPr="00B013ED">
        <w:rPr>
          <w:rFonts w:cstheme="minorBidi"/>
          <w:i/>
        </w:rPr>
        <w:t>et al.,</w:t>
      </w:r>
      <w:r w:rsidRPr="00B013ED">
        <w:rPr>
          <w:rFonts w:cstheme="minorBidi"/>
        </w:rPr>
        <w:t xml:space="preserve"> 2005). This formula of the triple-antibiotics regimen was first tested by Sato </w:t>
      </w:r>
      <w:r w:rsidRPr="00B013ED">
        <w:rPr>
          <w:rFonts w:cstheme="minorBidi"/>
          <w:i/>
          <w:iCs/>
        </w:rPr>
        <w:t>et al.,</w:t>
      </w:r>
      <w:r w:rsidRPr="00B013ED">
        <w:rPr>
          <w:rFonts w:cstheme="minorBidi"/>
        </w:rPr>
        <w:t xml:space="preserve"> (1996).</w:t>
      </w:r>
    </w:p>
    <w:p w:rsidR="00713B58" w:rsidRPr="00B013ED" w:rsidRDefault="00713B58" w:rsidP="00713B58">
      <w:pPr>
        <w:spacing w:line="480" w:lineRule="auto"/>
        <w:jc w:val="both"/>
        <w:rPr>
          <w:rFonts w:cstheme="minorBidi"/>
        </w:rPr>
      </w:pPr>
      <w:r w:rsidRPr="00B013ED">
        <w:rPr>
          <w:rFonts w:cstheme="minorBidi"/>
        </w:rPr>
        <w:t>The majority of bacteria in the infected root canal dentin</w:t>
      </w:r>
      <w:r>
        <w:rPr>
          <w:rFonts w:cstheme="minorBidi"/>
        </w:rPr>
        <w:t>e</w:t>
      </w:r>
      <w:r w:rsidRPr="00B013ED">
        <w:rPr>
          <w:rFonts w:cstheme="minorBidi"/>
        </w:rPr>
        <w:t xml:space="preserve"> are obligate anaerobes. Therefore, metronidazole was selected as the first choice among antibacterial drugs since metronidazole exhibit a broad spectrum of activity against protozoa and anaerobic bacteria. However, it was not efficient to kill all type</w:t>
      </w:r>
      <w:r>
        <w:rPr>
          <w:rFonts w:cstheme="minorBidi"/>
        </w:rPr>
        <w:t>s</w:t>
      </w:r>
      <w:r w:rsidRPr="00B013ED">
        <w:rPr>
          <w:rFonts w:cstheme="minorBidi"/>
        </w:rPr>
        <w:t xml:space="preserve"> of bacteria, even at a high concentration, indicating the necessity for combination of other drugs. Propylene glycol can be used as a vehicle for the delivery of this paste (Pinky </w:t>
      </w:r>
      <w:r w:rsidRPr="00B013ED">
        <w:rPr>
          <w:rFonts w:cstheme="minorBidi"/>
          <w:i/>
          <w:iCs/>
        </w:rPr>
        <w:t>et al.,</w:t>
      </w:r>
      <w:r w:rsidRPr="00B013ED">
        <w:rPr>
          <w:rFonts w:cstheme="minorBidi"/>
        </w:rPr>
        <w:t xml:space="preserve"> 2011). Minocycline is a semi</w:t>
      </w:r>
      <w:r>
        <w:rPr>
          <w:rFonts w:cstheme="minorBidi"/>
        </w:rPr>
        <w:t>-</w:t>
      </w:r>
      <w:r w:rsidRPr="00B013ED">
        <w:rPr>
          <w:rFonts w:cstheme="minorBidi"/>
        </w:rPr>
        <w:t xml:space="preserve">synthetic </w:t>
      </w:r>
      <w:r w:rsidRPr="00B013ED">
        <w:rPr>
          <w:rFonts w:cstheme="minorBidi"/>
        </w:rPr>
        <w:lastRenderedPageBreak/>
        <w:t xml:space="preserve">derivative of tetracycline with a similar spectrum of activity. Ciprofloxacin, a synthetic fluoroquinolone, has a bactericidal mode of action (William </w:t>
      </w:r>
      <w:r w:rsidRPr="00B013ED">
        <w:rPr>
          <w:rFonts w:cstheme="minorBidi"/>
          <w:i/>
          <w:iCs/>
        </w:rPr>
        <w:t>et al.,</w:t>
      </w:r>
      <w:r w:rsidRPr="00B013ED">
        <w:rPr>
          <w:rFonts w:cstheme="minorBidi"/>
        </w:rPr>
        <w:t xml:space="preserve"> 2005). Recently Ordinola-Zapata </w:t>
      </w:r>
      <w:r w:rsidRPr="00B013ED">
        <w:rPr>
          <w:rFonts w:cstheme="minorBidi"/>
          <w:i/>
          <w:iCs/>
        </w:rPr>
        <w:t>et al.,</w:t>
      </w:r>
      <w:r w:rsidRPr="00B013ED">
        <w:rPr>
          <w:rFonts w:cstheme="minorBidi"/>
        </w:rPr>
        <w:t xml:space="preserve"> 2013 reported that the tri</w:t>
      </w:r>
      <w:r>
        <w:rPr>
          <w:rFonts w:cstheme="minorBidi"/>
        </w:rPr>
        <w:t>-</w:t>
      </w:r>
      <w:r w:rsidRPr="00B013ED">
        <w:rPr>
          <w:rFonts w:cstheme="minorBidi"/>
        </w:rPr>
        <w:t>antibiotic paste was most effective at killing bacteria in the biofilms on the intra</w:t>
      </w:r>
      <w:r>
        <w:rPr>
          <w:rFonts w:cstheme="minorBidi"/>
        </w:rPr>
        <w:t>-</w:t>
      </w:r>
      <w:r w:rsidRPr="00B013ED">
        <w:rPr>
          <w:rFonts w:cstheme="minorBidi"/>
        </w:rPr>
        <w:t>orally infected dentin</w:t>
      </w:r>
      <w:r>
        <w:rPr>
          <w:rFonts w:cstheme="minorBidi"/>
        </w:rPr>
        <w:t>e</w:t>
      </w:r>
      <w:r w:rsidRPr="00B013ED">
        <w:rPr>
          <w:rFonts w:cstheme="minorBidi"/>
        </w:rPr>
        <w:t xml:space="preserve"> model in comparison with 2% chlorhexidine gel and calcium hydroxide paste.</w:t>
      </w:r>
    </w:p>
    <w:p w:rsidR="00805867" w:rsidRPr="00B013ED" w:rsidRDefault="00805867" w:rsidP="00E64697">
      <w:pPr>
        <w:pStyle w:val="Heading4"/>
        <w:spacing w:line="480" w:lineRule="auto"/>
        <w:jc w:val="both"/>
        <w:rPr>
          <w:rFonts w:eastAsia="Times New Roman"/>
        </w:rPr>
      </w:pPr>
      <w:proofErr w:type="gramStart"/>
      <w:r w:rsidRPr="00B013ED">
        <w:rPr>
          <w:rFonts w:eastAsia="Times New Roman"/>
        </w:rPr>
        <w:t>Minocycline.</w:t>
      </w:r>
      <w:proofErr w:type="gramEnd"/>
      <w:r w:rsidRPr="00B013ED">
        <w:rPr>
          <w:rFonts w:eastAsia="Times New Roman"/>
        </w:rPr>
        <w:t xml:space="preserve"> </w:t>
      </w:r>
    </w:p>
    <w:p w:rsidR="00E64697" w:rsidRPr="00B013ED" w:rsidRDefault="00E64697" w:rsidP="00E64697">
      <w:pPr>
        <w:spacing w:line="480" w:lineRule="auto"/>
        <w:jc w:val="both"/>
        <w:rPr>
          <w:rFonts w:eastAsia="Times New Roman" w:cstheme="minorBidi"/>
        </w:rPr>
      </w:pPr>
      <w:r w:rsidRPr="00B013ED">
        <w:rPr>
          <w:rFonts w:eastAsia="Times New Roman" w:cstheme="minorBidi"/>
          <w:bCs/>
        </w:rPr>
        <w:t xml:space="preserve">It is </w:t>
      </w:r>
      <w:r>
        <w:rPr>
          <w:rFonts w:eastAsia="Times New Roman" w:cstheme="minorBidi"/>
          <w:bCs/>
        </w:rPr>
        <w:t>part</w:t>
      </w:r>
      <w:r w:rsidRPr="00B013ED">
        <w:rPr>
          <w:rFonts w:eastAsia="Times New Roman" w:cstheme="minorBidi"/>
          <w:bCs/>
        </w:rPr>
        <w:t xml:space="preserve"> of </w:t>
      </w:r>
      <w:r>
        <w:rPr>
          <w:rFonts w:eastAsia="Times New Roman" w:cstheme="minorBidi"/>
          <w:bCs/>
        </w:rPr>
        <w:t>the t</w:t>
      </w:r>
      <w:r w:rsidRPr="00B013ED">
        <w:rPr>
          <w:rFonts w:eastAsia="Times New Roman" w:cstheme="minorBidi"/>
          <w:bCs/>
        </w:rPr>
        <w:t>etracycline</w:t>
      </w:r>
      <w:r w:rsidRPr="00B013ED">
        <w:rPr>
          <w:rFonts w:eastAsia="Times New Roman" w:cstheme="minorBidi"/>
        </w:rPr>
        <w:t xml:space="preserve"> group</w:t>
      </w:r>
      <w:r>
        <w:rPr>
          <w:rFonts w:eastAsia="Times New Roman" w:cstheme="minorBidi"/>
        </w:rPr>
        <w:t>, and</w:t>
      </w:r>
      <w:r w:rsidRPr="00B013ED">
        <w:rPr>
          <w:rFonts w:eastAsia="Times New Roman" w:cstheme="minorBidi"/>
        </w:rPr>
        <w:t xml:space="preserve"> has been used in treating dental disease. Minocycline is nominated to be one of the important combinations of three antibiotics to treat necrotic immature teeth.  They have the ability to concentrate in the periodontal tissues and inhibit the growth of </w:t>
      </w:r>
      <w:r w:rsidRPr="00C00A10">
        <w:rPr>
          <w:rFonts w:eastAsia="Times New Roman" w:cstheme="minorBidi"/>
          <w:i/>
        </w:rPr>
        <w:t>A. actinomycetemcomitans</w:t>
      </w:r>
      <w:r w:rsidRPr="00B013ED">
        <w:rPr>
          <w:rFonts w:eastAsia="Times New Roman" w:cstheme="minorBidi"/>
        </w:rPr>
        <w:t xml:space="preserve"> </w:t>
      </w:r>
      <w:r w:rsidRPr="00B013ED">
        <w:rPr>
          <w:rFonts w:cstheme="minorBidi"/>
        </w:rPr>
        <w:t>(</w:t>
      </w:r>
      <w:r w:rsidRPr="00B013ED">
        <w:rPr>
          <w:rFonts w:eastAsia="Times New Roman" w:cstheme="minorBidi"/>
        </w:rPr>
        <w:t xml:space="preserve">Sebastian </w:t>
      </w:r>
      <w:r w:rsidRPr="00B013ED">
        <w:rPr>
          <w:rFonts w:cstheme="minorBidi"/>
          <w:i/>
          <w:iCs/>
        </w:rPr>
        <w:t>et al.,</w:t>
      </w:r>
      <w:r w:rsidRPr="00B013ED">
        <w:rPr>
          <w:rFonts w:cstheme="minorBidi"/>
        </w:rPr>
        <w:t xml:space="preserve"> </w:t>
      </w:r>
      <w:r w:rsidRPr="00B013ED">
        <w:rPr>
          <w:rFonts w:eastAsia="Times New Roman" w:cstheme="minorBidi"/>
        </w:rPr>
        <w:t>1982) In addition; they exhibit anti-collagenase effect</w:t>
      </w:r>
      <w:r>
        <w:rPr>
          <w:rFonts w:eastAsia="Times New Roman" w:cstheme="minorBidi"/>
        </w:rPr>
        <w:t>s</w:t>
      </w:r>
      <w:r w:rsidRPr="00B013ED">
        <w:rPr>
          <w:rFonts w:eastAsia="Times New Roman" w:cstheme="minorBidi"/>
        </w:rPr>
        <w:t xml:space="preserve"> which can inhibit tissue destruction and aid in bone regeneration. Mechanical removal of calculus and plaque from the root surfaces may not eliminate the bacteria from periodontal tissues. Systemic intake can eliminate bacteria and has been shown to arrest bone loss and suppress microbial levels in conjunction with scaling and root planning</w:t>
      </w:r>
      <w:r w:rsidRPr="00B013ED">
        <w:rPr>
          <w:rFonts w:cstheme="minorBidi"/>
        </w:rPr>
        <w:t xml:space="preserve"> (</w:t>
      </w:r>
      <w:r w:rsidRPr="00B013ED">
        <w:rPr>
          <w:rFonts w:eastAsia="Times New Roman" w:cstheme="minorBidi"/>
        </w:rPr>
        <w:t xml:space="preserve">Gordon </w:t>
      </w:r>
      <w:r w:rsidRPr="00B013ED">
        <w:rPr>
          <w:rFonts w:cstheme="minorBidi"/>
          <w:i/>
          <w:iCs/>
        </w:rPr>
        <w:t>et al.,</w:t>
      </w:r>
      <w:r w:rsidRPr="00B013ED">
        <w:rPr>
          <w:rFonts w:cstheme="minorBidi"/>
        </w:rPr>
        <w:t xml:space="preserve"> </w:t>
      </w:r>
      <w:r w:rsidRPr="00B013ED">
        <w:rPr>
          <w:rFonts w:eastAsia="Times New Roman" w:cstheme="minorBidi"/>
        </w:rPr>
        <w:t xml:space="preserve">1981); the only one disadvantage of minocycline is that it could cause tooth </w:t>
      </w:r>
      <w:r>
        <w:rPr>
          <w:rFonts w:eastAsia="Times New Roman" w:cstheme="minorBidi"/>
        </w:rPr>
        <w:t>discolouration</w:t>
      </w:r>
      <w:r w:rsidRPr="00B013ED">
        <w:rPr>
          <w:rFonts w:eastAsia="Times New Roman" w:cstheme="minorBidi"/>
        </w:rPr>
        <w:t xml:space="preserve"> (Kim </w:t>
      </w:r>
      <w:r w:rsidRPr="00B013ED">
        <w:rPr>
          <w:rFonts w:cstheme="minorBidi"/>
          <w:i/>
          <w:iCs/>
        </w:rPr>
        <w:t>et al.,</w:t>
      </w:r>
      <w:r w:rsidRPr="00B013ED">
        <w:rPr>
          <w:rFonts w:cstheme="minorBidi"/>
        </w:rPr>
        <w:t xml:space="preserve"> </w:t>
      </w:r>
      <w:r w:rsidRPr="00B013ED">
        <w:rPr>
          <w:rFonts w:eastAsia="Times New Roman" w:cstheme="minorBidi"/>
        </w:rPr>
        <w:t>2010)</w:t>
      </w:r>
      <w:r>
        <w:rPr>
          <w:rFonts w:eastAsia="Times New Roman" w:cstheme="minorBidi"/>
        </w:rPr>
        <w:t>.</w:t>
      </w:r>
    </w:p>
    <w:p w:rsidR="00805867" w:rsidRPr="00503FB8" w:rsidRDefault="00A84F2A" w:rsidP="00E64697">
      <w:pPr>
        <w:pStyle w:val="Heading4"/>
        <w:spacing w:line="480" w:lineRule="auto"/>
        <w:jc w:val="both"/>
      </w:pPr>
      <w:proofErr w:type="gramStart"/>
      <w:r w:rsidRPr="00503FB8">
        <w:t>Metronidazole.</w:t>
      </w:r>
      <w:proofErr w:type="gramEnd"/>
      <w:r w:rsidRPr="00503FB8">
        <w:t xml:space="preserve"> </w:t>
      </w:r>
    </w:p>
    <w:p w:rsidR="00FB63F8" w:rsidRDefault="00FB63F8" w:rsidP="00FB63F8">
      <w:pPr>
        <w:autoSpaceDE w:val="0"/>
        <w:autoSpaceDN w:val="0"/>
        <w:adjustRightInd w:val="0"/>
        <w:spacing w:after="0" w:line="480" w:lineRule="auto"/>
        <w:jc w:val="both"/>
        <w:rPr>
          <w:rFonts w:cstheme="minorBidi"/>
          <w:color w:val="000000"/>
          <w:szCs w:val="24"/>
        </w:rPr>
      </w:pPr>
      <w:r w:rsidRPr="00FB63F8">
        <w:rPr>
          <w:rFonts w:cstheme="minorBidi"/>
          <w:color w:val="000000"/>
          <w:szCs w:val="24"/>
        </w:rPr>
        <w:t xml:space="preserve">Metronidazole exhibits a broad spectrum of activity against protozoa and anaerobic bacteria. Roche and Yoshimori (1997) investigated the activity of metronidazole against clinical isolates from odontogenic abscesses in vitro. Their outcomes showed that metronidazole had a good antimicrobial activity </w:t>
      </w:r>
      <w:r w:rsidRPr="00FB63F8">
        <w:rPr>
          <w:rFonts w:cstheme="minorBidi"/>
          <w:color w:val="000000"/>
          <w:szCs w:val="24"/>
        </w:rPr>
        <w:lastRenderedPageBreak/>
        <w:t>against anaerobes isolated from odontogenic abscesses but had no activity against aerobes.</w:t>
      </w:r>
    </w:p>
    <w:p w:rsidR="00FB63F8" w:rsidRDefault="00FB63F8" w:rsidP="00FB63F8">
      <w:pPr>
        <w:autoSpaceDE w:val="0"/>
        <w:autoSpaceDN w:val="0"/>
        <w:adjustRightInd w:val="0"/>
        <w:spacing w:after="0" w:line="480" w:lineRule="auto"/>
        <w:jc w:val="both"/>
        <w:rPr>
          <w:rFonts w:cstheme="minorBidi"/>
          <w:color w:val="000000"/>
          <w:szCs w:val="24"/>
        </w:rPr>
      </w:pPr>
      <w:r w:rsidRPr="00FB63F8">
        <w:rPr>
          <w:rFonts w:cstheme="minorBidi"/>
          <w:color w:val="000000"/>
          <w:szCs w:val="24"/>
        </w:rPr>
        <w:t xml:space="preserve">A study evaluated the antibacterial activity of metronidazole-chlorhexidine solution on chronic apical lesions (Wang </w:t>
      </w:r>
      <w:r w:rsidRPr="00FB63F8">
        <w:rPr>
          <w:rFonts w:cstheme="minorBidi"/>
          <w:i/>
          <w:iCs/>
          <w:color w:val="000000"/>
          <w:szCs w:val="24"/>
        </w:rPr>
        <w:t xml:space="preserve">et al., </w:t>
      </w:r>
      <w:r w:rsidRPr="00FB63F8">
        <w:rPr>
          <w:rFonts w:cstheme="minorBidi"/>
          <w:color w:val="000000"/>
          <w:szCs w:val="24"/>
        </w:rPr>
        <w:t xml:space="preserve">2003). They found that there was a significant inhibition of bacterial growth and the antimicrobial effectiveness of metronidazole-chlorhexidine was 97.6%. Also it has been successfully effective against bacteria when used in combination with Ciprofloxacin (Rams </w:t>
      </w:r>
      <w:r w:rsidRPr="00FB63F8">
        <w:rPr>
          <w:rFonts w:cstheme="minorBidi"/>
          <w:i/>
          <w:iCs/>
          <w:color w:val="000000"/>
          <w:szCs w:val="24"/>
        </w:rPr>
        <w:t xml:space="preserve">et al., </w:t>
      </w:r>
      <w:r w:rsidRPr="00FB63F8">
        <w:rPr>
          <w:rFonts w:cstheme="minorBidi"/>
          <w:color w:val="000000"/>
          <w:szCs w:val="24"/>
        </w:rPr>
        <w:t>1992).</w:t>
      </w:r>
    </w:p>
    <w:p w:rsidR="00805867" w:rsidRPr="00B013ED" w:rsidRDefault="00805867" w:rsidP="00E64697">
      <w:pPr>
        <w:pStyle w:val="Heading4"/>
        <w:spacing w:line="480" w:lineRule="auto"/>
        <w:jc w:val="both"/>
      </w:pPr>
      <w:proofErr w:type="gramStart"/>
      <w:r w:rsidRPr="00B013ED">
        <w:t>Ciprofloxacin.</w:t>
      </w:r>
      <w:proofErr w:type="gramEnd"/>
      <w:r w:rsidRPr="00B013ED">
        <w:t xml:space="preserve"> </w:t>
      </w:r>
    </w:p>
    <w:p w:rsidR="00E64697" w:rsidRPr="00551CE8" w:rsidRDefault="00E64697" w:rsidP="00E64697">
      <w:pPr>
        <w:spacing w:line="480" w:lineRule="auto"/>
        <w:jc w:val="both"/>
        <w:rPr>
          <w:rFonts w:cstheme="minorBidi"/>
          <w:color w:val="000000"/>
        </w:rPr>
      </w:pPr>
      <w:r w:rsidRPr="00B013ED">
        <w:rPr>
          <w:rFonts w:cstheme="minorBidi"/>
          <w:color w:val="000000"/>
        </w:rPr>
        <w:t xml:space="preserve">Ciprofloxacin is active against gram-negative rods, including all facultative and some anaerobic putative periodontal pathogens. Since it demonstrates minimal effect on Streptococcus species, which are associated with periodontal health, its administration may facilitate the establishment of microflora associated with periodontal health. At present, ciprofloxacin is the only antibiotic in periodontal therapy to which all strains of A. actinomycetemcomitans are susceptible. It has also been used in combination with metronidazole (Rams </w:t>
      </w:r>
      <w:r w:rsidRPr="00B013ED">
        <w:rPr>
          <w:rFonts w:cstheme="minorBidi"/>
          <w:i/>
          <w:iCs/>
        </w:rPr>
        <w:t>et al.,</w:t>
      </w:r>
      <w:r w:rsidRPr="00B013ED">
        <w:rPr>
          <w:rFonts w:cstheme="minorBidi"/>
        </w:rPr>
        <w:t xml:space="preserve"> </w:t>
      </w:r>
      <w:r w:rsidRPr="00B013ED">
        <w:rPr>
          <w:rFonts w:cstheme="minorBidi"/>
          <w:color w:val="000000"/>
        </w:rPr>
        <w:t>1992).</w:t>
      </w:r>
    </w:p>
    <w:p w:rsidR="00805867" w:rsidRPr="00B013ED" w:rsidRDefault="00805867" w:rsidP="00805867">
      <w:pPr>
        <w:rPr>
          <w:rFonts w:eastAsia="Times New Roman" w:cstheme="minorBidi"/>
          <w:b/>
          <w:color w:val="FF0000"/>
          <w:lang w:eastAsia="en-GB"/>
        </w:rPr>
      </w:pPr>
      <w:r w:rsidRPr="00B013ED">
        <w:rPr>
          <w:rFonts w:eastAsia="Times New Roman" w:cstheme="minorBidi"/>
          <w:b/>
          <w:color w:val="FF0000"/>
          <w:lang w:eastAsia="en-GB"/>
        </w:rPr>
        <w:br w:type="page"/>
      </w:r>
    </w:p>
    <w:p w:rsidR="00805867" w:rsidRPr="005A7C41" w:rsidRDefault="00805867" w:rsidP="002B54A2">
      <w:pPr>
        <w:pStyle w:val="Heading2"/>
        <w:rPr>
          <w:rFonts w:eastAsia="Times New Roman" w:cstheme="minorBidi"/>
          <w:color w:val="FF0000"/>
          <w:szCs w:val="24"/>
        </w:rPr>
      </w:pPr>
      <w:bookmarkStart w:id="476" w:name="_Toc370819263"/>
      <w:r w:rsidRPr="00B013ED">
        <w:lastRenderedPageBreak/>
        <w:t>Methodology used for studies on bacterial susceptibility to antibacterial agents</w:t>
      </w:r>
      <w:bookmarkEnd w:id="476"/>
    </w:p>
    <w:p w:rsidR="00805867" w:rsidRPr="00B013ED" w:rsidRDefault="00805867" w:rsidP="00F32858">
      <w:pPr>
        <w:pStyle w:val="Heading3"/>
        <w:spacing w:line="480" w:lineRule="auto"/>
        <w:rPr>
          <w:rFonts w:eastAsia="Times New Roman"/>
          <w:lang w:eastAsia="en-GB"/>
        </w:rPr>
      </w:pPr>
      <w:bookmarkStart w:id="477" w:name="_Toc370819264"/>
      <w:r w:rsidRPr="00B013ED">
        <w:rPr>
          <w:rFonts w:eastAsia="Times New Roman"/>
          <w:lang w:eastAsia="en-GB"/>
        </w:rPr>
        <w:t>Agar diffusion</w:t>
      </w:r>
      <w:bookmarkEnd w:id="477"/>
    </w:p>
    <w:p w:rsidR="00260E8B" w:rsidRPr="00B013ED" w:rsidRDefault="00260E8B" w:rsidP="00260E8B">
      <w:pPr>
        <w:spacing w:after="120" w:line="480" w:lineRule="auto"/>
        <w:jc w:val="both"/>
        <w:rPr>
          <w:rFonts w:eastAsia="Times New Roman" w:cstheme="minorBidi"/>
          <w:b/>
          <w:lang w:eastAsia="en-GB"/>
        </w:rPr>
      </w:pPr>
      <w:r w:rsidRPr="00B013ED">
        <w:rPr>
          <w:rFonts w:eastAsia="Times New Roman" w:cstheme="minorBidi"/>
          <w:bCs/>
          <w:lang w:eastAsia="en-GB"/>
        </w:rPr>
        <w:t>The primary aim of antimicrobial susceptibility tests is to guide the clinician making appropriate decision in choice of therapy.  This method was used widely in the in vitro study to evaluate the antimicrobial efficacy of treatment agent</w:t>
      </w:r>
      <w:r>
        <w:rPr>
          <w:rFonts w:eastAsia="Times New Roman" w:cstheme="minorBidi"/>
          <w:bCs/>
          <w:lang w:eastAsia="en-GB"/>
        </w:rPr>
        <w:t>s for the</w:t>
      </w:r>
      <w:r w:rsidRPr="00B013ED">
        <w:rPr>
          <w:rFonts w:eastAsia="Times New Roman" w:cstheme="minorBidi"/>
          <w:bCs/>
          <w:lang w:eastAsia="en-GB"/>
        </w:rPr>
        <w:t xml:space="preserve"> most common bacteria which had been isolated from root or periapical lesion</w:t>
      </w:r>
      <w:r>
        <w:rPr>
          <w:rFonts w:eastAsia="Times New Roman" w:cstheme="minorBidi"/>
          <w:bCs/>
          <w:lang w:eastAsia="en-GB"/>
        </w:rPr>
        <w:t>s</w:t>
      </w:r>
      <w:r w:rsidRPr="00B013ED">
        <w:rPr>
          <w:rFonts w:eastAsia="Times New Roman" w:cstheme="minorBidi"/>
          <w:bCs/>
          <w:lang w:eastAsia="en-GB"/>
        </w:rPr>
        <w:t>.</w:t>
      </w:r>
    </w:p>
    <w:p w:rsidR="00260E8B" w:rsidRPr="00B013ED" w:rsidRDefault="00260E8B" w:rsidP="00260E8B">
      <w:pPr>
        <w:spacing w:after="120" w:line="480" w:lineRule="auto"/>
        <w:jc w:val="both"/>
        <w:rPr>
          <w:rFonts w:eastAsia="Times New Roman" w:cstheme="minorBidi"/>
          <w:color w:val="000000"/>
          <w:lang w:eastAsia="en-GB"/>
        </w:rPr>
      </w:pPr>
      <w:r w:rsidRPr="00B013ED">
        <w:rPr>
          <w:rFonts w:eastAsia="Times New Roman" w:cstheme="minorBidi"/>
          <w:color w:val="000000"/>
          <w:lang w:eastAsia="en-GB"/>
        </w:rPr>
        <w:t>The agar diffusion idea refers to the movement of molecules through the agar matrix under controlled conditions; the degree of the molecule's movement can be related to the concentration of the molecule. This phenomenon forms the basis of the agar diffusion assay that is used to determine the susceptibility or resistance of a bacterial strain to an antibacterial agent.</w:t>
      </w:r>
    </w:p>
    <w:p w:rsidR="00260E8B" w:rsidRPr="00B013ED" w:rsidRDefault="00260E8B" w:rsidP="00260E8B">
      <w:pPr>
        <w:shd w:val="clear" w:color="auto" w:fill="FFFFFF"/>
        <w:spacing w:before="100" w:beforeAutospacing="1" w:after="100" w:afterAutospacing="1" w:line="480" w:lineRule="auto"/>
        <w:jc w:val="both"/>
        <w:rPr>
          <w:rFonts w:eastAsia="Times New Roman" w:cstheme="minorBidi"/>
          <w:lang w:eastAsia="en-GB"/>
        </w:rPr>
      </w:pPr>
      <w:r w:rsidRPr="00B013ED">
        <w:rPr>
          <w:rFonts w:eastAsia="Times New Roman" w:cstheme="minorBidi"/>
          <w:lang w:eastAsia="en-GB"/>
        </w:rPr>
        <w:t xml:space="preserve">The agar diffusion assay proceeds firstly by spreading a bacterial suspension onto the surface of the agar. Then, antibiotics or other test materials are applied to a number of wells in the plate. Following a time period to allow for growth of the bacteria, the agar is then examined. If bacterial growth is right up to the antibiotic or other test material this indicates bacterial resistance to the antibiotic or the test material. If there is a clearing around the sample then the bacteria have been adversely affected. The size of the inhibition zone can be measured and related to standards, in order to determine whether the bacterial strain is sensitive to the </w:t>
      </w:r>
      <w:r>
        <w:rPr>
          <w:rFonts w:eastAsia="Times New Roman" w:cstheme="minorBidi"/>
          <w:lang w:eastAsia="en-GB"/>
        </w:rPr>
        <w:t>antibiotic or the test material.</w:t>
      </w:r>
    </w:p>
    <w:p w:rsidR="00260E8B" w:rsidRPr="00B013ED" w:rsidRDefault="00260E8B" w:rsidP="00260E8B">
      <w:pPr>
        <w:shd w:val="clear" w:color="auto" w:fill="FFFFFF"/>
        <w:spacing w:before="100" w:beforeAutospacing="1" w:after="100" w:afterAutospacing="1" w:line="480" w:lineRule="auto"/>
        <w:jc w:val="both"/>
        <w:rPr>
          <w:rFonts w:eastAsia="Times New Roman" w:cstheme="minorBidi"/>
          <w:lang w:eastAsia="en-GB"/>
        </w:rPr>
      </w:pPr>
      <w:r w:rsidRPr="00B013ED">
        <w:rPr>
          <w:rFonts w:eastAsia="Times New Roman" w:cstheme="minorBidi"/>
          <w:lang w:eastAsia="en-GB"/>
        </w:rPr>
        <w:lastRenderedPageBreak/>
        <w:t xml:space="preserve">In relation to antibiotics this technique can also be </w:t>
      </w:r>
      <w:r>
        <w:rPr>
          <w:rFonts w:eastAsia="Times New Roman" w:cstheme="minorBidi"/>
          <w:lang w:eastAsia="en-GB"/>
        </w:rPr>
        <w:t>performed</w:t>
      </w:r>
      <w:r w:rsidRPr="00B013ED">
        <w:rPr>
          <w:rFonts w:eastAsia="Times New Roman" w:cstheme="minorBidi"/>
          <w:lang w:eastAsia="en-GB"/>
        </w:rPr>
        <w:t xml:space="preserve"> by placing disks of an absorbent material that have been soaked with the antibiotic of interest directly onto the agar surface. The antibiotic will subsequently diffuse out of the disk into the agar. This version of agar diffusion is known as the Kirby-Bauer disk-diffusion assay.</w:t>
      </w:r>
    </w:p>
    <w:p w:rsidR="00805867" w:rsidRPr="00B013ED" w:rsidRDefault="00805867" w:rsidP="005E63AB">
      <w:pPr>
        <w:pStyle w:val="Heading3"/>
        <w:rPr>
          <w:lang w:eastAsia="en-GB"/>
        </w:rPr>
      </w:pPr>
      <w:bookmarkStart w:id="478" w:name="_Toc370819265"/>
      <w:r w:rsidRPr="00B013ED">
        <w:rPr>
          <w:lang w:eastAsia="en-GB"/>
        </w:rPr>
        <w:t>Turbidity</w:t>
      </w:r>
      <w:r w:rsidRPr="00B013ED">
        <w:t xml:space="preserve"> </w:t>
      </w:r>
      <w:r w:rsidRPr="00B013ED">
        <w:rPr>
          <w:lang w:val="en-US"/>
        </w:rPr>
        <w:t xml:space="preserve">by </w:t>
      </w:r>
      <w:r w:rsidRPr="00B013ED">
        <w:rPr>
          <w:lang w:eastAsia="en-GB"/>
        </w:rPr>
        <w:t>Spectrophotometer (Optical Density)</w:t>
      </w:r>
      <w:bookmarkEnd w:id="478"/>
      <w:r w:rsidRPr="00B013ED">
        <w:rPr>
          <w:lang w:eastAsia="en-GB"/>
        </w:rPr>
        <w:t xml:space="preserve"> </w:t>
      </w:r>
    </w:p>
    <w:p w:rsidR="00260E8B" w:rsidRPr="00B013ED" w:rsidRDefault="00260E8B" w:rsidP="00260E8B">
      <w:pPr>
        <w:spacing w:before="150" w:after="120" w:line="480" w:lineRule="auto"/>
        <w:ind w:left="75"/>
        <w:jc w:val="both"/>
        <w:rPr>
          <w:rFonts w:eastAsia="Times New Roman" w:cstheme="minorBidi"/>
          <w:lang w:eastAsia="en-GB"/>
        </w:rPr>
      </w:pPr>
      <w:r w:rsidRPr="00B013ED">
        <w:rPr>
          <w:rFonts w:eastAsia="Times New Roman" w:cstheme="minorBidi"/>
          <w:lang w:eastAsia="en-GB"/>
        </w:rPr>
        <w:t xml:space="preserve">The turbidity of a liquid medium increases as bacteria multiply and can be measured </w:t>
      </w:r>
      <w:r>
        <w:rPr>
          <w:rFonts w:eastAsia="Times New Roman" w:cstheme="minorBidi"/>
          <w:lang w:eastAsia="en-GB"/>
        </w:rPr>
        <w:t>using</w:t>
      </w:r>
      <w:r w:rsidRPr="00B013ED">
        <w:rPr>
          <w:rFonts w:eastAsia="Times New Roman" w:cstheme="minorBidi"/>
          <w:lang w:eastAsia="en-GB"/>
        </w:rPr>
        <w:t xml:space="preserve"> a spectrophotometer. The amount of light reaching the detector is inversely proportional to the number of bacteria under standardi</w:t>
      </w:r>
      <w:r>
        <w:rPr>
          <w:rFonts w:eastAsia="Times New Roman" w:cstheme="minorBidi"/>
          <w:lang w:eastAsia="en-GB"/>
        </w:rPr>
        <w:t>s</w:t>
      </w:r>
      <w:r w:rsidRPr="00B013ED">
        <w:rPr>
          <w:rFonts w:eastAsia="Times New Roman" w:cstheme="minorBidi"/>
          <w:lang w:eastAsia="en-GB"/>
        </w:rPr>
        <w:t>ed conditions. The absorbency of the sample (optical density) is dependent on the number of cells, their size and shape, and is used to plot bacterial growth. If absorbency readings are matched with a direct count of the same culture, its protein content or dry mass, the correlation can be used in a future estimate of bacterial numbers or biomass based directly on turbidity measurements.</w:t>
      </w:r>
    </w:p>
    <w:p w:rsidR="00260E8B" w:rsidRPr="00381B28" w:rsidRDefault="00260E8B" w:rsidP="00381B28">
      <w:pPr>
        <w:spacing w:line="480" w:lineRule="auto"/>
        <w:jc w:val="both"/>
        <w:rPr>
          <w:rFonts w:eastAsia="Times New Roman"/>
          <w:lang w:eastAsia="en-GB"/>
        </w:rPr>
      </w:pPr>
      <w:r w:rsidRPr="00B013ED">
        <w:rPr>
          <w:rFonts w:eastAsia="Times New Roman"/>
          <w:lang w:eastAsia="en-GB"/>
        </w:rPr>
        <w:t xml:space="preserve">The difference between the reference and a sample is that the concentration of the assayable substance in the reference solution is zero. The reference tube transmits as much light as is possible with the assay solution </w:t>
      </w:r>
      <w:r>
        <w:rPr>
          <w:rFonts w:eastAsia="Times New Roman"/>
          <w:lang w:eastAsia="en-GB"/>
        </w:rPr>
        <w:t>used</w:t>
      </w:r>
      <w:r w:rsidRPr="00B013ED">
        <w:rPr>
          <w:rFonts w:eastAsia="Times New Roman"/>
          <w:lang w:eastAsia="en-GB"/>
        </w:rPr>
        <w:t>. A sample tube with any concentration of the assayable substance absorbs more light than the reference, transmitting less light to the photometer. In order to obtain the best readability and accuracy, the scale is set to read zero absorbance (100% transmission) with the reference in place. If water blank is used as a reference, the assay solution alone absorbs so much light relative to distilled water that the usable scale is compressed, and the accuracy is very poor.</w:t>
      </w:r>
      <w:r w:rsidRPr="00B013ED">
        <w:rPr>
          <w:rFonts w:eastAsia="Times New Roman"/>
          <w:lang w:eastAsia="en-GB"/>
        </w:rPr>
        <w:br w:type="page"/>
      </w:r>
    </w:p>
    <w:p w:rsidR="00805867" w:rsidRPr="00B013ED" w:rsidRDefault="00805867" w:rsidP="002B54A2">
      <w:pPr>
        <w:pStyle w:val="Heading2"/>
      </w:pPr>
      <w:bookmarkStart w:id="479" w:name="_Toc370819266"/>
      <w:r w:rsidRPr="00B013ED">
        <w:lastRenderedPageBreak/>
        <w:t>Summary of literature review</w:t>
      </w:r>
      <w:bookmarkEnd w:id="479"/>
    </w:p>
    <w:p w:rsidR="009D58E5" w:rsidRPr="00B013ED" w:rsidRDefault="00260E8B" w:rsidP="009D58E5">
      <w:pPr>
        <w:spacing w:after="120" w:line="480" w:lineRule="auto"/>
        <w:jc w:val="both"/>
        <w:rPr>
          <w:rFonts w:eastAsia="Times New Roman" w:cstheme="minorBidi"/>
          <w:bCs/>
          <w:lang w:eastAsia="en-GB"/>
        </w:rPr>
      </w:pPr>
      <w:r w:rsidRPr="00B013ED">
        <w:rPr>
          <w:rFonts w:eastAsia="Times New Roman" w:cstheme="minorBidi"/>
          <w:bCs/>
          <w:lang w:eastAsia="en-GB"/>
        </w:rPr>
        <w:t>There is little evidence on the antimicrobial efficacy of many intra</w:t>
      </w:r>
      <w:r>
        <w:rPr>
          <w:rFonts w:eastAsia="Times New Roman" w:cstheme="minorBidi"/>
          <w:bCs/>
          <w:lang w:eastAsia="en-GB"/>
        </w:rPr>
        <w:t>-</w:t>
      </w:r>
      <w:r w:rsidRPr="00B013ED">
        <w:rPr>
          <w:rFonts w:eastAsia="Times New Roman" w:cstheme="minorBidi"/>
          <w:bCs/>
          <w:lang w:eastAsia="en-GB"/>
        </w:rPr>
        <w:t xml:space="preserve">canal medicaments.  In particular the antibiotics that are used for Regenerative Endodontic Technique (RET) have not been assessed exhaustively for their efficacy against the </w:t>
      </w:r>
      <w:r>
        <w:rPr>
          <w:rFonts w:eastAsia="Times New Roman" w:cstheme="minorBidi"/>
          <w:bCs/>
          <w:lang w:eastAsia="en-GB"/>
        </w:rPr>
        <w:t>predominant</w:t>
      </w:r>
      <w:r w:rsidRPr="00B013ED">
        <w:rPr>
          <w:rFonts w:eastAsia="Times New Roman" w:cstheme="minorBidi"/>
          <w:bCs/>
          <w:lang w:eastAsia="en-GB"/>
        </w:rPr>
        <w:t xml:space="preserve"> pathogens that inhabit root canals</w:t>
      </w:r>
      <w:r w:rsidR="009D58E5" w:rsidRPr="00B013ED">
        <w:rPr>
          <w:rFonts w:eastAsia="Times New Roman" w:cstheme="minorBidi"/>
          <w:bCs/>
          <w:lang w:eastAsia="en-GB"/>
        </w:rPr>
        <w:t xml:space="preserve">.  </w:t>
      </w:r>
    </w:p>
    <w:p w:rsidR="00805867" w:rsidRPr="00B013ED" w:rsidRDefault="00805867" w:rsidP="002B54A2">
      <w:pPr>
        <w:pStyle w:val="Heading2"/>
      </w:pPr>
      <w:bookmarkStart w:id="480" w:name="_Toc370819267"/>
      <w:r w:rsidRPr="00B013ED">
        <w:t>Aims:</w:t>
      </w:r>
      <w:bookmarkEnd w:id="480"/>
    </w:p>
    <w:p w:rsidR="00805867" w:rsidRPr="00B013ED" w:rsidRDefault="00805867" w:rsidP="005E63AB">
      <w:pPr>
        <w:pStyle w:val="Heading3"/>
        <w:spacing w:line="480" w:lineRule="auto"/>
        <w:rPr>
          <w:lang w:eastAsia="en-GB"/>
        </w:rPr>
      </w:pPr>
      <w:bookmarkStart w:id="481" w:name="_Toc370819268"/>
      <w:r w:rsidRPr="00B013ED">
        <w:rPr>
          <w:lang w:eastAsia="en-GB"/>
        </w:rPr>
        <w:t>Primary Aim:</w:t>
      </w:r>
      <w:bookmarkEnd w:id="481"/>
    </w:p>
    <w:p w:rsidR="00260E8B" w:rsidRPr="00B013ED" w:rsidRDefault="00260E8B" w:rsidP="00DC0870">
      <w:pPr>
        <w:pStyle w:val="ListParagraph"/>
        <w:numPr>
          <w:ilvl w:val="0"/>
          <w:numId w:val="70"/>
        </w:numPr>
        <w:spacing w:after="120" w:line="480" w:lineRule="auto"/>
        <w:jc w:val="both"/>
        <w:rPr>
          <w:rFonts w:eastAsia="Times New Roman" w:cstheme="minorBidi"/>
          <w:bCs/>
          <w:lang w:eastAsia="en-GB"/>
        </w:rPr>
      </w:pPr>
      <w:r w:rsidRPr="00B013ED">
        <w:rPr>
          <w:rFonts w:eastAsia="Times New Roman" w:cstheme="minorBidi"/>
          <w:bCs/>
          <w:lang w:eastAsia="en-GB"/>
        </w:rPr>
        <w:t>To compare the antimicrobial effect of Non</w:t>
      </w:r>
      <w:r>
        <w:rPr>
          <w:rFonts w:eastAsia="Times New Roman" w:cstheme="minorBidi"/>
          <w:bCs/>
          <w:lang w:eastAsia="en-GB"/>
        </w:rPr>
        <w:t>-</w:t>
      </w:r>
      <w:r w:rsidRPr="00B013ED">
        <w:rPr>
          <w:rFonts w:eastAsia="Times New Roman" w:cstheme="minorBidi"/>
          <w:bCs/>
          <w:lang w:eastAsia="en-GB"/>
        </w:rPr>
        <w:t>Setting Calcium Hydroxide</w:t>
      </w:r>
      <w:r>
        <w:rPr>
          <w:rFonts w:eastAsia="Times New Roman" w:cstheme="minorBidi"/>
          <w:bCs/>
          <w:lang w:eastAsia="en-GB"/>
        </w:rPr>
        <w:t>,</w:t>
      </w:r>
      <w:r w:rsidRPr="00B013ED">
        <w:rPr>
          <w:rFonts w:eastAsia="Times New Roman" w:cstheme="minorBidi"/>
          <w:bCs/>
          <w:lang w:eastAsia="en-GB"/>
        </w:rPr>
        <w:t xml:space="preserve"> Mineral Trioxide Aggregate (MTA) and Tribiodent, a mixture of Minocycline, </w:t>
      </w:r>
      <w:r w:rsidR="00DC0870" w:rsidRPr="00DC0870">
        <w:rPr>
          <w:rFonts w:eastAsia="Times New Roman" w:cstheme="minorBidi"/>
          <w:bCs/>
          <w:lang w:eastAsia="en-GB"/>
        </w:rPr>
        <w:t>Ciprofloxacin</w:t>
      </w:r>
      <w:r w:rsidRPr="00B013ED">
        <w:rPr>
          <w:rFonts w:eastAsia="Times New Roman" w:cstheme="minorBidi"/>
          <w:bCs/>
          <w:lang w:eastAsia="en-GB"/>
        </w:rPr>
        <w:t xml:space="preserve">, and Metronidazole.  </w:t>
      </w:r>
    </w:p>
    <w:p w:rsidR="00805867" w:rsidRPr="00B013ED" w:rsidRDefault="00805867" w:rsidP="005E63AB">
      <w:pPr>
        <w:pStyle w:val="Heading3"/>
        <w:spacing w:line="480" w:lineRule="auto"/>
        <w:rPr>
          <w:lang w:eastAsia="en-GB"/>
        </w:rPr>
      </w:pPr>
      <w:bookmarkStart w:id="482" w:name="_Toc370819269"/>
      <w:r w:rsidRPr="00B013ED">
        <w:rPr>
          <w:lang w:eastAsia="en-GB"/>
        </w:rPr>
        <w:t>Secondary Aim</w:t>
      </w:r>
      <w:bookmarkEnd w:id="482"/>
    </w:p>
    <w:p w:rsidR="00260E8B" w:rsidRPr="00551CE8" w:rsidRDefault="00260E8B" w:rsidP="00260E8B">
      <w:pPr>
        <w:pStyle w:val="ListParagraph"/>
        <w:spacing w:after="120" w:line="480" w:lineRule="auto"/>
        <w:jc w:val="both"/>
        <w:rPr>
          <w:rFonts w:eastAsia="Times New Roman" w:cstheme="minorBidi"/>
          <w:bCs/>
          <w:lang w:eastAsia="en-GB"/>
        </w:rPr>
      </w:pPr>
      <w:proofErr w:type="gramStart"/>
      <w:r w:rsidRPr="00B013ED">
        <w:rPr>
          <w:rFonts w:eastAsia="Times New Roman" w:cstheme="minorBidi"/>
          <w:bCs/>
          <w:lang w:eastAsia="en-GB"/>
        </w:rPr>
        <w:t xml:space="preserve">To evaluate the efficacy of individual antibiotics and various </w:t>
      </w:r>
      <w:r>
        <w:rPr>
          <w:rFonts w:eastAsia="Times New Roman" w:cstheme="minorBidi"/>
          <w:bCs/>
          <w:lang w:eastAsia="en-GB"/>
        </w:rPr>
        <w:t xml:space="preserve">antibiotic </w:t>
      </w:r>
      <w:r w:rsidRPr="00B013ED">
        <w:rPr>
          <w:rFonts w:eastAsia="Times New Roman" w:cstheme="minorBidi"/>
          <w:bCs/>
          <w:lang w:eastAsia="en-GB"/>
        </w:rPr>
        <w:t>combinations in particular with exclusion of minocycline</w:t>
      </w:r>
      <w:r>
        <w:rPr>
          <w:rFonts w:eastAsia="Times New Roman" w:cstheme="minorBidi"/>
          <w:bCs/>
          <w:lang w:eastAsia="en-GB"/>
        </w:rPr>
        <w:t>.</w:t>
      </w:r>
      <w:proofErr w:type="gramEnd"/>
      <w:r w:rsidRPr="00B013ED">
        <w:rPr>
          <w:rFonts w:eastAsia="Times New Roman" w:cstheme="minorBidi"/>
          <w:bCs/>
          <w:lang w:eastAsia="en-GB"/>
        </w:rPr>
        <w:t xml:space="preserve"> </w:t>
      </w:r>
    </w:p>
    <w:p w:rsidR="00805867" w:rsidRPr="00B013ED" w:rsidRDefault="00805867" w:rsidP="00805867">
      <w:pPr>
        <w:rPr>
          <w:rFonts w:eastAsia="Times New Roman" w:cstheme="minorBidi"/>
          <w:b/>
          <w:color w:val="FF0000"/>
          <w:lang w:eastAsia="en-GB"/>
        </w:rPr>
      </w:pPr>
      <w:r w:rsidRPr="00B013ED">
        <w:rPr>
          <w:rFonts w:eastAsia="Times New Roman" w:cstheme="minorBidi"/>
          <w:b/>
          <w:color w:val="FF0000"/>
          <w:lang w:eastAsia="en-GB"/>
        </w:rPr>
        <w:br w:type="page"/>
      </w:r>
    </w:p>
    <w:p w:rsidR="00165E91" w:rsidRPr="00B013ED" w:rsidRDefault="00165E91" w:rsidP="002B54A2">
      <w:pPr>
        <w:pStyle w:val="Heading2"/>
      </w:pPr>
      <w:bookmarkStart w:id="483" w:name="_Toc370819270"/>
      <w:r w:rsidRPr="00B013ED">
        <w:lastRenderedPageBreak/>
        <w:t>Materials and methods</w:t>
      </w:r>
      <w:bookmarkEnd w:id="483"/>
    </w:p>
    <w:p w:rsidR="00165E91" w:rsidRPr="00B013ED" w:rsidRDefault="00165E91" w:rsidP="002B54A2">
      <w:pPr>
        <w:pStyle w:val="Heading2"/>
      </w:pPr>
      <w:bookmarkStart w:id="484" w:name="_Toc370819271"/>
      <w:bookmarkStart w:id="485" w:name="_Toc243894179"/>
      <w:r w:rsidRPr="00B013ED">
        <w:t>Test materials</w:t>
      </w:r>
      <w:bookmarkEnd w:id="484"/>
      <w:r w:rsidRPr="00B013ED">
        <w:t xml:space="preserve"> </w:t>
      </w:r>
      <w:bookmarkEnd w:id="485"/>
    </w:p>
    <w:p w:rsidR="00165E91" w:rsidRPr="00B013ED" w:rsidRDefault="00165E91" w:rsidP="009226B5">
      <w:pPr>
        <w:spacing w:after="120" w:line="480" w:lineRule="auto"/>
        <w:jc w:val="both"/>
        <w:rPr>
          <w:rFonts w:eastAsia="Times New Roman" w:cstheme="minorBidi"/>
          <w:lang w:eastAsia="en-GB"/>
        </w:rPr>
      </w:pPr>
      <w:r w:rsidRPr="00B013ED">
        <w:rPr>
          <w:rFonts w:eastAsia="Times New Roman" w:cstheme="minorBidi"/>
          <w:lang w:eastAsia="en-GB"/>
        </w:rPr>
        <w:t>Three groups of test materials were used in this study:</w:t>
      </w:r>
    </w:p>
    <w:p w:rsidR="00165E91" w:rsidRPr="00B013ED" w:rsidRDefault="00165E91" w:rsidP="009226B5">
      <w:pPr>
        <w:spacing w:after="120" w:line="480" w:lineRule="auto"/>
        <w:jc w:val="both"/>
        <w:rPr>
          <w:rFonts w:eastAsia="Times New Roman" w:cstheme="minorBidi"/>
          <w:lang w:eastAsia="en-GB"/>
        </w:rPr>
      </w:pPr>
      <w:r w:rsidRPr="00B013ED">
        <w:rPr>
          <w:rFonts w:eastAsia="Times New Roman" w:cstheme="minorBidi"/>
          <w:lang w:eastAsia="en-GB"/>
        </w:rPr>
        <w:t xml:space="preserve">1. </w:t>
      </w:r>
      <w:r w:rsidRPr="00B013ED">
        <w:rPr>
          <w:rFonts w:eastAsia="Times New Roman" w:cstheme="minorBidi"/>
          <w:lang w:eastAsia="en-GB"/>
        </w:rPr>
        <w:tab/>
        <w:t xml:space="preserve">Non-setting calcium hydroxide (UltraCal XS, Ultradent, USA). This material is an aqueous paste at pH 12.5, containing 35 % concentration of calcium hydroxide. </w:t>
      </w:r>
    </w:p>
    <w:p w:rsidR="00165E91" w:rsidRPr="00B013ED" w:rsidRDefault="00165E91" w:rsidP="009226B5">
      <w:pPr>
        <w:spacing w:after="120" w:line="480" w:lineRule="auto"/>
        <w:jc w:val="both"/>
        <w:rPr>
          <w:rFonts w:eastAsia="Times New Roman" w:cstheme="minorBidi"/>
          <w:color w:val="000000"/>
          <w:lang w:eastAsia="en-GB"/>
        </w:rPr>
      </w:pPr>
      <w:r w:rsidRPr="00B013ED">
        <w:rPr>
          <w:rFonts w:eastAsia="Times New Roman" w:cstheme="minorBidi"/>
          <w:lang w:eastAsia="en-GB"/>
        </w:rPr>
        <w:t>2.</w:t>
      </w:r>
      <w:r w:rsidRPr="00B013ED">
        <w:rPr>
          <w:rFonts w:eastAsia="Times New Roman" w:cstheme="minorBidi"/>
          <w:lang w:eastAsia="en-GB"/>
        </w:rPr>
        <w:tab/>
        <w:t>White mineral trioxide aggregate (</w:t>
      </w:r>
      <w:r w:rsidRPr="00B013ED">
        <w:rPr>
          <w:rFonts w:eastAsia="Times New Roman" w:cstheme="minorBidi"/>
          <w:color w:val="000000"/>
          <w:lang w:eastAsia="en-GB"/>
        </w:rPr>
        <w:t>ProRoot</w:t>
      </w:r>
      <w:r w:rsidRPr="00B013ED">
        <w:rPr>
          <w:rFonts w:eastAsia="Times New Roman" w:cstheme="minorBidi"/>
          <w:vertAlign w:val="superscript"/>
          <w:lang w:eastAsia="en-GB"/>
        </w:rPr>
        <w:t>®</w:t>
      </w:r>
      <w:r w:rsidRPr="00B013ED">
        <w:rPr>
          <w:rFonts w:eastAsia="Times New Roman" w:cstheme="minorBidi"/>
          <w:color w:val="000000"/>
          <w:lang w:eastAsia="en-GB"/>
        </w:rPr>
        <w:t xml:space="preserve"> MTA White, Tulsa Dental Specialties, USA), composed of tricalcium silicate, dicalcium silicate, tricalcium aluminate, tetracalcium aluminoferrite, calcium sulphate and bismuth oxide. This material is alkaline (pH 12.5) with a setting time of 1-2 hours. </w:t>
      </w:r>
      <w:proofErr w:type="gramStart"/>
      <w:r w:rsidRPr="00B013ED">
        <w:rPr>
          <w:rFonts w:eastAsia="Times New Roman" w:cstheme="minorBidi"/>
          <w:color w:val="000000"/>
          <w:lang w:eastAsia="en-GB"/>
        </w:rPr>
        <w:t>(Manufacturer’s instruction sheet).</w:t>
      </w:r>
      <w:proofErr w:type="gramEnd"/>
      <w:r w:rsidRPr="00B013ED">
        <w:rPr>
          <w:rFonts w:eastAsia="Times New Roman" w:cstheme="minorBidi"/>
          <w:color w:val="000000"/>
          <w:lang w:eastAsia="en-GB"/>
        </w:rPr>
        <w:t xml:space="preserve"> </w:t>
      </w:r>
    </w:p>
    <w:p w:rsidR="00165E91" w:rsidRPr="00B013ED" w:rsidRDefault="00165E91" w:rsidP="009226B5">
      <w:pPr>
        <w:spacing w:after="120" w:line="480" w:lineRule="auto"/>
        <w:jc w:val="both"/>
        <w:rPr>
          <w:rFonts w:eastAsia="Times New Roman" w:cstheme="minorBidi"/>
          <w:color w:val="000000"/>
          <w:lang w:eastAsia="en-GB"/>
        </w:rPr>
      </w:pPr>
      <w:r w:rsidRPr="00B013ED">
        <w:rPr>
          <w:rFonts w:eastAsia="Times New Roman" w:cstheme="minorBidi"/>
          <w:color w:val="000000"/>
          <w:lang w:eastAsia="en-GB"/>
        </w:rPr>
        <w:t>3.  The final group comprised of three antibiotics used individually and in various combinations with one another:</w:t>
      </w:r>
    </w:p>
    <w:p w:rsidR="007D7183" w:rsidRPr="007D7183" w:rsidRDefault="007D7183" w:rsidP="007D7183">
      <w:pPr>
        <w:numPr>
          <w:ilvl w:val="0"/>
          <w:numId w:val="71"/>
        </w:numPr>
        <w:spacing w:after="120" w:line="480" w:lineRule="auto"/>
        <w:contextualSpacing/>
        <w:jc w:val="both"/>
        <w:rPr>
          <w:rFonts w:eastAsia="Calibri" w:cstheme="minorBidi"/>
          <w:color w:val="000000"/>
          <w:szCs w:val="22"/>
        </w:rPr>
      </w:pPr>
      <w:r w:rsidRPr="007D7183">
        <w:rPr>
          <w:rFonts w:eastAsia="Calibri" w:cstheme="minorBidi"/>
          <w:color w:val="000000"/>
          <w:szCs w:val="22"/>
        </w:rPr>
        <w:t>Metronidazole 50%. 50mg/ml.</w:t>
      </w:r>
    </w:p>
    <w:p w:rsidR="007D7183" w:rsidRPr="007D7183" w:rsidRDefault="007D7183" w:rsidP="007D7183">
      <w:pPr>
        <w:numPr>
          <w:ilvl w:val="0"/>
          <w:numId w:val="71"/>
        </w:numPr>
        <w:spacing w:after="120" w:line="480" w:lineRule="auto"/>
        <w:contextualSpacing/>
        <w:jc w:val="both"/>
        <w:rPr>
          <w:rFonts w:eastAsia="Calibri" w:cstheme="minorBidi"/>
          <w:color w:val="000000"/>
          <w:szCs w:val="22"/>
        </w:rPr>
      </w:pPr>
      <w:r w:rsidRPr="007D7183">
        <w:rPr>
          <w:rFonts w:eastAsia="Calibri" w:cstheme="minorBidi"/>
          <w:color w:val="000000"/>
          <w:szCs w:val="22"/>
        </w:rPr>
        <w:t>Ciprofloxacin 50%. 50mg/ml.</w:t>
      </w:r>
    </w:p>
    <w:p w:rsidR="007D7183" w:rsidRPr="007D7183" w:rsidRDefault="007D7183" w:rsidP="007D7183">
      <w:pPr>
        <w:numPr>
          <w:ilvl w:val="0"/>
          <w:numId w:val="71"/>
        </w:numPr>
        <w:spacing w:after="120" w:line="480" w:lineRule="auto"/>
        <w:contextualSpacing/>
        <w:jc w:val="both"/>
        <w:rPr>
          <w:rFonts w:eastAsia="Calibri" w:cstheme="minorBidi"/>
          <w:color w:val="000000"/>
          <w:szCs w:val="22"/>
        </w:rPr>
      </w:pPr>
      <w:r w:rsidRPr="007D7183">
        <w:rPr>
          <w:rFonts w:eastAsia="Calibri" w:cstheme="minorBidi"/>
          <w:color w:val="000000"/>
          <w:szCs w:val="22"/>
        </w:rPr>
        <w:t>Minocycline 50%.  50mg/ml.</w:t>
      </w:r>
    </w:p>
    <w:p w:rsidR="007D7183" w:rsidRPr="007D7183" w:rsidRDefault="007D7183" w:rsidP="007D7183">
      <w:pPr>
        <w:numPr>
          <w:ilvl w:val="0"/>
          <w:numId w:val="71"/>
        </w:numPr>
        <w:spacing w:after="120" w:line="480" w:lineRule="auto"/>
        <w:contextualSpacing/>
        <w:jc w:val="both"/>
        <w:rPr>
          <w:rFonts w:eastAsia="Calibri" w:cstheme="minorBidi"/>
          <w:color w:val="000000"/>
          <w:szCs w:val="22"/>
        </w:rPr>
      </w:pPr>
      <w:r w:rsidRPr="007D7183">
        <w:rPr>
          <w:rFonts w:eastAsia="Calibri" w:cstheme="minorBidi"/>
          <w:color w:val="000000"/>
          <w:szCs w:val="22"/>
        </w:rPr>
        <w:t>Metronidazole + Ciprofloxacin 50%. 50mg/ml.</w:t>
      </w:r>
    </w:p>
    <w:p w:rsidR="007D7183" w:rsidRPr="007D7183" w:rsidRDefault="007D7183" w:rsidP="007D7183">
      <w:pPr>
        <w:numPr>
          <w:ilvl w:val="0"/>
          <w:numId w:val="71"/>
        </w:numPr>
        <w:spacing w:after="120" w:line="480" w:lineRule="auto"/>
        <w:contextualSpacing/>
        <w:jc w:val="both"/>
        <w:rPr>
          <w:rFonts w:eastAsia="Calibri" w:cstheme="minorBidi"/>
          <w:color w:val="000000"/>
          <w:szCs w:val="22"/>
        </w:rPr>
      </w:pPr>
      <w:r w:rsidRPr="007D7183">
        <w:rPr>
          <w:rFonts w:eastAsia="Calibri" w:cstheme="minorBidi"/>
          <w:color w:val="000000"/>
          <w:szCs w:val="22"/>
        </w:rPr>
        <w:t>Metronidazole + Ciprofloxacin + Minocycline 50%. 50mg/ml.</w:t>
      </w:r>
    </w:p>
    <w:p w:rsidR="007D7183" w:rsidRPr="007D7183" w:rsidRDefault="007D7183" w:rsidP="007D7183">
      <w:pPr>
        <w:spacing w:after="120" w:line="480" w:lineRule="auto"/>
        <w:ind w:left="360"/>
        <w:jc w:val="both"/>
        <w:rPr>
          <w:rFonts w:eastAsia="Times New Roman" w:cstheme="minorBidi"/>
          <w:color w:val="000000"/>
          <w:lang w:eastAsia="en-GB"/>
        </w:rPr>
      </w:pPr>
      <w:r w:rsidRPr="007D7183">
        <w:rPr>
          <w:rFonts w:eastAsia="Times New Roman" w:cstheme="minorBidi"/>
          <w:color w:val="000000"/>
          <w:lang w:eastAsia="en-GB"/>
        </w:rPr>
        <w:t>The drugs were packaged and supplied by the pharmacy unit, at Royal Victoria Infirmary. Newcastle, UK.</w:t>
      </w:r>
    </w:p>
    <w:p w:rsidR="00551CE8" w:rsidRDefault="00551CE8">
      <w:pPr>
        <w:rPr>
          <w:rFonts w:eastAsia="Times New Roman" w:cstheme="minorBidi"/>
          <w:color w:val="000000"/>
          <w:lang w:eastAsia="en-GB"/>
        </w:rPr>
      </w:pPr>
      <w:r>
        <w:rPr>
          <w:rFonts w:eastAsia="Times New Roman" w:cstheme="minorBidi"/>
          <w:color w:val="000000"/>
          <w:lang w:eastAsia="en-GB"/>
        </w:rPr>
        <w:br w:type="page"/>
      </w:r>
    </w:p>
    <w:p w:rsidR="00165E91" w:rsidRPr="00551CE8" w:rsidRDefault="00165E91" w:rsidP="00551CE8">
      <w:pPr>
        <w:spacing w:after="120" w:line="480" w:lineRule="auto"/>
        <w:ind w:left="360"/>
        <w:jc w:val="both"/>
        <w:rPr>
          <w:rFonts w:eastAsia="Times New Roman" w:cstheme="minorBidi"/>
          <w:color w:val="000000"/>
          <w:lang w:eastAsia="en-GB"/>
        </w:rPr>
      </w:pPr>
    </w:p>
    <w:p w:rsidR="00165E91" w:rsidRPr="00B013ED" w:rsidRDefault="00165E91" w:rsidP="002B54A2">
      <w:pPr>
        <w:pStyle w:val="Heading2"/>
      </w:pPr>
      <w:bookmarkStart w:id="486" w:name="_Toc370819272"/>
      <w:r w:rsidRPr="00B013ED">
        <w:t>Bacteria and living media</w:t>
      </w:r>
      <w:bookmarkEnd w:id="486"/>
    </w:p>
    <w:p w:rsidR="00165E91" w:rsidRPr="00B013ED" w:rsidRDefault="00165E91" w:rsidP="00582CC5">
      <w:pPr>
        <w:pStyle w:val="Heading3"/>
        <w:spacing w:line="480" w:lineRule="auto"/>
        <w:jc w:val="both"/>
        <w:rPr>
          <w:rFonts w:eastAsia="Times New Roman"/>
          <w:sz w:val="19"/>
          <w:szCs w:val="19"/>
          <w:lang w:eastAsia="en-GB"/>
        </w:rPr>
      </w:pPr>
      <w:bookmarkStart w:id="487" w:name="_Toc370819273"/>
      <w:proofErr w:type="gramStart"/>
      <w:r w:rsidRPr="00B013ED">
        <w:rPr>
          <w:rFonts w:eastAsia="Times New Roman"/>
          <w:lang w:eastAsia="en-GB"/>
        </w:rPr>
        <w:t>Anaerobic bacteria.</w:t>
      </w:r>
      <w:bookmarkEnd w:id="487"/>
      <w:proofErr w:type="gramEnd"/>
    </w:p>
    <w:p w:rsidR="00165E91" w:rsidRPr="00B013ED" w:rsidRDefault="00165E91" w:rsidP="00582CC5">
      <w:pPr>
        <w:spacing w:before="100" w:beforeAutospacing="1" w:after="100" w:afterAutospacing="1" w:line="480" w:lineRule="auto"/>
        <w:jc w:val="both"/>
        <w:rPr>
          <w:rFonts w:eastAsia="Times New Roman" w:cstheme="minorBidi"/>
          <w:sz w:val="19"/>
          <w:szCs w:val="19"/>
          <w:lang w:eastAsia="en-GB"/>
        </w:rPr>
      </w:pPr>
      <w:r w:rsidRPr="00B013ED">
        <w:rPr>
          <w:rFonts w:eastAsia="Times New Roman" w:cstheme="minorBidi"/>
          <w:b/>
          <w:bCs/>
          <w:lang w:eastAsia="en-GB"/>
        </w:rPr>
        <w:t>The species that were used in the study were</w:t>
      </w:r>
      <w:r w:rsidRPr="00B013ED">
        <w:rPr>
          <w:rFonts w:eastAsia="Times New Roman" w:cstheme="minorBidi"/>
          <w:sz w:val="19"/>
          <w:szCs w:val="19"/>
          <w:lang w:eastAsia="en-GB"/>
        </w:rPr>
        <w:t>:</w:t>
      </w:r>
    </w:p>
    <w:p w:rsidR="009A2F78" w:rsidRPr="007D7183" w:rsidRDefault="009A2F78" w:rsidP="001D3F19">
      <w:pPr>
        <w:rPr>
          <w:rFonts w:cstheme="minorBidi"/>
          <w:b/>
          <w:bCs/>
          <w:sz w:val="20"/>
          <w:szCs w:val="20"/>
        </w:rPr>
      </w:pPr>
      <w:bookmarkStart w:id="488" w:name="_Toc370511737"/>
      <w:proofErr w:type="gramStart"/>
      <w:r w:rsidRPr="007D7183">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1</w:t>
      </w:r>
      <w:r w:rsidR="00E7089D">
        <w:rPr>
          <w:rFonts w:cstheme="minorBidi"/>
          <w:b/>
          <w:bCs/>
          <w:sz w:val="20"/>
          <w:szCs w:val="20"/>
        </w:rPr>
        <w:fldChar w:fldCharType="end"/>
      </w:r>
      <w:r w:rsidRPr="007D7183">
        <w:rPr>
          <w:rFonts w:cstheme="minorBidi"/>
          <w:b/>
          <w:bCs/>
          <w:sz w:val="20"/>
          <w:szCs w:val="20"/>
        </w:rPr>
        <w:t xml:space="preserve"> Showings the anaerobic bacteria used in this study and the code</w:t>
      </w:r>
      <w:r w:rsidR="00EC0AA1">
        <w:rPr>
          <w:rFonts w:cstheme="minorBidi"/>
          <w:b/>
          <w:bCs/>
          <w:sz w:val="20"/>
          <w:szCs w:val="20"/>
        </w:rPr>
        <w:t>.</w:t>
      </w:r>
      <w:bookmarkEnd w:id="488"/>
    </w:p>
    <w:p w:rsidR="009A2F78" w:rsidRDefault="009A2F78" w:rsidP="001D3F19"/>
    <w:tbl>
      <w:tblPr>
        <w:tblStyle w:val="TableGrid7"/>
        <w:tblW w:w="0" w:type="auto"/>
        <w:tblLook w:val="04A0" w:firstRow="1" w:lastRow="0" w:firstColumn="1" w:lastColumn="0" w:noHBand="0" w:noVBand="1"/>
      </w:tblPr>
      <w:tblGrid>
        <w:gridCol w:w="543"/>
        <w:gridCol w:w="3737"/>
        <w:gridCol w:w="4276"/>
      </w:tblGrid>
      <w:tr w:rsidR="00165E91" w:rsidRPr="00B013ED" w:rsidTr="006747E2">
        <w:trPr>
          <w:cnfStyle w:val="100000000000" w:firstRow="1" w:lastRow="0" w:firstColumn="0" w:lastColumn="0" w:oddVBand="0" w:evenVBand="0" w:oddHBand="0" w:evenHBand="0" w:firstRowFirstColumn="0" w:firstRowLastColumn="0" w:lastRowFirstColumn="0" w:lastRowLastColumn="0"/>
          <w:trHeight w:val="794"/>
        </w:trPr>
        <w:tc>
          <w:tcPr>
            <w:cnfStyle w:val="001000000100" w:firstRow="0" w:lastRow="0" w:firstColumn="1" w:lastColumn="0" w:oddVBand="0" w:evenVBand="0" w:oddHBand="0" w:evenHBand="0" w:firstRowFirstColumn="1" w:firstRowLastColumn="0" w:lastRowFirstColumn="0" w:lastRowLastColumn="0"/>
            <w:tcW w:w="4360" w:type="dxa"/>
            <w:gridSpan w:val="2"/>
            <w:shd w:val="clear" w:color="auto" w:fill="17365D" w:themeFill="text2" w:themeFillShade="BF"/>
            <w:vAlign w:val="center"/>
          </w:tcPr>
          <w:p w:rsidR="00165E91" w:rsidRPr="00255236" w:rsidRDefault="00165E91" w:rsidP="00255236">
            <w:pPr>
              <w:spacing w:before="100" w:beforeAutospacing="1" w:after="100" w:afterAutospacing="1" w:line="480" w:lineRule="auto"/>
              <w:jc w:val="center"/>
              <w:rPr>
                <w:rFonts w:cstheme="minorBidi"/>
                <w:color w:val="FFFFFF" w:themeColor="background1"/>
              </w:rPr>
            </w:pPr>
            <w:r w:rsidRPr="00255236">
              <w:rPr>
                <w:rFonts w:cstheme="minorBidi"/>
                <w:color w:val="FFFFFF" w:themeColor="background1"/>
              </w:rPr>
              <w:t>Bacterium</w:t>
            </w:r>
          </w:p>
        </w:tc>
        <w:tc>
          <w:tcPr>
            <w:tcW w:w="4360" w:type="dxa"/>
            <w:shd w:val="clear" w:color="auto" w:fill="17365D" w:themeFill="text2" w:themeFillShade="BF"/>
            <w:vAlign w:val="center"/>
          </w:tcPr>
          <w:p w:rsidR="00165E91" w:rsidRPr="00255236" w:rsidRDefault="00165E91" w:rsidP="00255236">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rFonts w:cstheme="minorBidi"/>
                <w:color w:val="FFFFFF" w:themeColor="background1"/>
              </w:rPr>
            </w:pPr>
            <w:r w:rsidRPr="00255236">
              <w:rPr>
                <w:rFonts w:cstheme="minorBidi"/>
                <w:color w:val="FFFFFF" w:themeColor="background1"/>
              </w:rPr>
              <w:t>Type</w:t>
            </w:r>
          </w:p>
        </w:tc>
      </w:tr>
      <w:tr w:rsidR="00165E91" w:rsidRPr="00B013ED" w:rsidTr="006747E2">
        <w:trPr>
          <w:trHeight w:val="794"/>
        </w:trPr>
        <w:tc>
          <w:tcPr>
            <w:cnfStyle w:val="001000000000" w:firstRow="0" w:lastRow="0" w:firstColumn="1" w:lastColumn="0" w:oddVBand="0" w:evenVBand="0" w:oddHBand="0" w:evenHBand="0" w:firstRowFirstColumn="0" w:firstRowLastColumn="0" w:lastRowFirstColumn="0" w:lastRowLastColumn="0"/>
            <w:tcW w:w="555" w:type="dxa"/>
            <w:tcBorders>
              <w:right w:val="single" w:sz="4" w:space="0" w:color="auto"/>
            </w:tcBorders>
            <w:shd w:val="clear" w:color="auto" w:fill="17365D" w:themeFill="text2" w:themeFillShade="BF"/>
            <w:vAlign w:val="center"/>
          </w:tcPr>
          <w:p w:rsidR="00165E91" w:rsidRPr="00255236" w:rsidRDefault="00165E91" w:rsidP="00255236">
            <w:pPr>
              <w:spacing w:line="480" w:lineRule="auto"/>
              <w:jc w:val="center"/>
              <w:rPr>
                <w:rFonts w:cstheme="minorBidi"/>
                <w:color w:val="FFFFFF" w:themeColor="background1"/>
              </w:rPr>
            </w:pPr>
            <w:r w:rsidRPr="00255236">
              <w:rPr>
                <w:rFonts w:cstheme="minorBidi"/>
                <w:color w:val="FFFFFF" w:themeColor="background1"/>
              </w:rPr>
              <w:t>A</w:t>
            </w:r>
          </w:p>
        </w:tc>
        <w:tc>
          <w:tcPr>
            <w:tcW w:w="3805" w:type="dxa"/>
            <w:tcBorders>
              <w:left w:val="single" w:sz="4" w:space="0" w:color="auto"/>
            </w:tcBorders>
            <w:vAlign w:val="center"/>
          </w:tcPr>
          <w:p w:rsidR="00165E91" w:rsidRPr="00B013ED" w:rsidRDefault="00165E91" w:rsidP="00255236">
            <w:pPr>
              <w:keepLines/>
              <w:tabs>
                <w:tab w:val="right" w:pos="8148"/>
              </w:tabs>
              <w:spacing w:line="480" w:lineRule="auto"/>
              <w:ind w:right="805"/>
              <w:contextualSpacing/>
              <w:jc w:val="center"/>
              <w:cnfStyle w:val="000000000000" w:firstRow="0" w:lastRow="0" w:firstColumn="0" w:lastColumn="0" w:oddVBand="0" w:evenVBand="0" w:oddHBand="0" w:evenHBand="0" w:firstRowFirstColumn="0" w:firstRowLastColumn="0" w:lastRowFirstColumn="0" w:lastRowLastColumn="0"/>
              <w:rPr>
                <w:rFonts w:cstheme="minorBidi"/>
                <w:b/>
                <w:color w:val="000000"/>
              </w:rPr>
            </w:pPr>
            <w:r w:rsidRPr="00B013ED">
              <w:rPr>
                <w:rFonts w:cstheme="minorBidi"/>
                <w:b/>
                <w:i/>
                <w:color w:val="000000"/>
              </w:rPr>
              <w:t>Porphyromonas  gingivalis</w:t>
            </w:r>
          </w:p>
        </w:tc>
        <w:tc>
          <w:tcPr>
            <w:tcW w:w="4360" w:type="dxa"/>
            <w:vAlign w:val="center"/>
          </w:tcPr>
          <w:p w:rsidR="00165E91" w:rsidRPr="00B013ED" w:rsidRDefault="00165E91" w:rsidP="00255236">
            <w:pPr>
              <w:keepLines/>
              <w:tabs>
                <w:tab w:val="right" w:pos="8148"/>
              </w:tabs>
              <w:spacing w:line="480" w:lineRule="auto"/>
              <w:ind w:left="2160" w:right="805" w:hanging="737"/>
              <w:contextualSpacing/>
              <w:jc w:val="center"/>
              <w:cnfStyle w:val="000000000000" w:firstRow="0" w:lastRow="0" w:firstColumn="0" w:lastColumn="0" w:oddVBand="0" w:evenVBand="0" w:oddHBand="0" w:evenHBand="0" w:firstRowFirstColumn="0" w:firstRowLastColumn="0" w:lastRowFirstColumn="0" w:lastRowLastColumn="0"/>
              <w:rPr>
                <w:rFonts w:cstheme="minorBidi"/>
                <w:b/>
                <w:bCs w:val="0"/>
                <w:color w:val="000000"/>
                <w:szCs w:val="24"/>
              </w:rPr>
            </w:pPr>
            <w:r w:rsidRPr="00B013ED">
              <w:rPr>
                <w:rFonts w:cstheme="minorBidi"/>
                <w:b/>
                <w:color w:val="000000"/>
              </w:rPr>
              <w:t>(W50)</w:t>
            </w:r>
          </w:p>
        </w:tc>
      </w:tr>
      <w:tr w:rsidR="00165E91" w:rsidRPr="00B013ED" w:rsidTr="006747E2">
        <w:trPr>
          <w:trHeight w:val="794"/>
        </w:trPr>
        <w:tc>
          <w:tcPr>
            <w:cnfStyle w:val="001000000000" w:firstRow="0" w:lastRow="0" w:firstColumn="1" w:lastColumn="0" w:oddVBand="0" w:evenVBand="0" w:oddHBand="0" w:evenHBand="0" w:firstRowFirstColumn="0" w:firstRowLastColumn="0" w:lastRowFirstColumn="0" w:lastRowLastColumn="0"/>
            <w:tcW w:w="555" w:type="dxa"/>
            <w:tcBorders>
              <w:right w:val="single" w:sz="4" w:space="0" w:color="auto"/>
            </w:tcBorders>
            <w:shd w:val="clear" w:color="auto" w:fill="17365D" w:themeFill="text2" w:themeFillShade="BF"/>
            <w:vAlign w:val="center"/>
          </w:tcPr>
          <w:p w:rsidR="00165E91" w:rsidRPr="00255236" w:rsidRDefault="00165E91" w:rsidP="00255236">
            <w:pPr>
              <w:spacing w:line="480" w:lineRule="auto"/>
              <w:jc w:val="center"/>
              <w:rPr>
                <w:rFonts w:cstheme="minorBidi"/>
                <w:color w:val="FFFFFF" w:themeColor="background1"/>
              </w:rPr>
            </w:pPr>
            <w:r w:rsidRPr="00255236">
              <w:rPr>
                <w:rFonts w:cstheme="minorBidi"/>
                <w:color w:val="FFFFFF" w:themeColor="background1"/>
              </w:rPr>
              <w:t>B</w:t>
            </w:r>
          </w:p>
        </w:tc>
        <w:tc>
          <w:tcPr>
            <w:tcW w:w="3805" w:type="dxa"/>
            <w:tcBorders>
              <w:left w:val="single" w:sz="4" w:space="0" w:color="auto"/>
            </w:tcBorders>
            <w:vAlign w:val="center"/>
          </w:tcPr>
          <w:p w:rsidR="00165E91" w:rsidRPr="00B013ED" w:rsidRDefault="00165E91" w:rsidP="00255236">
            <w:pPr>
              <w:keepLines/>
              <w:tabs>
                <w:tab w:val="right" w:pos="8148"/>
              </w:tabs>
              <w:spacing w:line="480" w:lineRule="auto"/>
              <w:ind w:right="805"/>
              <w:contextualSpacing/>
              <w:jc w:val="center"/>
              <w:cnfStyle w:val="000000000000" w:firstRow="0" w:lastRow="0" w:firstColumn="0" w:lastColumn="0" w:oddVBand="0" w:evenVBand="0" w:oddHBand="0" w:evenHBand="0" w:firstRowFirstColumn="0" w:firstRowLastColumn="0" w:lastRowFirstColumn="0" w:lastRowLastColumn="0"/>
              <w:rPr>
                <w:rFonts w:cstheme="minorBidi"/>
                <w:b/>
                <w:color w:val="000000"/>
              </w:rPr>
            </w:pPr>
            <w:r w:rsidRPr="00B013ED">
              <w:rPr>
                <w:rFonts w:cstheme="minorBidi"/>
                <w:b/>
                <w:i/>
                <w:color w:val="000000" w:themeColor="text1"/>
              </w:rPr>
              <w:t>Actinomyces odontolyticus</w:t>
            </w:r>
          </w:p>
        </w:tc>
        <w:tc>
          <w:tcPr>
            <w:tcW w:w="4360" w:type="dxa"/>
            <w:vAlign w:val="center"/>
          </w:tcPr>
          <w:p w:rsidR="00165E91" w:rsidRPr="00B013ED" w:rsidRDefault="00165E91" w:rsidP="00255236">
            <w:pPr>
              <w:keepLines/>
              <w:tabs>
                <w:tab w:val="right" w:pos="8148"/>
              </w:tabs>
              <w:spacing w:line="480" w:lineRule="auto"/>
              <w:ind w:left="2160" w:right="805" w:hanging="737"/>
              <w:contextualSpacing/>
              <w:jc w:val="center"/>
              <w:cnfStyle w:val="000000000000" w:firstRow="0" w:lastRow="0" w:firstColumn="0" w:lastColumn="0" w:oddVBand="0" w:evenVBand="0" w:oddHBand="0" w:evenHBand="0" w:firstRowFirstColumn="0" w:firstRowLastColumn="0" w:lastRowFirstColumn="0" w:lastRowLastColumn="0"/>
              <w:rPr>
                <w:rFonts w:cstheme="minorBidi"/>
                <w:b/>
                <w:bCs w:val="0"/>
                <w:color w:val="000000"/>
                <w:szCs w:val="24"/>
              </w:rPr>
            </w:pPr>
            <w:r w:rsidRPr="00B013ED">
              <w:rPr>
                <w:rFonts w:cstheme="minorBidi"/>
                <w:b/>
                <w:color w:val="000000" w:themeColor="text1"/>
              </w:rPr>
              <w:t>(</w:t>
            </w:r>
            <w:r w:rsidRPr="00B013ED">
              <w:rPr>
                <w:rFonts w:cstheme="minorBidi"/>
                <w:b/>
                <w:color w:val="000000"/>
              </w:rPr>
              <w:t>NCTC 9335)</w:t>
            </w:r>
          </w:p>
        </w:tc>
      </w:tr>
      <w:tr w:rsidR="00165E91" w:rsidRPr="00B013ED" w:rsidTr="006747E2">
        <w:trPr>
          <w:trHeight w:val="794"/>
        </w:trPr>
        <w:tc>
          <w:tcPr>
            <w:cnfStyle w:val="001000000000" w:firstRow="0" w:lastRow="0" w:firstColumn="1" w:lastColumn="0" w:oddVBand="0" w:evenVBand="0" w:oddHBand="0" w:evenHBand="0" w:firstRowFirstColumn="0" w:firstRowLastColumn="0" w:lastRowFirstColumn="0" w:lastRowLastColumn="0"/>
            <w:tcW w:w="555" w:type="dxa"/>
            <w:tcBorders>
              <w:right w:val="single" w:sz="4" w:space="0" w:color="auto"/>
            </w:tcBorders>
            <w:shd w:val="clear" w:color="auto" w:fill="17365D" w:themeFill="text2" w:themeFillShade="BF"/>
            <w:vAlign w:val="center"/>
          </w:tcPr>
          <w:p w:rsidR="00165E91" w:rsidRPr="00255236" w:rsidRDefault="00165E91" w:rsidP="00255236">
            <w:pPr>
              <w:spacing w:line="480" w:lineRule="auto"/>
              <w:jc w:val="center"/>
              <w:rPr>
                <w:rFonts w:cstheme="minorBidi"/>
                <w:color w:val="FFFFFF" w:themeColor="background1"/>
              </w:rPr>
            </w:pPr>
            <w:r w:rsidRPr="00255236">
              <w:rPr>
                <w:rFonts w:cstheme="minorBidi"/>
                <w:color w:val="FFFFFF" w:themeColor="background1"/>
              </w:rPr>
              <w:t>C</w:t>
            </w:r>
          </w:p>
        </w:tc>
        <w:tc>
          <w:tcPr>
            <w:tcW w:w="3805" w:type="dxa"/>
            <w:tcBorders>
              <w:left w:val="single" w:sz="4" w:space="0" w:color="auto"/>
            </w:tcBorders>
            <w:vAlign w:val="center"/>
          </w:tcPr>
          <w:p w:rsidR="00165E91" w:rsidRPr="00B013ED" w:rsidRDefault="00165E91" w:rsidP="00255236">
            <w:pPr>
              <w:keepLines/>
              <w:tabs>
                <w:tab w:val="right" w:pos="8148"/>
              </w:tabs>
              <w:spacing w:line="480" w:lineRule="auto"/>
              <w:ind w:right="805"/>
              <w:contextualSpacing/>
              <w:jc w:val="center"/>
              <w:cnfStyle w:val="000000000000" w:firstRow="0" w:lastRow="0" w:firstColumn="0" w:lastColumn="0" w:oddVBand="0" w:evenVBand="0" w:oddHBand="0" w:evenHBand="0" w:firstRowFirstColumn="0" w:firstRowLastColumn="0" w:lastRowFirstColumn="0" w:lastRowLastColumn="0"/>
              <w:rPr>
                <w:rFonts w:cstheme="minorBidi"/>
                <w:b/>
                <w:color w:val="000000"/>
              </w:rPr>
            </w:pPr>
            <w:r w:rsidRPr="00B013ED">
              <w:rPr>
                <w:rFonts w:cstheme="minorBidi"/>
                <w:b/>
                <w:i/>
                <w:color w:val="000000"/>
              </w:rPr>
              <w:t>Fusobacterium nucleatum</w:t>
            </w:r>
          </w:p>
        </w:tc>
        <w:tc>
          <w:tcPr>
            <w:tcW w:w="4360" w:type="dxa"/>
            <w:vAlign w:val="center"/>
          </w:tcPr>
          <w:p w:rsidR="00165E91" w:rsidRPr="00B013ED" w:rsidRDefault="00165E91" w:rsidP="00255236">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Bidi"/>
                <w:b/>
                <w:color w:val="000000"/>
              </w:rPr>
            </w:pPr>
            <w:r w:rsidRPr="00B013ED">
              <w:rPr>
                <w:rFonts w:cstheme="minorBidi"/>
                <w:b/>
                <w:color w:val="000000"/>
              </w:rPr>
              <w:t>(ACTC 10953)</w:t>
            </w:r>
          </w:p>
        </w:tc>
      </w:tr>
    </w:tbl>
    <w:p w:rsidR="00165E91" w:rsidRPr="00B013ED" w:rsidRDefault="00165E91" w:rsidP="00165E91">
      <w:pPr>
        <w:spacing w:after="120" w:line="480" w:lineRule="auto"/>
        <w:jc w:val="both"/>
        <w:rPr>
          <w:rFonts w:eastAsia="Times New Roman" w:cstheme="minorBidi"/>
          <w:lang w:eastAsia="en-GB"/>
        </w:rPr>
      </w:pPr>
    </w:p>
    <w:p w:rsidR="00165E91" w:rsidRPr="00B013ED" w:rsidRDefault="00165E91" w:rsidP="00582CC5">
      <w:pPr>
        <w:spacing w:after="120" w:line="480" w:lineRule="auto"/>
        <w:jc w:val="both"/>
        <w:rPr>
          <w:rFonts w:eastAsia="Times New Roman" w:cstheme="minorBidi"/>
          <w:lang w:eastAsia="en-GB"/>
        </w:rPr>
      </w:pPr>
      <w:r w:rsidRPr="00B013ED">
        <w:rPr>
          <w:rFonts w:eastAsia="Times New Roman" w:cstheme="minorBidi"/>
          <w:lang w:eastAsia="en-GB"/>
        </w:rPr>
        <w:t>All anaerobic bacteria were incubated at 37ºC under anaerobic conditions (80% N</w:t>
      </w:r>
      <w:r w:rsidRPr="00B013ED">
        <w:rPr>
          <w:rFonts w:eastAsia="Times New Roman" w:cstheme="minorBidi"/>
          <w:vertAlign w:val="subscript"/>
          <w:lang w:eastAsia="en-GB"/>
        </w:rPr>
        <w:t>2</w:t>
      </w:r>
      <w:r w:rsidRPr="00B013ED">
        <w:rPr>
          <w:rFonts w:eastAsia="Times New Roman" w:cstheme="minorBidi"/>
          <w:lang w:eastAsia="en-GB"/>
        </w:rPr>
        <w:t>, 10% H</w:t>
      </w:r>
      <w:r w:rsidRPr="00B013ED">
        <w:rPr>
          <w:rFonts w:eastAsia="Times New Roman" w:cstheme="minorBidi"/>
          <w:vertAlign w:val="subscript"/>
          <w:lang w:eastAsia="en-GB"/>
        </w:rPr>
        <w:t>2</w:t>
      </w:r>
      <w:r w:rsidRPr="00B013ED">
        <w:rPr>
          <w:rFonts w:eastAsia="Times New Roman" w:cstheme="minorBidi"/>
          <w:lang w:eastAsia="en-GB"/>
        </w:rPr>
        <w:t xml:space="preserve"> and 10% CO</w:t>
      </w:r>
      <w:r w:rsidRPr="00B013ED">
        <w:rPr>
          <w:rFonts w:eastAsia="Times New Roman" w:cstheme="minorBidi"/>
          <w:vertAlign w:val="subscript"/>
          <w:lang w:eastAsia="en-GB"/>
        </w:rPr>
        <w:t>2</w:t>
      </w:r>
      <w:r w:rsidRPr="00B013ED">
        <w:rPr>
          <w:rFonts w:eastAsia="Times New Roman" w:cstheme="minorBidi"/>
          <w:lang w:eastAsia="en-GB"/>
        </w:rPr>
        <w:t xml:space="preserve">) in an anaerobic workstation (Mark III, Don Whitley Scientific, </w:t>
      </w:r>
      <w:proofErr w:type="gramStart"/>
      <w:r w:rsidRPr="00B013ED">
        <w:rPr>
          <w:rFonts w:eastAsia="Times New Roman" w:cstheme="minorBidi"/>
          <w:lang w:eastAsia="en-GB"/>
        </w:rPr>
        <w:t>Shipley</w:t>
      </w:r>
      <w:proofErr w:type="gramEnd"/>
      <w:r w:rsidRPr="00B013ED">
        <w:rPr>
          <w:rFonts w:eastAsia="Times New Roman" w:cstheme="minorBidi"/>
          <w:lang w:eastAsia="en-GB"/>
        </w:rPr>
        <w:t>, UK).</w:t>
      </w:r>
    </w:p>
    <w:p w:rsidR="00503FB8" w:rsidRDefault="00503FB8">
      <w:pPr>
        <w:rPr>
          <w:rFonts w:eastAsia="Times New Roman"/>
          <w:b/>
          <w:bCs/>
          <w:sz w:val="28"/>
          <w:lang w:eastAsia="en-GB"/>
        </w:rPr>
      </w:pPr>
      <w:r>
        <w:rPr>
          <w:rFonts w:eastAsia="Times New Roman"/>
          <w:lang w:eastAsia="en-GB"/>
        </w:rPr>
        <w:br w:type="page"/>
      </w:r>
    </w:p>
    <w:p w:rsidR="00165E91" w:rsidRPr="00B013ED" w:rsidRDefault="00165E91" w:rsidP="00582CC5">
      <w:pPr>
        <w:pStyle w:val="Heading3"/>
        <w:spacing w:line="480" w:lineRule="auto"/>
        <w:rPr>
          <w:rFonts w:eastAsia="Times New Roman"/>
          <w:lang w:eastAsia="en-GB"/>
        </w:rPr>
      </w:pPr>
      <w:bookmarkStart w:id="489" w:name="_Toc370819274"/>
      <w:proofErr w:type="gramStart"/>
      <w:r w:rsidRPr="00B013ED">
        <w:rPr>
          <w:rFonts w:eastAsia="Times New Roman"/>
          <w:lang w:eastAsia="en-GB"/>
        </w:rPr>
        <w:lastRenderedPageBreak/>
        <w:t>Aerobic bacteria.</w:t>
      </w:r>
      <w:bookmarkEnd w:id="489"/>
      <w:proofErr w:type="gramEnd"/>
      <w:r w:rsidRPr="00B013ED">
        <w:rPr>
          <w:rFonts w:eastAsia="Times New Roman"/>
          <w:lang w:eastAsia="en-GB"/>
        </w:rPr>
        <w:t xml:space="preserve"> </w:t>
      </w:r>
    </w:p>
    <w:p w:rsidR="00255236" w:rsidRPr="006747E2" w:rsidRDefault="00255236" w:rsidP="003C5217">
      <w:pPr>
        <w:pStyle w:val="table"/>
        <w:rPr>
          <w:b/>
          <w:bCs w:val="0"/>
          <w:sz w:val="20"/>
          <w:szCs w:val="20"/>
        </w:rPr>
      </w:pPr>
      <w:bookmarkStart w:id="490" w:name="_Toc370511738"/>
      <w:proofErr w:type="gramStart"/>
      <w:r w:rsidRPr="006747E2">
        <w:rPr>
          <w:b/>
          <w:bCs w:val="0"/>
          <w:sz w:val="20"/>
          <w:szCs w:val="20"/>
        </w:rPr>
        <w:t xml:space="preserve">Table </w:t>
      </w:r>
      <w:r w:rsidR="00E7089D">
        <w:rPr>
          <w:b/>
          <w:bCs w:val="0"/>
          <w:sz w:val="20"/>
          <w:szCs w:val="20"/>
        </w:rPr>
        <w:fldChar w:fldCharType="begin"/>
      </w:r>
      <w:r w:rsidR="00E7089D">
        <w:rPr>
          <w:b/>
          <w:bCs w:val="0"/>
          <w:sz w:val="20"/>
          <w:szCs w:val="20"/>
        </w:rPr>
        <w:instrText xml:space="preserve"> STYLEREF 1 \s </w:instrText>
      </w:r>
      <w:r w:rsidR="00E7089D">
        <w:rPr>
          <w:b/>
          <w:bCs w:val="0"/>
          <w:sz w:val="20"/>
          <w:szCs w:val="20"/>
        </w:rPr>
        <w:fldChar w:fldCharType="separate"/>
      </w:r>
      <w:r w:rsidR="00374B77">
        <w:rPr>
          <w:b/>
          <w:bCs w:val="0"/>
          <w:noProof/>
          <w:sz w:val="20"/>
          <w:szCs w:val="20"/>
          <w:cs/>
        </w:rPr>
        <w:t>‎</w:t>
      </w:r>
      <w:r w:rsidR="00374B77">
        <w:rPr>
          <w:b/>
          <w:bCs w:val="0"/>
          <w:noProof/>
          <w:sz w:val="20"/>
          <w:szCs w:val="20"/>
        </w:rPr>
        <w:t>3</w:t>
      </w:r>
      <w:r w:rsidR="00E7089D">
        <w:rPr>
          <w:b/>
          <w:bCs w:val="0"/>
          <w:sz w:val="20"/>
          <w:szCs w:val="20"/>
        </w:rPr>
        <w:fldChar w:fldCharType="end"/>
      </w:r>
      <w:r w:rsidR="00E7089D">
        <w:rPr>
          <w:b/>
          <w:bCs w:val="0"/>
          <w:sz w:val="20"/>
          <w:szCs w:val="20"/>
        </w:rPr>
        <w:t>.</w:t>
      </w:r>
      <w:proofErr w:type="gramEnd"/>
      <w:r w:rsidR="00E7089D">
        <w:rPr>
          <w:b/>
          <w:bCs w:val="0"/>
          <w:sz w:val="20"/>
          <w:szCs w:val="20"/>
        </w:rPr>
        <w:fldChar w:fldCharType="begin"/>
      </w:r>
      <w:r w:rsidR="00E7089D">
        <w:rPr>
          <w:b/>
          <w:bCs w:val="0"/>
          <w:sz w:val="20"/>
          <w:szCs w:val="20"/>
        </w:rPr>
        <w:instrText xml:space="preserve"> SEQ Table \* ARABIC \s 1 </w:instrText>
      </w:r>
      <w:r w:rsidR="00E7089D">
        <w:rPr>
          <w:b/>
          <w:bCs w:val="0"/>
          <w:sz w:val="20"/>
          <w:szCs w:val="20"/>
        </w:rPr>
        <w:fldChar w:fldCharType="separate"/>
      </w:r>
      <w:r w:rsidR="00374B77">
        <w:rPr>
          <w:b/>
          <w:bCs w:val="0"/>
          <w:noProof/>
          <w:sz w:val="20"/>
          <w:szCs w:val="20"/>
        </w:rPr>
        <w:t>2</w:t>
      </w:r>
      <w:r w:rsidR="00E7089D">
        <w:rPr>
          <w:b/>
          <w:bCs w:val="0"/>
          <w:sz w:val="20"/>
          <w:szCs w:val="20"/>
        </w:rPr>
        <w:fldChar w:fldCharType="end"/>
      </w:r>
      <w:r w:rsidRPr="006747E2">
        <w:rPr>
          <w:b/>
          <w:bCs w:val="0"/>
          <w:sz w:val="20"/>
          <w:szCs w:val="20"/>
        </w:rPr>
        <w:t xml:space="preserve"> Showings</w:t>
      </w:r>
      <w:r w:rsidRPr="006747E2">
        <w:rPr>
          <w:b/>
          <w:bCs w:val="0"/>
          <w:sz w:val="20"/>
          <w:szCs w:val="20"/>
          <w:lang w:eastAsia="en-GB"/>
        </w:rPr>
        <w:t xml:space="preserve"> the aerobic bacteria used in this study and the code</w:t>
      </w:r>
      <w:r w:rsidR="00EC0AA1" w:rsidRPr="006747E2">
        <w:rPr>
          <w:b/>
          <w:bCs w:val="0"/>
          <w:sz w:val="20"/>
          <w:szCs w:val="20"/>
          <w:lang w:eastAsia="en-GB"/>
        </w:rPr>
        <w:t>.</w:t>
      </w:r>
      <w:bookmarkEnd w:id="490"/>
    </w:p>
    <w:tbl>
      <w:tblPr>
        <w:tblStyle w:val="TableGrid7"/>
        <w:tblW w:w="8536" w:type="dxa"/>
        <w:tblInd w:w="-34" w:type="dxa"/>
        <w:tblLook w:val="04A0" w:firstRow="1" w:lastRow="0" w:firstColumn="1" w:lastColumn="0" w:noHBand="0" w:noVBand="1"/>
      </w:tblPr>
      <w:tblGrid>
        <w:gridCol w:w="2751"/>
        <w:gridCol w:w="2776"/>
        <w:gridCol w:w="3009"/>
      </w:tblGrid>
      <w:tr w:rsidR="00165E91" w:rsidRPr="00B013ED" w:rsidTr="006747E2">
        <w:trPr>
          <w:cnfStyle w:val="100000000000" w:firstRow="1" w:lastRow="0" w:firstColumn="0" w:lastColumn="0" w:oddVBand="0" w:evenVBand="0" w:oddHBand="0" w:evenHBand="0" w:firstRowFirstColumn="0" w:firstRowLastColumn="0" w:lastRowFirstColumn="0" w:lastRowLastColumn="0"/>
          <w:trHeight w:val="672"/>
        </w:trPr>
        <w:tc>
          <w:tcPr>
            <w:cnfStyle w:val="001000000100" w:firstRow="0" w:lastRow="0" w:firstColumn="1" w:lastColumn="0" w:oddVBand="0" w:evenVBand="0" w:oddHBand="0" w:evenHBand="0" w:firstRowFirstColumn="1" w:firstRowLastColumn="0" w:lastRowFirstColumn="0" w:lastRowLastColumn="0"/>
            <w:tcW w:w="2751" w:type="dxa"/>
            <w:tcBorders>
              <w:right w:val="single" w:sz="4" w:space="0" w:color="auto"/>
            </w:tcBorders>
            <w:shd w:val="clear" w:color="auto" w:fill="17365D" w:themeFill="text2" w:themeFillShade="BF"/>
            <w:vAlign w:val="center"/>
          </w:tcPr>
          <w:p w:rsidR="00165E91" w:rsidRPr="00255236" w:rsidRDefault="00165E91" w:rsidP="00255236">
            <w:pPr>
              <w:spacing w:before="100" w:beforeAutospacing="1" w:after="100" w:afterAutospacing="1" w:line="480" w:lineRule="auto"/>
              <w:jc w:val="center"/>
              <w:rPr>
                <w:rFonts w:cstheme="minorBidi"/>
                <w:color w:val="FFFFFF" w:themeColor="background1"/>
              </w:rPr>
            </w:pPr>
          </w:p>
        </w:tc>
        <w:tc>
          <w:tcPr>
            <w:tcW w:w="2776" w:type="dxa"/>
            <w:tcBorders>
              <w:left w:val="single" w:sz="4" w:space="0" w:color="auto"/>
            </w:tcBorders>
            <w:shd w:val="clear" w:color="auto" w:fill="17365D" w:themeFill="text2" w:themeFillShade="BF"/>
            <w:vAlign w:val="center"/>
          </w:tcPr>
          <w:p w:rsidR="00165E91" w:rsidRPr="00255236" w:rsidRDefault="00165E91" w:rsidP="00255236">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rFonts w:cstheme="minorBidi"/>
                <w:color w:val="FFFFFF" w:themeColor="background1"/>
              </w:rPr>
            </w:pPr>
            <w:r w:rsidRPr="00255236">
              <w:rPr>
                <w:rFonts w:cstheme="minorBidi"/>
                <w:color w:val="FFFFFF" w:themeColor="background1"/>
              </w:rPr>
              <w:t>Bacterium</w:t>
            </w:r>
          </w:p>
        </w:tc>
        <w:tc>
          <w:tcPr>
            <w:tcW w:w="3009" w:type="dxa"/>
            <w:shd w:val="clear" w:color="auto" w:fill="17365D" w:themeFill="text2" w:themeFillShade="BF"/>
            <w:vAlign w:val="center"/>
          </w:tcPr>
          <w:p w:rsidR="00165E91" w:rsidRPr="00255236" w:rsidRDefault="00165E91" w:rsidP="00255236">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rFonts w:cstheme="minorBidi"/>
                <w:color w:val="FFFFFF" w:themeColor="background1"/>
              </w:rPr>
            </w:pPr>
            <w:r w:rsidRPr="00255236">
              <w:rPr>
                <w:rFonts w:cstheme="minorBidi"/>
                <w:color w:val="FFFFFF" w:themeColor="background1"/>
              </w:rPr>
              <w:t>Type</w:t>
            </w:r>
          </w:p>
        </w:tc>
      </w:tr>
      <w:tr w:rsidR="00165E91" w:rsidRPr="00B013ED" w:rsidTr="006747E2">
        <w:trPr>
          <w:trHeight w:val="672"/>
        </w:trPr>
        <w:tc>
          <w:tcPr>
            <w:cnfStyle w:val="001000000000" w:firstRow="0" w:lastRow="0" w:firstColumn="1" w:lastColumn="0" w:oddVBand="0" w:evenVBand="0" w:oddHBand="0" w:evenHBand="0" w:firstRowFirstColumn="0" w:firstRowLastColumn="0" w:lastRowFirstColumn="0" w:lastRowLastColumn="0"/>
            <w:tcW w:w="2751" w:type="dxa"/>
            <w:tcBorders>
              <w:right w:val="single" w:sz="4" w:space="0" w:color="auto"/>
            </w:tcBorders>
            <w:shd w:val="clear" w:color="auto" w:fill="17365D" w:themeFill="text2" w:themeFillShade="BF"/>
            <w:vAlign w:val="center"/>
          </w:tcPr>
          <w:p w:rsidR="00165E91" w:rsidRPr="00255236" w:rsidRDefault="00165E91" w:rsidP="00255236">
            <w:pPr>
              <w:spacing w:line="480" w:lineRule="auto"/>
              <w:jc w:val="center"/>
              <w:rPr>
                <w:rFonts w:cstheme="minorBidi"/>
                <w:color w:val="FFFFFF" w:themeColor="background1"/>
              </w:rPr>
            </w:pPr>
            <w:r w:rsidRPr="00255236">
              <w:rPr>
                <w:rFonts w:cstheme="minorBidi"/>
                <w:color w:val="FFFFFF" w:themeColor="background1"/>
              </w:rPr>
              <w:t>A</w:t>
            </w:r>
          </w:p>
        </w:tc>
        <w:tc>
          <w:tcPr>
            <w:tcW w:w="2776" w:type="dxa"/>
            <w:tcBorders>
              <w:left w:val="single" w:sz="4" w:space="0" w:color="auto"/>
            </w:tcBorders>
            <w:vAlign w:val="center"/>
          </w:tcPr>
          <w:p w:rsidR="00165E91" w:rsidRPr="00B013ED" w:rsidRDefault="00165E91" w:rsidP="00255236">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Bidi"/>
                <w:b/>
                <w:color w:val="000000" w:themeColor="text1"/>
              </w:rPr>
            </w:pPr>
            <w:r w:rsidRPr="00B013ED">
              <w:rPr>
                <w:rFonts w:cstheme="minorBidi"/>
                <w:b/>
                <w:i/>
                <w:color w:val="000000" w:themeColor="text1"/>
              </w:rPr>
              <w:t>Enterococcus faecalis</w:t>
            </w:r>
          </w:p>
        </w:tc>
        <w:tc>
          <w:tcPr>
            <w:tcW w:w="3009" w:type="dxa"/>
            <w:vAlign w:val="center"/>
          </w:tcPr>
          <w:p w:rsidR="00165E91" w:rsidRPr="00B013ED" w:rsidRDefault="00165E91" w:rsidP="00255236">
            <w:pPr>
              <w:keepLines/>
              <w:tabs>
                <w:tab w:val="right" w:pos="8148"/>
              </w:tabs>
              <w:spacing w:before="100" w:beforeAutospacing="1" w:after="100" w:afterAutospacing="1" w:line="480" w:lineRule="auto"/>
              <w:ind w:right="805"/>
              <w:contextualSpacing/>
              <w:jc w:val="center"/>
              <w:cnfStyle w:val="000000000000" w:firstRow="0" w:lastRow="0" w:firstColumn="0" w:lastColumn="0" w:oddVBand="0" w:evenVBand="0" w:oddHBand="0" w:evenHBand="0" w:firstRowFirstColumn="0" w:firstRowLastColumn="0" w:lastRowFirstColumn="0" w:lastRowLastColumn="0"/>
              <w:rPr>
                <w:rFonts w:cstheme="minorBidi"/>
                <w:b/>
                <w:color w:val="000000" w:themeColor="text1"/>
              </w:rPr>
            </w:pPr>
            <w:r w:rsidRPr="00B013ED">
              <w:rPr>
                <w:rFonts w:cstheme="minorBidi"/>
                <w:b/>
                <w:color w:val="000000" w:themeColor="text1"/>
              </w:rPr>
              <w:t>(NCTC 755)</w:t>
            </w:r>
          </w:p>
        </w:tc>
      </w:tr>
      <w:tr w:rsidR="00165E91" w:rsidRPr="00B013ED" w:rsidTr="006747E2">
        <w:trPr>
          <w:trHeight w:val="672"/>
        </w:trPr>
        <w:tc>
          <w:tcPr>
            <w:cnfStyle w:val="001000000000" w:firstRow="0" w:lastRow="0" w:firstColumn="1" w:lastColumn="0" w:oddVBand="0" w:evenVBand="0" w:oddHBand="0" w:evenHBand="0" w:firstRowFirstColumn="0" w:firstRowLastColumn="0" w:lastRowFirstColumn="0" w:lastRowLastColumn="0"/>
            <w:tcW w:w="2751" w:type="dxa"/>
            <w:tcBorders>
              <w:right w:val="single" w:sz="4" w:space="0" w:color="auto"/>
            </w:tcBorders>
            <w:shd w:val="clear" w:color="auto" w:fill="17365D" w:themeFill="text2" w:themeFillShade="BF"/>
            <w:vAlign w:val="center"/>
          </w:tcPr>
          <w:p w:rsidR="00165E91" w:rsidRPr="00255236" w:rsidRDefault="00165E91" w:rsidP="00255236">
            <w:pPr>
              <w:keepLines/>
              <w:tabs>
                <w:tab w:val="right" w:pos="8148"/>
              </w:tabs>
              <w:spacing w:before="100" w:beforeAutospacing="1" w:after="100" w:afterAutospacing="1" w:line="480" w:lineRule="auto"/>
              <w:ind w:left="2160" w:right="805" w:hanging="737"/>
              <w:contextualSpacing/>
              <w:jc w:val="center"/>
              <w:rPr>
                <w:rFonts w:cstheme="minorBidi"/>
                <w:color w:val="FFFFFF" w:themeColor="background1"/>
              </w:rPr>
            </w:pPr>
            <w:r w:rsidRPr="00255236">
              <w:rPr>
                <w:rFonts w:cstheme="minorBidi"/>
                <w:color w:val="FFFFFF" w:themeColor="background1"/>
              </w:rPr>
              <w:t>B</w:t>
            </w:r>
          </w:p>
        </w:tc>
        <w:tc>
          <w:tcPr>
            <w:tcW w:w="2776" w:type="dxa"/>
            <w:tcBorders>
              <w:left w:val="single" w:sz="4" w:space="0" w:color="auto"/>
            </w:tcBorders>
            <w:vAlign w:val="center"/>
          </w:tcPr>
          <w:p w:rsidR="00165E91" w:rsidRPr="00B013ED" w:rsidRDefault="00165E91" w:rsidP="00255236">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Bidi"/>
                <w:b/>
                <w:color w:val="000000" w:themeColor="text1"/>
              </w:rPr>
            </w:pPr>
            <w:r w:rsidRPr="00B013ED">
              <w:rPr>
                <w:rFonts w:cstheme="minorBidi"/>
                <w:b/>
                <w:i/>
                <w:color w:val="000000" w:themeColor="text1"/>
              </w:rPr>
              <w:t>Escherichia coli</w:t>
            </w:r>
          </w:p>
        </w:tc>
        <w:tc>
          <w:tcPr>
            <w:tcW w:w="3009" w:type="dxa"/>
            <w:vAlign w:val="center"/>
          </w:tcPr>
          <w:p w:rsidR="00165E91" w:rsidRPr="00B013ED" w:rsidRDefault="00165E91" w:rsidP="00255236">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rFonts w:cstheme="minorBidi"/>
                <w:b/>
                <w:color w:val="000000" w:themeColor="text1"/>
              </w:rPr>
            </w:pPr>
            <w:r w:rsidRPr="00B013ED">
              <w:rPr>
                <w:rFonts w:cstheme="minorBidi"/>
                <w:b/>
                <w:color w:val="000000" w:themeColor="text1"/>
              </w:rPr>
              <w:t>(NCTC 11954)</w:t>
            </w:r>
          </w:p>
        </w:tc>
      </w:tr>
    </w:tbl>
    <w:p w:rsidR="00165E91" w:rsidRPr="00B013ED" w:rsidRDefault="00165E91" w:rsidP="00165E91">
      <w:pPr>
        <w:spacing w:before="100" w:beforeAutospacing="1" w:after="100" w:afterAutospacing="1" w:line="240" w:lineRule="auto"/>
        <w:rPr>
          <w:rFonts w:eastAsia="Times New Roman" w:cstheme="minorBidi"/>
          <w:color w:val="FF0000"/>
          <w:lang w:eastAsia="en-GB"/>
        </w:rPr>
      </w:pPr>
      <w:r w:rsidRPr="00B013ED">
        <w:rPr>
          <w:rFonts w:eastAsia="Times New Roman" w:cstheme="minorBidi"/>
          <w:bCs/>
          <w:color w:val="000000"/>
          <w:lang w:eastAsia="en-GB"/>
        </w:rPr>
        <w:t xml:space="preserve">All aerobic bacteria were </w:t>
      </w:r>
      <w:r w:rsidRPr="00B013ED">
        <w:rPr>
          <w:rFonts w:eastAsia="Times New Roman" w:cstheme="minorBidi"/>
          <w:bCs/>
          <w:lang w:eastAsia="en-GB"/>
        </w:rPr>
        <w:t>incubated at 37ºC under an atmosphere of 10% CO</w:t>
      </w:r>
      <w:r w:rsidRPr="00B013ED">
        <w:rPr>
          <w:rFonts w:eastAsia="Times New Roman" w:cstheme="minorBidi"/>
          <w:bCs/>
          <w:vertAlign w:val="subscript"/>
          <w:lang w:eastAsia="en-GB"/>
        </w:rPr>
        <w:t>2</w:t>
      </w:r>
      <w:r w:rsidRPr="00B013ED">
        <w:rPr>
          <w:rFonts w:eastAsia="Times New Roman" w:cstheme="minorBidi"/>
          <w:bCs/>
          <w:lang w:eastAsia="en-GB"/>
        </w:rPr>
        <w:t xml:space="preserve"> + air.</w:t>
      </w:r>
    </w:p>
    <w:p w:rsidR="00165E91" w:rsidRPr="00B013ED" w:rsidRDefault="00165E91" w:rsidP="002B54A2">
      <w:pPr>
        <w:pStyle w:val="Heading2"/>
      </w:pPr>
      <w:bookmarkStart w:id="491" w:name="_Toc370819275"/>
      <w:r w:rsidRPr="00B013ED">
        <w:t>Culture media</w:t>
      </w:r>
      <w:bookmarkEnd w:id="491"/>
    </w:p>
    <w:p w:rsidR="00165E91" w:rsidRPr="00B013ED" w:rsidRDefault="00165E91" w:rsidP="00CA353C">
      <w:pPr>
        <w:pStyle w:val="Heading3"/>
        <w:spacing w:line="480" w:lineRule="auto"/>
        <w:rPr>
          <w:rFonts w:eastAsia="Times New Roman"/>
          <w:lang w:val="en-US" w:eastAsia="en-GB"/>
        </w:rPr>
      </w:pPr>
      <w:bookmarkStart w:id="492" w:name="_Toc370819276"/>
      <w:r w:rsidRPr="00B013ED">
        <w:rPr>
          <w:rFonts w:eastAsia="Times New Roman"/>
          <w:lang w:val="en-US" w:eastAsia="en-GB"/>
        </w:rPr>
        <w:t>Columbia Blood Agar (CBA)</w:t>
      </w:r>
      <w:bookmarkEnd w:id="492"/>
    </w:p>
    <w:p w:rsidR="00165E91" w:rsidRPr="00B013ED" w:rsidRDefault="00165E91" w:rsidP="00CA353C">
      <w:pPr>
        <w:spacing w:after="120" w:line="480" w:lineRule="auto"/>
        <w:jc w:val="both"/>
        <w:rPr>
          <w:rFonts w:eastAsia="Times New Roman" w:cstheme="minorBidi"/>
          <w:color w:val="000000"/>
          <w:lang w:val="en-US" w:eastAsia="en-GB"/>
        </w:rPr>
      </w:pPr>
      <w:r w:rsidRPr="00B013ED">
        <w:rPr>
          <w:rFonts w:eastAsia="Times New Roman" w:cstheme="minorBidi"/>
          <w:color w:val="000000"/>
          <w:lang w:val="en-US" w:eastAsia="en-GB"/>
        </w:rPr>
        <w:t>Columbia Blood Agar (CBA) was prepared at Leeds dental institute by a laboratory technician, and was used for the isolation and cultivation of a wide variety of fastidious microorganism</w:t>
      </w:r>
      <w:r w:rsidR="00442D4B">
        <w:rPr>
          <w:rFonts w:eastAsia="Times New Roman" w:cstheme="minorBidi"/>
          <w:color w:val="000000"/>
          <w:lang w:val="en-US" w:eastAsia="en-GB"/>
        </w:rPr>
        <w:t>s</w:t>
      </w:r>
      <w:r w:rsidRPr="00B013ED">
        <w:rPr>
          <w:rFonts w:eastAsia="Times New Roman" w:cstheme="minorBidi"/>
          <w:color w:val="000000"/>
          <w:lang w:val="en-US" w:eastAsia="en-GB"/>
        </w:rPr>
        <w:t>.</w:t>
      </w:r>
    </w:p>
    <w:p w:rsidR="00165E91" w:rsidRPr="00B013ED" w:rsidRDefault="00165E91" w:rsidP="00582CC5">
      <w:pPr>
        <w:pStyle w:val="Heading3"/>
        <w:spacing w:line="480" w:lineRule="auto"/>
        <w:rPr>
          <w:rFonts w:eastAsia="Times New Roman"/>
          <w:lang w:val="en-US" w:eastAsia="en-GB"/>
        </w:rPr>
      </w:pPr>
      <w:bookmarkStart w:id="493" w:name="_Toc370819277"/>
      <w:r w:rsidRPr="00B013ED">
        <w:rPr>
          <w:rFonts w:eastAsia="Times New Roman"/>
          <w:lang w:val="en-US" w:eastAsia="en-GB"/>
        </w:rPr>
        <w:t>General information about Columbia Blood Agar (CBA)</w:t>
      </w:r>
      <w:bookmarkEnd w:id="493"/>
    </w:p>
    <w:p w:rsidR="00165E91" w:rsidRPr="00B013ED" w:rsidRDefault="00165E91" w:rsidP="00582CC5">
      <w:pPr>
        <w:spacing w:after="120" w:line="480" w:lineRule="auto"/>
        <w:jc w:val="both"/>
        <w:rPr>
          <w:rFonts w:eastAsia="Times New Roman" w:cstheme="minorBidi"/>
          <w:lang w:val="en-US" w:eastAsia="en-GB"/>
        </w:rPr>
      </w:pPr>
      <w:r w:rsidRPr="00B013ED">
        <w:rPr>
          <w:rFonts w:eastAsia="Times New Roman" w:cstheme="minorBidi"/>
          <w:lang w:val="en-US" w:eastAsia="en-GB"/>
        </w:rPr>
        <w:t>Columbia blood agar base media are typically supplemented with 5-10% sheep, rabbit, or horse blood for use in isolating, cultivating and determining h</w:t>
      </w:r>
      <w:r w:rsidR="00442D4B">
        <w:rPr>
          <w:rFonts w:eastAsia="Times New Roman" w:cstheme="minorBidi"/>
          <w:lang w:val="en-US" w:eastAsia="en-GB"/>
        </w:rPr>
        <w:t>a</w:t>
      </w:r>
      <w:r w:rsidRPr="00B013ED">
        <w:rPr>
          <w:rFonts w:eastAsia="Times New Roman" w:cstheme="minorBidi"/>
          <w:lang w:val="en-US" w:eastAsia="en-GB"/>
        </w:rPr>
        <w:t>emolytic reactions of fastidious pathogenic microorganisms. Without enrichment, Columbia Blood Agar Base is used as a general purpose media.</w:t>
      </w:r>
    </w:p>
    <w:p w:rsidR="00503FB8" w:rsidRDefault="00503FB8">
      <w:pPr>
        <w:rPr>
          <w:rFonts w:eastAsia="Times New Roman"/>
          <w:b/>
          <w:bCs/>
          <w:sz w:val="28"/>
          <w:lang w:val="en-US" w:eastAsia="en-GB"/>
        </w:rPr>
      </w:pPr>
      <w:r>
        <w:rPr>
          <w:rFonts w:eastAsia="Times New Roman"/>
          <w:lang w:val="en-US" w:eastAsia="en-GB"/>
        </w:rPr>
        <w:br w:type="page"/>
      </w:r>
    </w:p>
    <w:p w:rsidR="000A7A6B" w:rsidRPr="00255236" w:rsidRDefault="00165E91" w:rsidP="00442D4B">
      <w:pPr>
        <w:pStyle w:val="Heading3"/>
        <w:spacing w:line="480" w:lineRule="auto"/>
        <w:rPr>
          <w:rFonts w:eastAsia="Times New Roman"/>
          <w:lang w:val="en-US" w:eastAsia="en-GB"/>
        </w:rPr>
      </w:pPr>
      <w:bookmarkStart w:id="494" w:name="_Toc370819278"/>
      <w:r w:rsidRPr="00B013ED">
        <w:rPr>
          <w:rFonts w:eastAsia="Times New Roman"/>
          <w:lang w:val="en-US" w:eastAsia="en-GB"/>
        </w:rPr>
        <w:lastRenderedPageBreak/>
        <w:t>Composition</w:t>
      </w:r>
      <w:r w:rsidR="000A7A6B" w:rsidRPr="000A7A6B">
        <w:rPr>
          <w:rFonts w:eastAsia="Times New Roman"/>
          <w:lang w:val="en-US" w:eastAsia="en-GB"/>
        </w:rPr>
        <w:t xml:space="preserve"> </w:t>
      </w:r>
      <w:r w:rsidR="00442D4B" w:rsidRPr="00442D4B">
        <w:rPr>
          <w:rFonts w:eastAsia="Times New Roman"/>
          <w:lang w:val="en-US" w:eastAsia="en-GB"/>
        </w:rPr>
        <w:t>of Columbia blood agar (CBA</w:t>
      </w:r>
      <w:r w:rsidR="000A7A6B">
        <w:rPr>
          <w:rFonts w:eastAsia="Times New Roman"/>
          <w:lang w:val="en-US" w:eastAsia="en-GB"/>
        </w:rPr>
        <w:t>)</w:t>
      </w:r>
      <w:r w:rsidRPr="00B013ED">
        <w:rPr>
          <w:rFonts w:eastAsia="Times New Roman"/>
          <w:lang w:val="en-US" w:eastAsia="en-GB"/>
        </w:rPr>
        <w:t>:</w:t>
      </w:r>
      <w:bookmarkEnd w:id="494"/>
      <w:r w:rsidR="000A7A6B" w:rsidRPr="00255236">
        <w:rPr>
          <w:noProof/>
          <w:sz w:val="20"/>
          <w:szCs w:val="20"/>
        </w:rPr>
        <w:t xml:space="preserve"> </w:t>
      </w:r>
    </w:p>
    <w:p w:rsidR="00255236" w:rsidRPr="00442D4B" w:rsidRDefault="00255236" w:rsidP="00442D4B">
      <w:pPr>
        <w:rPr>
          <w:b/>
          <w:bCs/>
          <w:sz w:val="20"/>
          <w:szCs w:val="20"/>
        </w:rPr>
      </w:pPr>
      <w:bookmarkStart w:id="495" w:name="_Toc370511739"/>
      <w:proofErr w:type="gramStart"/>
      <w:r w:rsidRPr="00442D4B">
        <w:rPr>
          <w:b/>
          <w:bCs/>
          <w:sz w:val="20"/>
          <w:szCs w:val="20"/>
        </w:rPr>
        <w:t xml:space="preserve">Table </w:t>
      </w:r>
      <w:r w:rsidR="00E7089D">
        <w:rPr>
          <w:b/>
          <w:bCs/>
          <w:sz w:val="20"/>
          <w:szCs w:val="20"/>
        </w:rPr>
        <w:fldChar w:fldCharType="begin"/>
      </w:r>
      <w:r w:rsidR="00E7089D">
        <w:rPr>
          <w:b/>
          <w:bCs/>
          <w:sz w:val="20"/>
          <w:szCs w:val="20"/>
        </w:rPr>
        <w:instrText xml:space="preserve"> STYLEREF 1 \s </w:instrText>
      </w:r>
      <w:r w:rsidR="00E7089D">
        <w:rPr>
          <w:b/>
          <w:bCs/>
          <w:sz w:val="20"/>
          <w:szCs w:val="20"/>
        </w:rPr>
        <w:fldChar w:fldCharType="separate"/>
      </w:r>
      <w:r w:rsidR="00374B77">
        <w:rPr>
          <w:b/>
          <w:bCs/>
          <w:noProof/>
          <w:sz w:val="20"/>
          <w:szCs w:val="20"/>
          <w:cs/>
        </w:rPr>
        <w:t>‎</w:t>
      </w:r>
      <w:r w:rsidR="00374B77">
        <w:rPr>
          <w:b/>
          <w:bCs/>
          <w:noProof/>
          <w:sz w:val="20"/>
          <w:szCs w:val="20"/>
        </w:rPr>
        <w:t>3</w:t>
      </w:r>
      <w:r w:rsidR="00E7089D">
        <w:rPr>
          <w:b/>
          <w:bCs/>
          <w:sz w:val="20"/>
          <w:szCs w:val="20"/>
        </w:rPr>
        <w:fldChar w:fldCharType="end"/>
      </w:r>
      <w:r w:rsidR="00E7089D">
        <w:rPr>
          <w:b/>
          <w:bCs/>
          <w:sz w:val="20"/>
          <w:szCs w:val="20"/>
        </w:rPr>
        <w:t>.</w:t>
      </w:r>
      <w:proofErr w:type="gramEnd"/>
      <w:r w:rsidR="00E7089D">
        <w:rPr>
          <w:b/>
          <w:bCs/>
          <w:sz w:val="20"/>
          <w:szCs w:val="20"/>
        </w:rPr>
        <w:fldChar w:fldCharType="begin"/>
      </w:r>
      <w:r w:rsidR="00E7089D">
        <w:rPr>
          <w:b/>
          <w:bCs/>
          <w:sz w:val="20"/>
          <w:szCs w:val="20"/>
        </w:rPr>
        <w:instrText xml:space="preserve"> SEQ Table \* ARABIC \s 1 </w:instrText>
      </w:r>
      <w:r w:rsidR="00E7089D">
        <w:rPr>
          <w:b/>
          <w:bCs/>
          <w:sz w:val="20"/>
          <w:szCs w:val="20"/>
        </w:rPr>
        <w:fldChar w:fldCharType="separate"/>
      </w:r>
      <w:r w:rsidR="00374B77">
        <w:rPr>
          <w:b/>
          <w:bCs/>
          <w:noProof/>
          <w:sz w:val="20"/>
          <w:szCs w:val="20"/>
        </w:rPr>
        <w:t>3</w:t>
      </w:r>
      <w:r w:rsidR="00E7089D">
        <w:rPr>
          <w:b/>
          <w:bCs/>
          <w:sz w:val="20"/>
          <w:szCs w:val="20"/>
        </w:rPr>
        <w:fldChar w:fldCharType="end"/>
      </w:r>
      <w:r w:rsidRPr="00442D4B">
        <w:rPr>
          <w:b/>
          <w:bCs/>
          <w:sz w:val="20"/>
          <w:szCs w:val="20"/>
        </w:rPr>
        <w:t xml:space="preserve"> Showing </w:t>
      </w:r>
      <w:r w:rsidR="00442D4B" w:rsidRPr="00442D4B">
        <w:rPr>
          <w:b/>
          <w:bCs/>
          <w:sz w:val="20"/>
          <w:szCs w:val="20"/>
        </w:rPr>
        <w:t>the composition of Columbia blood agar (CBA)</w:t>
      </w:r>
      <w:bookmarkEnd w:id="495"/>
      <w:r w:rsidR="00442D4B" w:rsidRPr="00442D4B">
        <w:rPr>
          <w:b/>
          <w:bCs/>
          <w:sz w:val="20"/>
          <w:szCs w:val="20"/>
        </w:rPr>
        <w:t xml:space="preserve"> </w:t>
      </w:r>
      <w:r w:rsidR="00442D4B" w:rsidRPr="00442D4B">
        <w:rPr>
          <w:b/>
          <w:bCs/>
          <w:sz w:val="20"/>
          <w:szCs w:val="20"/>
          <w:lang w:eastAsia="en-GB"/>
        </w:rPr>
        <w:t xml:space="preserve"> </w:t>
      </w:r>
    </w:p>
    <w:tbl>
      <w:tblPr>
        <w:tblW w:w="8619" w:type="dxa"/>
        <w:tblInd w:w="1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538"/>
        <w:gridCol w:w="4081"/>
      </w:tblGrid>
      <w:tr w:rsidR="00165E91" w:rsidRPr="00B013ED" w:rsidTr="006747E2">
        <w:trPr>
          <w:trHeight w:val="517"/>
        </w:trPr>
        <w:tc>
          <w:tcPr>
            <w:tcW w:w="4538" w:type="dxa"/>
            <w:tcBorders>
              <w:top w:val="single" w:sz="6" w:space="0" w:color="000000"/>
              <w:bottom w:val="single" w:sz="6" w:space="0" w:color="000000"/>
              <w:right w:val="single" w:sz="6" w:space="0" w:color="000000"/>
            </w:tcBorders>
            <w:shd w:val="clear" w:color="auto" w:fill="17365D" w:themeFill="text2" w:themeFillShade="BF"/>
            <w:vAlign w:val="center"/>
          </w:tcPr>
          <w:p w:rsidR="00165E91" w:rsidRPr="00EC0AA1" w:rsidRDefault="00165E91" w:rsidP="00EC0AA1">
            <w:pPr>
              <w:jc w:val="center"/>
              <w:rPr>
                <w:b/>
                <w:bCs/>
              </w:rPr>
            </w:pPr>
            <w:r w:rsidRPr="00EC0AA1">
              <w:rPr>
                <w:b/>
                <w:bCs/>
              </w:rPr>
              <w:t>Ingredients</w:t>
            </w:r>
          </w:p>
        </w:tc>
        <w:tc>
          <w:tcPr>
            <w:tcW w:w="4081" w:type="dxa"/>
            <w:tcBorders>
              <w:top w:val="single" w:sz="6" w:space="0" w:color="000000"/>
              <w:left w:val="single" w:sz="6" w:space="0" w:color="000000"/>
              <w:bottom w:val="single" w:sz="6" w:space="0" w:color="000000"/>
            </w:tcBorders>
            <w:shd w:val="clear" w:color="auto" w:fill="17365D" w:themeFill="text2" w:themeFillShade="BF"/>
            <w:vAlign w:val="center"/>
          </w:tcPr>
          <w:p w:rsidR="00165E91" w:rsidRPr="00EC0AA1" w:rsidRDefault="00165E91" w:rsidP="00EC0AA1">
            <w:pPr>
              <w:jc w:val="center"/>
              <w:rPr>
                <w:b/>
                <w:bCs/>
              </w:rPr>
            </w:pPr>
            <w:r w:rsidRPr="00EC0AA1">
              <w:rPr>
                <w:b/>
                <w:bCs/>
              </w:rPr>
              <w:t>Grams/Litre</w:t>
            </w:r>
          </w:p>
        </w:tc>
      </w:tr>
      <w:tr w:rsidR="00165E91" w:rsidRPr="00B013ED" w:rsidTr="006747E2">
        <w:trPr>
          <w:trHeight w:val="517"/>
        </w:trPr>
        <w:tc>
          <w:tcPr>
            <w:tcW w:w="4538" w:type="dxa"/>
            <w:tcBorders>
              <w:top w:val="single" w:sz="6" w:space="0" w:color="000000"/>
              <w:bottom w:val="single" w:sz="6" w:space="0" w:color="000000"/>
              <w:right w:val="single" w:sz="6" w:space="0" w:color="000000"/>
            </w:tcBorders>
            <w:shd w:val="clear" w:color="auto" w:fill="FDE9D9" w:themeFill="accent6" w:themeFillTint="33"/>
            <w:vAlign w:val="center"/>
          </w:tcPr>
          <w:p w:rsidR="00165E91" w:rsidRPr="00B013ED" w:rsidRDefault="00165E91" w:rsidP="00EC0AA1">
            <w:pPr>
              <w:jc w:val="center"/>
            </w:pPr>
            <w:r w:rsidRPr="00B013ED">
              <w:t>Special nutrient substrate</w:t>
            </w:r>
          </w:p>
        </w:tc>
        <w:tc>
          <w:tcPr>
            <w:tcW w:w="4081" w:type="dxa"/>
            <w:tcBorders>
              <w:top w:val="single" w:sz="6" w:space="0" w:color="000000"/>
              <w:left w:val="single" w:sz="6" w:space="0" w:color="000000"/>
              <w:bottom w:val="single" w:sz="6" w:space="0" w:color="000000"/>
            </w:tcBorders>
            <w:shd w:val="clear" w:color="auto" w:fill="F2F2F2" w:themeFill="background1" w:themeFillShade="F2"/>
            <w:vAlign w:val="center"/>
          </w:tcPr>
          <w:p w:rsidR="00165E91" w:rsidRPr="00B013ED" w:rsidRDefault="00165E91" w:rsidP="00EC0AA1">
            <w:pPr>
              <w:jc w:val="center"/>
            </w:pPr>
            <w:r w:rsidRPr="00B013ED">
              <w:t>23.0</w:t>
            </w:r>
          </w:p>
        </w:tc>
      </w:tr>
      <w:tr w:rsidR="00165E91" w:rsidRPr="00B013ED" w:rsidTr="006747E2">
        <w:trPr>
          <w:trHeight w:val="518"/>
        </w:trPr>
        <w:tc>
          <w:tcPr>
            <w:tcW w:w="4538" w:type="dxa"/>
            <w:tcBorders>
              <w:top w:val="single" w:sz="6" w:space="0" w:color="000000"/>
              <w:bottom w:val="single" w:sz="6" w:space="0" w:color="000000"/>
              <w:right w:val="single" w:sz="6" w:space="0" w:color="000000"/>
            </w:tcBorders>
            <w:shd w:val="clear" w:color="auto" w:fill="FDE9D9" w:themeFill="accent6" w:themeFillTint="33"/>
            <w:vAlign w:val="center"/>
          </w:tcPr>
          <w:p w:rsidR="00165E91" w:rsidRPr="00B013ED" w:rsidRDefault="00165E91" w:rsidP="00EC0AA1">
            <w:pPr>
              <w:jc w:val="center"/>
            </w:pPr>
            <w:r w:rsidRPr="00B013ED">
              <w:t>Starch</w:t>
            </w:r>
          </w:p>
        </w:tc>
        <w:tc>
          <w:tcPr>
            <w:tcW w:w="4081" w:type="dxa"/>
            <w:tcBorders>
              <w:top w:val="single" w:sz="6" w:space="0" w:color="000000"/>
              <w:left w:val="single" w:sz="6" w:space="0" w:color="000000"/>
              <w:bottom w:val="single" w:sz="6" w:space="0" w:color="000000"/>
            </w:tcBorders>
            <w:shd w:val="clear" w:color="auto" w:fill="F2F2F2" w:themeFill="background1" w:themeFillShade="F2"/>
            <w:vAlign w:val="center"/>
          </w:tcPr>
          <w:p w:rsidR="00165E91" w:rsidRPr="00B013ED" w:rsidRDefault="00165E91" w:rsidP="00EC0AA1">
            <w:pPr>
              <w:jc w:val="center"/>
            </w:pPr>
            <w:r w:rsidRPr="00B013ED">
              <w:t>1.0</w:t>
            </w:r>
          </w:p>
        </w:tc>
      </w:tr>
      <w:tr w:rsidR="00165E91" w:rsidRPr="00B013ED" w:rsidTr="006747E2">
        <w:trPr>
          <w:trHeight w:val="517"/>
        </w:trPr>
        <w:tc>
          <w:tcPr>
            <w:tcW w:w="4538" w:type="dxa"/>
            <w:tcBorders>
              <w:top w:val="single" w:sz="6" w:space="0" w:color="000000"/>
              <w:bottom w:val="single" w:sz="6" w:space="0" w:color="000000"/>
              <w:right w:val="single" w:sz="6" w:space="0" w:color="000000"/>
            </w:tcBorders>
            <w:shd w:val="clear" w:color="auto" w:fill="FDE9D9" w:themeFill="accent6" w:themeFillTint="33"/>
            <w:vAlign w:val="center"/>
          </w:tcPr>
          <w:p w:rsidR="00165E91" w:rsidRPr="00B013ED" w:rsidRDefault="00165E91" w:rsidP="00EC0AA1">
            <w:pPr>
              <w:jc w:val="center"/>
            </w:pPr>
            <w:r w:rsidRPr="00B013ED">
              <w:t>Sodium chloride</w:t>
            </w:r>
          </w:p>
        </w:tc>
        <w:tc>
          <w:tcPr>
            <w:tcW w:w="4081" w:type="dxa"/>
            <w:tcBorders>
              <w:top w:val="single" w:sz="6" w:space="0" w:color="000000"/>
              <w:left w:val="single" w:sz="6" w:space="0" w:color="000000"/>
              <w:bottom w:val="single" w:sz="6" w:space="0" w:color="000000"/>
            </w:tcBorders>
            <w:shd w:val="clear" w:color="auto" w:fill="F2F2F2" w:themeFill="background1" w:themeFillShade="F2"/>
            <w:vAlign w:val="center"/>
          </w:tcPr>
          <w:p w:rsidR="00165E91" w:rsidRPr="00B013ED" w:rsidRDefault="00165E91" w:rsidP="00EC0AA1">
            <w:pPr>
              <w:jc w:val="center"/>
            </w:pPr>
            <w:r w:rsidRPr="00B013ED">
              <w:t>5.0</w:t>
            </w:r>
          </w:p>
        </w:tc>
      </w:tr>
      <w:tr w:rsidR="00165E91" w:rsidRPr="00B013ED" w:rsidTr="006747E2">
        <w:trPr>
          <w:trHeight w:val="518"/>
        </w:trPr>
        <w:tc>
          <w:tcPr>
            <w:tcW w:w="4538" w:type="dxa"/>
            <w:tcBorders>
              <w:top w:val="single" w:sz="6" w:space="0" w:color="000000"/>
              <w:bottom w:val="single" w:sz="6" w:space="0" w:color="000000"/>
              <w:right w:val="single" w:sz="6" w:space="0" w:color="000000"/>
            </w:tcBorders>
            <w:shd w:val="clear" w:color="auto" w:fill="FDE9D9" w:themeFill="accent6" w:themeFillTint="33"/>
            <w:vAlign w:val="center"/>
          </w:tcPr>
          <w:p w:rsidR="00165E91" w:rsidRPr="00B013ED" w:rsidRDefault="00165E91" w:rsidP="00EC0AA1">
            <w:pPr>
              <w:jc w:val="center"/>
            </w:pPr>
            <w:r w:rsidRPr="00B013ED">
              <w:t>Agar</w:t>
            </w:r>
          </w:p>
        </w:tc>
        <w:tc>
          <w:tcPr>
            <w:tcW w:w="4081" w:type="dxa"/>
            <w:tcBorders>
              <w:top w:val="single" w:sz="6" w:space="0" w:color="000000"/>
              <w:left w:val="single" w:sz="6" w:space="0" w:color="000000"/>
              <w:bottom w:val="single" w:sz="6" w:space="0" w:color="000000"/>
            </w:tcBorders>
            <w:shd w:val="clear" w:color="auto" w:fill="F2F2F2" w:themeFill="background1" w:themeFillShade="F2"/>
            <w:vAlign w:val="center"/>
          </w:tcPr>
          <w:p w:rsidR="00165E91" w:rsidRPr="00B013ED" w:rsidRDefault="00165E91" w:rsidP="00EC0AA1">
            <w:pPr>
              <w:jc w:val="center"/>
            </w:pPr>
            <w:r w:rsidRPr="00B013ED">
              <w:t>15.0</w:t>
            </w:r>
          </w:p>
        </w:tc>
      </w:tr>
    </w:tbl>
    <w:p w:rsidR="00165E91" w:rsidRPr="00B013ED" w:rsidRDefault="00165E91" w:rsidP="00165E91">
      <w:pPr>
        <w:spacing w:after="120" w:line="480" w:lineRule="auto"/>
        <w:jc w:val="both"/>
        <w:rPr>
          <w:rFonts w:eastAsia="Times New Roman" w:cstheme="minorBidi"/>
          <w:lang w:val="en-US" w:eastAsia="en-GB"/>
        </w:rPr>
      </w:pPr>
    </w:p>
    <w:p w:rsidR="00442D4B" w:rsidRPr="00551CE8" w:rsidRDefault="00442D4B" w:rsidP="00442D4B">
      <w:pPr>
        <w:spacing w:after="120" w:line="480" w:lineRule="auto"/>
        <w:jc w:val="both"/>
        <w:rPr>
          <w:rFonts w:eastAsia="Times New Roman" w:cstheme="minorBidi"/>
          <w:lang w:val="en-US" w:eastAsia="en-GB"/>
        </w:rPr>
      </w:pPr>
      <w:r w:rsidRPr="00B013ED">
        <w:rPr>
          <w:rFonts w:eastAsia="Times New Roman" w:cstheme="minorBidi"/>
          <w:lang w:val="en-US" w:eastAsia="en-GB"/>
        </w:rPr>
        <w:t xml:space="preserve">Store prepared media below 8°C, protected from direct light. Prepared media should not be used if there are signs of contamination or deterioration (shrinking, cracking, evaporation or </w:t>
      </w:r>
      <w:r>
        <w:rPr>
          <w:rFonts w:eastAsia="Times New Roman" w:cstheme="minorBidi"/>
          <w:lang w:val="en-US" w:eastAsia="en-GB"/>
        </w:rPr>
        <w:t>discolouration</w:t>
      </w:r>
      <w:r w:rsidRPr="00B013ED">
        <w:rPr>
          <w:rFonts w:eastAsia="Times New Roman" w:cstheme="minorBidi"/>
          <w:lang w:val="en-US" w:eastAsia="en-GB"/>
        </w:rPr>
        <w:t>). Store dehydrated powder, in a dry place, in tightly-sealed containers at 2-25°C.</w:t>
      </w:r>
    </w:p>
    <w:p w:rsidR="00165E91" w:rsidRPr="00B013ED" w:rsidRDefault="00165E91" w:rsidP="00582CC5">
      <w:pPr>
        <w:pStyle w:val="Heading3"/>
        <w:spacing w:line="480" w:lineRule="auto"/>
        <w:rPr>
          <w:rFonts w:eastAsia="Times New Roman"/>
          <w:lang w:val="en-US" w:eastAsia="en-GB"/>
        </w:rPr>
      </w:pPr>
      <w:bookmarkStart w:id="496" w:name="_Toc370819279"/>
      <w:r w:rsidRPr="00B013ED">
        <w:rPr>
          <w:rFonts w:eastAsia="Times New Roman"/>
          <w:lang w:eastAsia="en-GB"/>
        </w:rPr>
        <w:t>Brain Heart Infusion (BHI)</w:t>
      </w:r>
      <w:bookmarkEnd w:id="496"/>
      <w:r w:rsidRPr="00B013ED">
        <w:rPr>
          <w:rFonts w:eastAsia="Times New Roman"/>
          <w:lang w:val="en-US" w:eastAsia="en-GB"/>
        </w:rPr>
        <w:t xml:space="preserve"> </w:t>
      </w:r>
    </w:p>
    <w:p w:rsidR="00165E91" w:rsidRPr="00B013ED" w:rsidRDefault="00165E91" w:rsidP="00582CC5">
      <w:pPr>
        <w:spacing w:after="120" w:line="480" w:lineRule="auto"/>
        <w:jc w:val="both"/>
        <w:rPr>
          <w:rFonts w:eastAsia="Times New Roman" w:cstheme="minorBidi"/>
          <w:b/>
          <w:bCs/>
          <w:lang w:val="en-US" w:eastAsia="en-GB"/>
        </w:rPr>
      </w:pPr>
      <w:r w:rsidRPr="00B013ED">
        <w:rPr>
          <w:rFonts w:eastAsia="Times New Roman" w:cstheme="minorBidi"/>
          <w:lang w:eastAsia="en-GB"/>
        </w:rPr>
        <w:t xml:space="preserve">Brain Heart Infusion (BHI) is a general-purpose liquid medium used in the cultivation of fastidious and nonfastidious microorganisms, including aerobic and anaerobic bacteria, from a variety of clinical and nonclinical materials. However for </w:t>
      </w:r>
      <w:r w:rsidR="00EC0AA1" w:rsidRPr="00B013ED">
        <w:rPr>
          <w:rFonts w:eastAsia="Times New Roman" w:cstheme="minorBidi"/>
          <w:lang w:eastAsia="en-GB"/>
        </w:rPr>
        <w:t>culturing anaerobic</w:t>
      </w:r>
      <w:r w:rsidRPr="00B013ED">
        <w:rPr>
          <w:rFonts w:eastAsia="Times New Roman" w:cstheme="minorBidi"/>
          <w:lang w:eastAsia="en-GB"/>
        </w:rPr>
        <w:t xml:space="preserve"> bacteria Haemin and menadione were added to Brain Heart Infusion at a final concentration of </w:t>
      </w:r>
      <w:proofErr w:type="gramStart"/>
      <w:r w:rsidRPr="00B013ED">
        <w:rPr>
          <w:rFonts w:eastAsia="Times New Roman" w:cstheme="minorBidi"/>
          <w:lang w:eastAsia="en-GB"/>
        </w:rPr>
        <w:t>5 µg/ml</w:t>
      </w:r>
      <w:proofErr w:type="gramEnd"/>
      <w:r w:rsidRPr="00B013ED">
        <w:rPr>
          <w:rFonts w:eastAsia="Times New Roman" w:cstheme="minorBidi"/>
          <w:lang w:eastAsia="en-GB"/>
        </w:rPr>
        <w:t xml:space="preserve"> and 1 µg/µl respectively (BHI + H + M)</w:t>
      </w:r>
      <w:r w:rsidRPr="00B013ED">
        <w:rPr>
          <w:rFonts w:eastAsia="Times New Roman" w:cstheme="minorBidi"/>
          <w:lang w:val="en-US" w:eastAsia="en-GB"/>
        </w:rPr>
        <w:t>.</w:t>
      </w:r>
      <w:r w:rsidRPr="00B013ED">
        <w:rPr>
          <w:rFonts w:eastAsia="Times New Roman" w:cstheme="minorBidi"/>
          <w:b/>
          <w:bCs/>
          <w:lang w:val="en-US" w:eastAsia="en-GB"/>
        </w:rPr>
        <w:t xml:space="preserve"> </w:t>
      </w:r>
    </w:p>
    <w:p w:rsidR="006747E2" w:rsidRDefault="006747E2">
      <w:pPr>
        <w:rPr>
          <w:rFonts w:eastAsiaTheme="majorEastAsia"/>
          <w:b/>
          <w:bCs/>
          <w:sz w:val="32"/>
          <w:szCs w:val="26"/>
          <w:lang w:eastAsia="en-GB"/>
        </w:rPr>
      </w:pPr>
      <w:r>
        <w:br w:type="page"/>
      </w:r>
    </w:p>
    <w:p w:rsidR="00165E91" w:rsidRPr="00B013ED" w:rsidRDefault="00442D4B" w:rsidP="002B54A2">
      <w:pPr>
        <w:pStyle w:val="Heading2"/>
      </w:pPr>
      <w:bookmarkStart w:id="497" w:name="_Toc370819280"/>
      <w:r>
        <w:lastRenderedPageBreak/>
        <w:t>Preparation of m</w:t>
      </w:r>
      <w:r w:rsidR="00165E91" w:rsidRPr="00B013ED">
        <w:t>ineral trioxide aggregate MTA</w:t>
      </w:r>
      <w:bookmarkEnd w:id="497"/>
    </w:p>
    <w:p w:rsidR="00442D4B" w:rsidRPr="00B013ED" w:rsidRDefault="00442D4B" w:rsidP="00442D4B">
      <w:pPr>
        <w:autoSpaceDE w:val="0"/>
        <w:autoSpaceDN w:val="0"/>
        <w:adjustRightInd w:val="0"/>
        <w:spacing w:line="480" w:lineRule="auto"/>
        <w:rPr>
          <w:rFonts w:cstheme="minorBidi"/>
          <w:bCs/>
          <w:color w:val="000000" w:themeColor="text1"/>
        </w:rPr>
      </w:pPr>
      <w:r w:rsidRPr="00B013ED">
        <w:rPr>
          <w:rFonts w:cstheme="minorBidi"/>
          <w:bCs/>
          <w:color w:val="000000" w:themeColor="text1"/>
        </w:rPr>
        <w:t xml:space="preserve">A pack containing one gram of powder of MTA was mixed with sterile water as per the </w:t>
      </w:r>
      <w:r w:rsidR="00EC0AA1" w:rsidRPr="00B013ED">
        <w:rPr>
          <w:rFonts w:cstheme="minorBidi"/>
          <w:bCs/>
          <w:color w:val="000000" w:themeColor="text1"/>
        </w:rPr>
        <w:t>manufacturer’s instructions</w:t>
      </w:r>
      <w:r w:rsidRPr="00B013ED">
        <w:rPr>
          <w:rFonts w:cstheme="minorBidi"/>
          <w:bCs/>
          <w:color w:val="000000" w:themeColor="text1"/>
        </w:rPr>
        <w:t xml:space="preserve"> in a ratio </w:t>
      </w:r>
      <w:r w:rsidR="00EC0AA1" w:rsidRPr="00B013ED">
        <w:rPr>
          <w:rFonts w:cstheme="minorBidi"/>
          <w:bCs/>
          <w:color w:val="000000" w:themeColor="text1"/>
        </w:rPr>
        <w:t>of 3:1</w:t>
      </w:r>
      <w:r w:rsidRPr="00B013ED">
        <w:rPr>
          <w:rFonts w:cstheme="minorBidi"/>
          <w:bCs/>
          <w:color w:val="000000" w:themeColor="text1"/>
        </w:rPr>
        <w:t>. This mix was loaded in a syringe with</w:t>
      </w:r>
      <w:r>
        <w:rPr>
          <w:rFonts w:cstheme="minorBidi"/>
          <w:bCs/>
          <w:color w:val="000000" w:themeColor="text1"/>
        </w:rPr>
        <w:t xml:space="preserve"> a</w:t>
      </w:r>
      <w:r w:rsidRPr="00B013ED">
        <w:rPr>
          <w:rFonts w:cstheme="minorBidi"/>
          <w:bCs/>
          <w:color w:val="000000" w:themeColor="text1"/>
        </w:rPr>
        <w:t xml:space="preserve"> large gauge (19 mm) to facilitate insertion of this material into the culture plate.   </w:t>
      </w:r>
    </w:p>
    <w:p w:rsidR="000A7A6B" w:rsidRPr="000A7A6B" w:rsidRDefault="000A7A6B" w:rsidP="002B54A2">
      <w:pPr>
        <w:pStyle w:val="Heading2"/>
      </w:pPr>
      <w:bookmarkStart w:id="498" w:name="_Toc370819281"/>
      <w:r w:rsidRPr="000A7A6B">
        <w:t>Preparation of NSCH has been described in chapter 2</w:t>
      </w:r>
      <w:bookmarkEnd w:id="498"/>
    </w:p>
    <w:p w:rsidR="00165E91" w:rsidRPr="00B013ED" w:rsidRDefault="00165E91" w:rsidP="002B54A2">
      <w:pPr>
        <w:pStyle w:val="Heading2"/>
      </w:pPr>
      <w:bookmarkStart w:id="499" w:name="_Toc370819282"/>
      <w:r w:rsidRPr="00B013ED">
        <w:t>Preparation of antibiotics:</w:t>
      </w:r>
      <w:bookmarkEnd w:id="499"/>
    </w:p>
    <w:p w:rsidR="00442D4B" w:rsidRPr="00B013ED" w:rsidRDefault="00442D4B" w:rsidP="00442D4B">
      <w:pPr>
        <w:spacing w:after="120" w:line="480" w:lineRule="auto"/>
        <w:jc w:val="both"/>
        <w:rPr>
          <w:rFonts w:eastAsia="Times New Roman" w:cstheme="minorBidi"/>
          <w:lang w:eastAsia="en-GB"/>
        </w:rPr>
      </w:pPr>
      <w:r w:rsidRPr="00B013ED">
        <w:rPr>
          <w:rFonts w:eastAsia="Times New Roman" w:cstheme="minorBidi"/>
          <w:lang w:eastAsia="en-GB"/>
        </w:rPr>
        <w:t>The antibiotics for this experiment were used individually and also used in mixtures as described below:</w:t>
      </w:r>
    </w:p>
    <w:p w:rsidR="00442D4B" w:rsidRPr="00B013ED" w:rsidRDefault="00442D4B" w:rsidP="00442D4B">
      <w:pPr>
        <w:numPr>
          <w:ilvl w:val="0"/>
          <w:numId w:val="74"/>
        </w:numPr>
        <w:spacing w:after="120" w:line="480" w:lineRule="auto"/>
        <w:contextualSpacing/>
        <w:jc w:val="both"/>
        <w:rPr>
          <w:rFonts w:eastAsia="Calibri" w:cstheme="minorBidi"/>
          <w:szCs w:val="22"/>
        </w:rPr>
      </w:pPr>
      <w:r w:rsidRPr="00B013ED">
        <w:rPr>
          <w:rFonts w:eastAsia="Calibri" w:cstheme="minorBidi"/>
          <w:szCs w:val="22"/>
        </w:rPr>
        <w:t>Metronidazol</w:t>
      </w:r>
      <w:r>
        <w:rPr>
          <w:rFonts w:eastAsia="Calibri" w:cstheme="minorBidi"/>
          <w:szCs w:val="22"/>
        </w:rPr>
        <w:t>e</w:t>
      </w:r>
      <w:r w:rsidRPr="00B013ED">
        <w:rPr>
          <w:rFonts w:eastAsia="Calibri" w:cstheme="minorBidi"/>
          <w:szCs w:val="22"/>
        </w:rPr>
        <w:t xml:space="preserve"> 50%. 50mg/ml.</w:t>
      </w:r>
    </w:p>
    <w:p w:rsidR="00442D4B" w:rsidRPr="00B013ED" w:rsidRDefault="00442D4B" w:rsidP="00442D4B">
      <w:pPr>
        <w:numPr>
          <w:ilvl w:val="0"/>
          <w:numId w:val="74"/>
        </w:numPr>
        <w:spacing w:after="120" w:line="480" w:lineRule="auto"/>
        <w:contextualSpacing/>
        <w:jc w:val="both"/>
        <w:rPr>
          <w:rFonts w:eastAsia="Calibri" w:cstheme="minorBidi"/>
          <w:szCs w:val="22"/>
        </w:rPr>
      </w:pPr>
      <w:r w:rsidRPr="00B013ED">
        <w:rPr>
          <w:rFonts w:eastAsia="Calibri" w:cstheme="minorBidi"/>
          <w:szCs w:val="22"/>
        </w:rPr>
        <w:t>Ciprofloxacin 50%. 50mg/ml.</w:t>
      </w:r>
    </w:p>
    <w:p w:rsidR="00442D4B" w:rsidRPr="00B013ED" w:rsidRDefault="00442D4B" w:rsidP="00442D4B">
      <w:pPr>
        <w:numPr>
          <w:ilvl w:val="0"/>
          <w:numId w:val="74"/>
        </w:numPr>
        <w:spacing w:after="120" w:line="480" w:lineRule="auto"/>
        <w:contextualSpacing/>
        <w:jc w:val="both"/>
        <w:rPr>
          <w:rFonts w:eastAsia="Calibri" w:cstheme="minorBidi"/>
          <w:szCs w:val="22"/>
        </w:rPr>
      </w:pPr>
      <w:r w:rsidRPr="00B013ED">
        <w:rPr>
          <w:rFonts w:eastAsia="Calibri" w:cstheme="minorBidi"/>
          <w:szCs w:val="22"/>
        </w:rPr>
        <w:t>Minocycline 50%.  50mg/ml.</w:t>
      </w:r>
    </w:p>
    <w:p w:rsidR="00442D4B" w:rsidRPr="00B013ED" w:rsidRDefault="00442D4B" w:rsidP="00442D4B">
      <w:pPr>
        <w:numPr>
          <w:ilvl w:val="0"/>
          <w:numId w:val="74"/>
        </w:numPr>
        <w:spacing w:after="120" w:line="480" w:lineRule="auto"/>
        <w:contextualSpacing/>
        <w:jc w:val="both"/>
        <w:rPr>
          <w:rFonts w:eastAsia="Calibri" w:cstheme="minorBidi"/>
          <w:szCs w:val="22"/>
        </w:rPr>
      </w:pPr>
      <w:r w:rsidRPr="00B013ED">
        <w:rPr>
          <w:rFonts w:eastAsia="Calibri" w:cstheme="minorBidi"/>
          <w:szCs w:val="22"/>
        </w:rPr>
        <w:t>Metronidazol</w:t>
      </w:r>
      <w:r>
        <w:rPr>
          <w:rFonts w:eastAsia="Calibri" w:cstheme="minorBidi"/>
          <w:szCs w:val="22"/>
        </w:rPr>
        <w:t>e</w:t>
      </w:r>
      <w:r w:rsidRPr="00B013ED">
        <w:rPr>
          <w:rFonts w:eastAsia="Calibri" w:cstheme="minorBidi"/>
          <w:szCs w:val="22"/>
        </w:rPr>
        <w:t xml:space="preserve"> + Ciprofloxacin 50%. 50mg/ml.</w:t>
      </w:r>
    </w:p>
    <w:p w:rsidR="00442D4B" w:rsidRPr="00B013ED" w:rsidRDefault="00442D4B" w:rsidP="00442D4B">
      <w:pPr>
        <w:numPr>
          <w:ilvl w:val="0"/>
          <w:numId w:val="74"/>
        </w:numPr>
        <w:spacing w:after="120" w:line="480" w:lineRule="auto"/>
        <w:contextualSpacing/>
        <w:jc w:val="both"/>
        <w:rPr>
          <w:rFonts w:eastAsia="Calibri" w:cstheme="minorBidi"/>
          <w:szCs w:val="22"/>
        </w:rPr>
      </w:pPr>
      <w:r w:rsidRPr="00B013ED">
        <w:rPr>
          <w:rFonts w:eastAsia="Calibri" w:cstheme="minorBidi"/>
          <w:szCs w:val="22"/>
        </w:rPr>
        <w:t>Metronidazol</w:t>
      </w:r>
      <w:r>
        <w:rPr>
          <w:rFonts w:eastAsia="Calibri" w:cstheme="minorBidi"/>
          <w:szCs w:val="22"/>
        </w:rPr>
        <w:t>e</w:t>
      </w:r>
      <w:r w:rsidRPr="00B013ED">
        <w:rPr>
          <w:rFonts w:eastAsia="Calibri" w:cstheme="minorBidi"/>
          <w:szCs w:val="22"/>
        </w:rPr>
        <w:t xml:space="preserve"> + Ciprofloxacin + Minocycline 50%. 50mg/ml.</w:t>
      </w:r>
    </w:p>
    <w:p w:rsidR="000A7A6B" w:rsidRDefault="000A7A6B">
      <w:pPr>
        <w:rPr>
          <w:rFonts w:eastAsiaTheme="majorEastAsia"/>
          <w:b/>
          <w:bCs/>
          <w:sz w:val="32"/>
          <w:szCs w:val="26"/>
          <w:lang w:eastAsia="en-GB"/>
        </w:rPr>
      </w:pPr>
      <w:r>
        <w:rPr>
          <w:lang w:eastAsia="en-GB"/>
        </w:rPr>
        <w:br w:type="page"/>
      </w:r>
    </w:p>
    <w:p w:rsidR="00165E91" w:rsidRPr="00B013ED" w:rsidRDefault="00165E91" w:rsidP="002B54A2">
      <w:pPr>
        <w:pStyle w:val="Heading2"/>
      </w:pPr>
      <w:bookmarkStart w:id="500" w:name="_Toc370819283"/>
      <w:r w:rsidRPr="00B013ED">
        <w:lastRenderedPageBreak/>
        <w:t>Preparation of inoculums (Bacteria growth)</w:t>
      </w:r>
      <w:bookmarkEnd w:id="500"/>
    </w:p>
    <w:p w:rsidR="00165E91" w:rsidRPr="00B013ED" w:rsidRDefault="00165E91" w:rsidP="00582CC5">
      <w:pPr>
        <w:spacing w:after="120" w:line="480" w:lineRule="auto"/>
        <w:jc w:val="both"/>
        <w:rPr>
          <w:rFonts w:eastAsia="Times New Roman" w:cstheme="minorBidi"/>
          <w:bCs/>
          <w:color w:val="000000"/>
          <w:lang w:eastAsia="en-GB"/>
        </w:rPr>
      </w:pPr>
      <w:r w:rsidRPr="00B013ED">
        <w:rPr>
          <w:rFonts w:eastAsia="Times New Roman" w:cstheme="minorBidi"/>
          <w:bCs/>
          <w:color w:val="000000"/>
          <w:lang w:eastAsia="en-GB"/>
        </w:rPr>
        <w:t xml:space="preserve">Bacterial strains were stored at -80°C in 30% (v/v) sterile glycerol. During the experimental period all cultures were maintained on plates of Columbia Blood Agar (CBA) (Oxoid, Basingstoke, </w:t>
      </w:r>
      <w:proofErr w:type="gramStart"/>
      <w:r w:rsidRPr="00B013ED">
        <w:rPr>
          <w:rFonts w:eastAsia="Times New Roman" w:cstheme="minorBidi"/>
          <w:bCs/>
          <w:color w:val="000000"/>
          <w:lang w:eastAsia="en-GB"/>
        </w:rPr>
        <w:t>Uk</w:t>
      </w:r>
      <w:proofErr w:type="gramEnd"/>
      <w:r w:rsidRPr="00B013ED">
        <w:rPr>
          <w:rFonts w:eastAsia="Times New Roman" w:cstheme="minorBidi"/>
          <w:bCs/>
          <w:color w:val="000000"/>
          <w:lang w:eastAsia="en-GB"/>
        </w:rPr>
        <w:t>) comprising of Columbia agar base plu</w:t>
      </w:r>
      <w:r w:rsidR="00DE50A2">
        <w:rPr>
          <w:rFonts w:eastAsia="Times New Roman" w:cstheme="minorBidi"/>
          <w:bCs/>
          <w:color w:val="000000"/>
          <w:lang w:eastAsia="en-GB"/>
        </w:rPr>
        <w:t>s 5% (v/v) sterile horse blood.</w:t>
      </w:r>
    </w:p>
    <w:p w:rsidR="00165E91" w:rsidRPr="00B013ED" w:rsidRDefault="00165E91" w:rsidP="00582CC5">
      <w:pPr>
        <w:pStyle w:val="Heading3"/>
        <w:spacing w:line="480" w:lineRule="auto"/>
        <w:rPr>
          <w:rFonts w:eastAsia="Times New Roman"/>
          <w:lang w:eastAsia="en-GB"/>
        </w:rPr>
      </w:pPr>
      <w:bookmarkStart w:id="501" w:name="_Toc370819284"/>
      <w:r w:rsidRPr="00B013ED">
        <w:rPr>
          <w:rFonts w:eastAsia="Times New Roman"/>
          <w:lang w:eastAsia="en-GB"/>
        </w:rPr>
        <w:t>Growth of Anaerobic bacteria</w:t>
      </w:r>
      <w:bookmarkEnd w:id="501"/>
    </w:p>
    <w:p w:rsidR="00442D4B" w:rsidRPr="00B013ED" w:rsidRDefault="00442D4B" w:rsidP="00442D4B">
      <w:pPr>
        <w:spacing w:after="120" w:line="480" w:lineRule="auto"/>
        <w:jc w:val="both"/>
        <w:rPr>
          <w:rFonts w:eastAsia="Times New Roman" w:cstheme="minorBidi"/>
          <w:bCs/>
          <w:color w:val="000000"/>
          <w:lang w:eastAsia="en-GB"/>
        </w:rPr>
      </w:pPr>
      <w:r w:rsidRPr="00B013ED">
        <w:rPr>
          <w:rFonts w:eastAsia="Times New Roman" w:cstheme="minorBidi"/>
          <w:bCs/>
          <w:color w:val="000000"/>
          <w:lang w:eastAsia="en-GB"/>
        </w:rPr>
        <w:t xml:space="preserve">Two days prior </w:t>
      </w:r>
      <w:r>
        <w:rPr>
          <w:rFonts w:eastAsia="Times New Roman" w:cstheme="minorBidi"/>
          <w:bCs/>
          <w:color w:val="000000"/>
          <w:lang w:eastAsia="en-GB"/>
        </w:rPr>
        <w:t xml:space="preserve">to the </w:t>
      </w:r>
      <w:r w:rsidRPr="00B013ED">
        <w:rPr>
          <w:rFonts w:eastAsia="Times New Roman" w:cstheme="minorBidi"/>
          <w:bCs/>
          <w:color w:val="000000"/>
          <w:lang w:eastAsia="en-GB"/>
        </w:rPr>
        <w:t>start of experiments, a loopfull of each culture was suspended in 10ml sterile pre-reduced Brain Heart Infusion (BHI) broth containing 5 mg ml</w:t>
      </w:r>
      <w:r w:rsidRPr="00B013ED">
        <w:rPr>
          <w:rFonts w:eastAsia="Times New Roman" w:cstheme="minorBidi"/>
          <w:bCs/>
          <w:color w:val="000000"/>
          <w:vertAlign w:val="superscript"/>
          <w:lang w:eastAsia="en-GB"/>
        </w:rPr>
        <w:t>-1</w:t>
      </w:r>
      <w:r w:rsidRPr="00B013ED">
        <w:rPr>
          <w:rFonts w:eastAsia="Times New Roman" w:cstheme="minorBidi"/>
          <w:bCs/>
          <w:color w:val="000000"/>
          <w:lang w:eastAsia="en-GB"/>
        </w:rPr>
        <w:t xml:space="preserve">  haemin and incubated again overnight at 37°C in an anaerobic cabinet under 80% N</w:t>
      </w:r>
      <w:r w:rsidRPr="00B013ED">
        <w:rPr>
          <w:rFonts w:eastAsia="Times New Roman" w:cstheme="minorBidi"/>
          <w:bCs/>
          <w:color w:val="000000"/>
          <w:vertAlign w:val="subscript"/>
          <w:lang w:eastAsia="en-GB"/>
        </w:rPr>
        <w:t>2</w:t>
      </w:r>
      <w:r w:rsidRPr="00B013ED">
        <w:rPr>
          <w:rFonts w:eastAsia="Times New Roman" w:cstheme="minorBidi"/>
          <w:bCs/>
          <w:color w:val="000000"/>
          <w:lang w:eastAsia="en-GB"/>
        </w:rPr>
        <w:t>, 10% H</w:t>
      </w:r>
      <w:r w:rsidRPr="00B013ED">
        <w:rPr>
          <w:rFonts w:eastAsia="Times New Roman" w:cstheme="minorBidi"/>
          <w:bCs/>
          <w:color w:val="000000"/>
          <w:vertAlign w:val="subscript"/>
          <w:lang w:eastAsia="en-GB"/>
        </w:rPr>
        <w:t>2</w:t>
      </w:r>
      <w:r w:rsidRPr="00B013ED">
        <w:rPr>
          <w:rFonts w:eastAsia="Times New Roman" w:cstheme="minorBidi"/>
          <w:bCs/>
          <w:color w:val="000000"/>
          <w:lang w:eastAsia="en-GB"/>
        </w:rPr>
        <w:t xml:space="preserve"> 10% CO</w:t>
      </w:r>
      <w:r w:rsidRPr="00B013ED">
        <w:rPr>
          <w:rFonts w:eastAsia="Times New Roman" w:cstheme="minorBidi"/>
          <w:bCs/>
          <w:color w:val="000000"/>
          <w:vertAlign w:val="subscript"/>
          <w:lang w:eastAsia="en-GB"/>
        </w:rPr>
        <w:t>2</w:t>
      </w:r>
      <w:r w:rsidRPr="00B013ED">
        <w:rPr>
          <w:rFonts w:eastAsia="Times New Roman" w:cstheme="minorBidi"/>
          <w:bCs/>
          <w:color w:val="000000"/>
          <w:lang w:eastAsia="en-GB"/>
        </w:rPr>
        <w:t>.</w:t>
      </w:r>
    </w:p>
    <w:p w:rsidR="00442D4B" w:rsidRPr="00B013ED" w:rsidRDefault="00442D4B" w:rsidP="00442D4B">
      <w:pPr>
        <w:spacing w:after="120" w:line="480" w:lineRule="auto"/>
        <w:jc w:val="both"/>
        <w:rPr>
          <w:rFonts w:eastAsia="Times New Roman" w:cstheme="minorBidi"/>
          <w:bCs/>
          <w:color w:val="000000"/>
          <w:lang w:eastAsia="en-GB"/>
        </w:rPr>
      </w:pPr>
      <w:r w:rsidRPr="00B013ED">
        <w:rPr>
          <w:rFonts w:eastAsia="Times New Roman" w:cstheme="minorBidi"/>
          <w:b/>
          <w:bCs/>
          <w:color w:val="000000"/>
          <w:lang w:eastAsia="en-GB"/>
        </w:rPr>
        <w:t xml:space="preserve">NB </w:t>
      </w:r>
      <w:r w:rsidRPr="00B013ED">
        <w:rPr>
          <w:rFonts w:eastAsia="Times New Roman" w:cstheme="minorBidi"/>
          <w:bCs/>
          <w:color w:val="000000"/>
          <w:lang w:eastAsia="en-GB"/>
        </w:rPr>
        <w:t>for bacteria requiring H</w:t>
      </w:r>
      <w:r w:rsidR="00DC0870">
        <w:rPr>
          <w:rFonts w:eastAsia="Times New Roman" w:cstheme="minorBidi"/>
          <w:bCs/>
          <w:color w:val="000000"/>
          <w:lang w:eastAsia="en-GB"/>
        </w:rPr>
        <w:t>a</w:t>
      </w:r>
      <w:r w:rsidRPr="00B013ED">
        <w:rPr>
          <w:rFonts w:eastAsia="Times New Roman" w:cstheme="minorBidi"/>
          <w:bCs/>
          <w:color w:val="000000"/>
          <w:lang w:eastAsia="en-GB"/>
        </w:rPr>
        <w:t>emin 1 ml of h</w:t>
      </w:r>
      <w:r w:rsidR="00DC0870">
        <w:rPr>
          <w:rFonts w:eastAsia="Times New Roman" w:cstheme="minorBidi"/>
          <w:bCs/>
          <w:color w:val="000000"/>
          <w:lang w:eastAsia="en-GB"/>
        </w:rPr>
        <w:t>a</w:t>
      </w:r>
      <w:r w:rsidRPr="00B013ED">
        <w:rPr>
          <w:rFonts w:eastAsia="Times New Roman" w:cstheme="minorBidi"/>
          <w:bCs/>
          <w:color w:val="000000"/>
          <w:lang w:eastAsia="en-GB"/>
        </w:rPr>
        <w:t>emin stock solution (1mg/ml</w:t>
      </w:r>
      <w:r w:rsidRPr="00B013ED">
        <w:rPr>
          <w:rFonts w:eastAsia="Times New Roman" w:cstheme="minorBidi"/>
          <w:bCs/>
          <w:color w:val="000000"/>
          <w:vertAlign w:val="superscript"/>
          <w:lang w:eastAsia="en-GB"/>
        </w:rPr>
        <w:t xml:space="preserve">-1 </w:t>
      </w:r>
      <w:r w:rsidRPr="00B013ED">
        <w:rPr>
          <w:rFonts w:eastAsia="Times New Roman" w:cstheme="minorBidi"/>
          <w:bCs/>
          <w:color w:val="000000"/>
          <w:lang w:eastAsia="en-GB"/>
        </w:rPr>
        <w:t>was added to BHI (7.5 mg BHI powder in 200ml de-ionised water)</w:t>
      </w:r>
      <w:r>
        <w:rPr>
          <w:rFonts w:eastAsia="Times New Roman" w:cstheme="minorBidi"/>
          <w:bCs/>
          <w:color w:val="000000"/>
          <w:lang w:eastAsia="en-GB"/>
        </w:rPr>
        <w:t>.</w:t>
      </w:r>
    </w:p>
    <w:p w:rsidR="00442D4B" w:rsidRPr="00B013ED" w:rsidRDefault="00442D4B" w:rsidP="00442D4B">
      <w:pPr>
        <w:spacing w:after="120" w:line="480" w:lineRule="auto"/>
        <w:jc w:val="both"/>
        <w:rPr>
          <w:rFonts w:eastAsia="Times New Roman" w:cstheme="minorBidi"/>
          <w:bCs/>
          <w:color w:val="000000"/>
          <w:lang w:eastAsia="en-GB"/>
        </w:rPr>
      </w:pPr>
      <w:r w:rsidRPr="00B013ED">
        <w:rPr>
          <w:rFonts w:eastAsia="Times New Roman" w:cstheme="minorBidi"/>
          <w:bCs/>
          <w:color w:val="000000"/>
          <w:lang w:eastAsia="en-GB"/>
        </w:rPr>
        <w:t xml:space="preserve"> Media were pre-reduced by placing them in the anaerobic cabinet overnight prior to use.</w:t>
      </w:r>
    </w:p>
    <w:p w:rsidR="00165E91" w:rsidRPr="00B013ED" w:rsidRDefault="00165E91" w:rsidP="00582CC5">
      <w:pPr>
        <w:pStyle w:val="Heading3"/>
        <w:spacing w:line="480" w:lineRule="auto"/>
        <w:rPr>
          <w:rFonts w:eastAsia="Times New Roman"/>
          <w:lang w:eastAsia="en-GB"/>
        </w:rPr>
      </w:pPr>
      <w:bookmarkStart w:id="502" w:name="_Toc370819285"/>
      <w:r w:rsidRPr="00B013ED">
        <w:rPr>
          <w:rFonts w:eastAsia="Times New Roman"/>
          <w:lang w:eastAsia="en-GB"/>
        </w:rPr>
        <w:t>Growth preparation</w:t>
      </w:r>
      <w:bookmarkEnd w:id="502"/>
    </w:p>
    <w:p w:rsidR="00582CC5" w:rsidRPr="00840B8D" w:rsidRDefault="00165E91" w:rsidP="00EC0AA1">
      <w:pPr>
        <w:tabs>
          <w:tab w:val="left" w:pos="5081"/>
        </w:tabs>
        <w:spacing w:after="120" w:line="480" w:lineRule="auto"/>
        <w:jc w:val="both"/>
        <w:rPr>
          <w:rFonts w:eastAsia="Times New Roman" w:cstheme="minorBidi"/>
          <w:b/>
          <w:lang w:eastAsia="en-GB"/>
        </w:rPr>
      </w:pPr>
      <w:r w:rsidRPr="00B013ED">
        <w:rPr>
          <w:rFonts w:eastAsia="Times New Roman" w:cstheme="minorBidi"/>
          <w:lang w:eastAsia="en-GB"/>
        </w:rPr>
        <w:t xml:space="preserve">The respective test bacteria were grown in BHI broth. For the strict anaerobic bacteria broths were pre-reduced for 24 hours before inoculation. Test samples were produced by picking colonies of bacteria from the CBA plates with a </w:t>
      </w:r>
      <w:r w:rsidR="000A7A6B" w:rsidRPr="00B013ED">
        <w:rPr>
          <w:rFonts w:eastAsia="Times New Roman" w:cstheme="minorBidi"/>
          <w:lang w:eastAsia="en-GB"/>
        </w:rPr>
        <w:t>sterile wire</w:t>
      </w:r>
      <w:r w:rsidRPr="00B013ED">
        <w:rPr>
          <w:rFonts w:eastAsia="Times New Roman" w:cstheme="minorBidi"/>
          <w:lang w:eastAsia="en-GB"/>
        </w:rPr>
        <w:t xml:space="preserve"> loop and inoculating a 10ml BHI broth (+/- haemin as required). This suspension was then incubated overnight at 37</w:t>
      </w:r>
      <w:r w:rsidRPr="00B013ED">
        <w:rPr>
          <w:rFonts w:eastAsia="Times New Roman" w:cstheme="minorBidi"/>
          <w:vertAlign w:val="superscript"/>
          <w:lang w:eastAsia="en-GB"/>
        </w:rPr>
        <w:t>o</w:t>
      </w:r>
      <w:r w:rsidRPr="00B013ED">
        <w:rPr>
          <w:rFonts w:eastAsia="Times New Roman" w:cstheme="minorBidi"/>
          <w:lang w:eastAsia="en-GB"/>
        </w:rPr>
        <w:t xml:space="preserve">C under anaerobic conditions. Growth of bacteria was viable after overnight incubation as the suspension was added to fresh 10ml of BHI broth (+/- haemin as </w:t>
      </w:r>
      <w:r w:rsidRPr="00B013ED">
        <w:rPr>
          <w:rFonts w:eastAsia="Times New Roman" w:cstheme="minorBidi"/>
          <w:lang w:eastAsia="en-GB"/>
        </w:rPr>
        <w:lastRenderedPageBreak/>
        <w:t>required) and incubated overnight at 37</w:t>
      </w:r>
      <w:r w:rsidRPr="00B013ED">
        <w:rPr>
          <w:rFonts w:eastAsia="Times New Roman" w:cstheme="minorBidi"/>
          <w:vertAlign w:val="superscript"/>
          <w:lang w:eastAsia="en-GB"/>
        </w:rPr>
        <w:t>o</w:t>
      </w:r>
      <w:r w:rsidRPr="00B013ED">
        <w:rPr>
          <w:rFonts w:eastAsia="Times New Roman" w:cstheme="minorBidi"/>
          <w:lang w:eastAsia="en-GB"/>
        </w:rPr>
        <w:t xml:space="preserve">C under anaerobic conditions to produce a test </w:t>
      </w:r>
      <w:r w:rsidR="00DC0870" w:rsidRPr="00B013ED">
        <w:rPr>
          <w:rFonts w:eastAsia="Times New Roman" w:cstheme="minorBidi"/>
          <w:lang w:eastAsia="en-GB"/>
        </w:rPr>
        <w:t>suspension</w:t>
      </w:r>
      <w:r w:rsidRPr="00B013ED">
        <w:rPr>
          <w:rFonts w:eastAsia="Times New Roman" w:cstheme="minorBidi"/>
          <w:b/>
          <w:lang w:eastAsia="en-GB"/>
        </w:rPr>
        <w:tab/>
      </w:r>
    </w:p>
    <w:p w:rsidR="00165E91" w:rsidRPr="00B013ED" w:rsidRDefault="00165E91" w:rsidP="002B54A2">
      <w:pPr>
        <w:pStyle w:val="Heading2"/>
      </w:pPr>
      <w:bookmarkStart w:id="503" w:name="_Toc370819286"/>
      <w:r w:rsidRPr="00B013ED">
        <w:t>Description of the streaking technique for pure isolation of a bacterial strain</w:t>
      </w:r>
      <w:bookmarkEnd w:id="503"/>
    </w:p>
    <w:p w:rsidR="00165E91" w:rsidRPr="00B013ED" w:rsidRDefault="00165E91" w:rsidP="00E67E7F">
      <w:pPr>
        <w:numPr>
          <w:ilvl w:val="0"/>
          <w:numId w:val="73"/>
        </w:numPr>
        <w:spacing w:before="100" w:beforeAutospacing="1" w:after="100" w:afterAutospacing="1" w:line="480" w:lineRule="auto"/>
        <w:ind w:left="450"/>
        <w:jc w:val="both"/>
        <w:rPr>
          <w:rFonts w:eastAsia="Times New Roman" w:cstheme="minorBidi"/>
          <w:lang w:eastAsia="en-GB"/>
        </w:rPr>
      </w:pPr>
      <w:r w:rsidRPr="00B013ED">
        <w:rPr>
          <w:rFonts w:eastAsia="Times New Roman" w:cstheme="minorBidi"/>
          <w:lang w:eastAsia="en-GB"/>
        </w:rPr>
        <w:t xml:space="preserve">For aerobic bacteria, an inoculating loop was sterilised by placing it at an angle over a flame. For anaerobic bacteria, disposable loops were used which do not require flaming. </w:t>
      </w:r>
    </w:p>
    <w:p w:rsidR="00165E91" w:rsidRPr="00B013ED" w:rsidRDefault="00165E91" w:rsidP="00E67E7F">
      <w:pPr>
        <w:numPr>
          <w:ilvl w:val="0"/>
          <w:numId w:val="73"/>
        </w:numPr>
        <w:spacing w:before="100" w:beforeAutospacing="1" w:after="100" w:afterAutospacing="1" w:line="480" w:lineRule="auto"/>
        <w:jc w:val="both"/>
        <w:rPr>
          <w:rFonts w:eastAsia="Times New Roman" w:cstheme="minorBidi"/>
          <w:lang w:eastAsia="en-GB"/>
        </w:rPr>
      </w:pPr>
      <w:r w:rsidRPr="00B013ED">
        <w:rPr>
          <w:rFonts w:eastAsia="Times New Roman" w:cstheme="minorBidi"/>
          <w:lang w:eastAsia="en-GB"/>
        </w:rPr>
        <w:t xml:space="preserve">A colony of the experimental bacterium was picked and a loop used to transfer the bacteria to a new agar plate after the lid was lifted just enough to insert the loop. </w:t>
      </w:r>
    </w:p>
    <w:p w:rsidR="00165E91" w:rsidRPr="00B013ED" w:rsidRDefault="00165E91" w:rsidP="00E67E7F">
      <w:pPr>
        <w:numPr>
          <w:ilvl w:val="0"/>
          <w:numId w:val="73"/>
        </w:numPr>
        <w:spacing w:before="100" w:beforeAutospacing="1" w:after="100" w:afterAutospacing="1" w:line="480" w:lineRule="auto"/>
        <w:jc w:val="both"/>
        <w:rPr>
          <w:rFonts w:eastAsia="Times New Roman" w:cstheme="minorBidi"/>
          <w:lang w:eastAsia="en-GB"/>
        </w:rPr>
      </w:pPr>
      <w:r w:rsidRPr="00B013ED">
        <w:rPr>
          <w:rFonts w:eastAsia="Times New Roman" w:cstheme="minorBidi"/>
          <w:lang w:eastAsia="en-GB"/>
        </w:rPr>
        <w:t xml:space="preserve">The loop containing bacteria was streaked at the top end of the agar plate moving in a zig-zag horizontal pattern until 1/3 of the plate was covered. </w:t>
      </w:r>
    </w:p>
    <w:p w:rsidR="00165E91" w:rsidRPr="00A473CD" w:rsidRDefault="00165E91" w:rsidP="00A04E6A">
      <w:pPr>
        <w:spacing w:line="480" w:lineRule="auto"/>
        <w:jc w:val="both"/>
        <w:rPr>
          <w:rFonts w:cstheme="minorBidi"/>
          <w:noProof/>
          <w:szCs w:val="24"/>
        </w:rPr>
      </w:pPr>
      <w:r w:rsidRPr="00A473CD">
        <w:rPr>
          <w:rFonts w:eastAsia="Times New Roman" w:cstheme="minorBidi"/>
          <w:szCs w:val="24"/>
          <w:lang w:eastAsia="en-GB"/>
        </w:rPr>
        <w:t xml:space="preserve">The plate was rotated 60 degrees and the bacteria spread from the first streak into a second area using the edge of the agar away from the bacteria in the plate that was streaked. The plate was rotated another 60 degrees and the bacteria spread into a new area in the same pattern. The plate was lidded and incubated over night at </w:t>
      </w:r>
      <w:r w:rsidRPr="00A473CD">
        <w:rPr>
          <w:rFonts w:eastAsia="Times New Roman" w:cstheme="minorBidi"/>
          <w:color w:val="000000"/>
          <w:szCs w:val="24"/>
          <w:lang w:eastAsia="en-GB"/>
        </w:rPr>
        <w:t>37°C</w:t>
      </w:r>
      <w:r w:rsidRPr="00A04E6A">
        <w:t>.</w:t>
      </w:r>
      <w:r w:rsidR="003B6890" w:rsidRPr="00A04E6A">
        <w:t xml:space="preserve"> </w:t>
      </w:r>
      <w:r w:rsidR="00A04E6A">
        <w:t>(</w:t>
      </w:r>
      <w:r w:rsidR="00A04E6A" w:rsidRPr="00A04E6A">
        <w:rPr>
          <w:rStyle w:val="tableChar"/>
          <w:rFonts w:eastAsiaTheme="minorHAnsi"/>
          <w:szCs w:val="24"/>
        </w:rPr>
        <w:fldChar w:fldCharType="begin"/>
      </w:r>
      <w:r w:rsidR="00A04E6A" w:rsidRPr="00A04E6A">
        <w:rPr>
          <w:rStyle w:val="tableChar"/>
          <w:rFonts w:eastAsiaTheme="minorHAnsi"/>
          <w:szCs w:val="24"/>
        </w:rPr>
        <w:instrText xml:space="preserve"> REF _Ref362583124 \h  \* MERGEFORMAT </w:instrText>
      </w:r>
      <w:r w:rsidR="00A04E6A" w:rsidRPr="00A04E6A">
        <w:rPr>
          <w:rStyle w:val="tableChar"/>
          <w:rFonts w:eastAsiaTheme="minorHAnsi"/>
          <w:szCs w:val="24"/>
        </w:rPr>
      </w:r>
      <w:r w:rsidR="00A04E6A" w:rsidRPr="00A04E6A">
        <w:rPr>
          <w:rStyle w:val="tableChar"/>
          <w:rFonts w:eastAsiaTheme="minorHAnsi"/>
          <w:szCs w:val="24"/>
        </w:rPr>
        <w:fldChar w:fldCharType="separate"/>
      </w:r>
      <w:r w:rsidR="00374B77" w:rsidRPr="00374B77">
        <w:rPr>
          <w:rStyle w:val="tableChar"/>
          <w:rFonts w:eastAsiaTheme="minorHAnsi"/>
          <w:szCs w:val="24"/>
        </w:rPr>
        <w:t xml:space="preserve">Figure </w:t>
      </w:r>
      <w:r w:rsidR="00374B77" w:rsidRPr="00374B77">
        <w:rPr>
          <w:rStyle w:val="tableChar"/>
          <w:rFonts w:eastAsiaTheme="minorHAnsi"/>
          <w:szCs w:val="24"/>
          <w:cs/>
        </w:rPr>
        <w:t>‎</w:t>
      </w:r>
      <w:r w:rsidR="00374B77" w:rsidRPr="00374B77">
        <w:rPr>
          <w:rStyle w:val="tableChar"/>
          <w:rFonts w:eastAsiaTheme="minorHAnsi"/>
          <w:szCs w:val="24"/>
        </w:rPr>
        <w:t>3.3</w:t>
      </w:r>
      <w:r w:rsidR="00A04E6A" w:rsidRPr="00A04E6A">
        <w:rPr>
          <w:rStyle w:val="tableChar"/>
          <w:rFonts w:eastAsiaTheme="minorHAnsi"/>
          <w:szCs w:val="24"/>
        </w:rPr>
        <w:fldChar w:fldCharType="end"/>
      </w:r>
      <w:r w:rsidR="00A04E6A">
        <w:rPr>
          <w:rStyle w:val="tableChar"/>
          <w:rFonts w:eastAsiaTheme="minorHAnsi"/>
          <w:szCs w:val="24"/>
        </w:rPr>
        <w:t>)</w:t>
      </w:r>
    </w:p>
    <w:p w:rsidR="003B6890" w:rsidRPr="00551CE8" w:rsidRDefault="00165E91" w:rsidP="00551CE8">
      <w:pPr>
        <w:pStyle w:val="ListParagraph"/>
        <w:numPr>
          <w:ilvl w:val="0"/>
          <w:numId w:val="73"/>
        </w:numPr>
        <w:spacing w:after="0" w:line="480" w:lineRule="auto"/>
        <w:jc w:val="both"/>
        <w:rPr>
          <w:rFonts w:eastAsia="Times New Roman" w:cstheme="minorBidi"/>
          <w:bCs/>
          <w:lang w:eastAsia="en-GB"/>
        </w:rPr>
      </w:pPr>
      <w:r w:rsidRPr="00B013ED">
        <w:rPr>
          <w:rFonts w:eastAsia="Times New Roman" w:cstheme="minorBidi"/>
          <w:bCs/>
          <w:lang w:eastAsia="en-GB"/>
        </w:rPr>
        <w:t>The anaerobic bacteria took between 6 –7 days to grow after which the purity of the bacterial growth was checked to eliminate the possibility of contamination by other bacterial species.  The technique to check purity is described below</w:t>
      </w:r>
      <w:r w:rsidR="00BC62FB">
        <w:rPr>
          <w:rFonts w:eastAsia="Times New Roman" w:cstheme="minorBidi"/>
          <w:bCs/>
          <w:lang w:eastAsia="en-GB"/>
        </w:rPr>
        <w:t>.</w:t>
      </w:r>
      <w:r w:rsidRPr="00B013ED">
        <w:rPr>
          <w:rFonts w:eastAsia="Times New Roman" w:cstheme="minorBidi"/>
          <w:bCs/>
          <w:lang w:eastAsia="en-GB"/>
        </w:rPr>
        <w:t xml:space="preserve"> </w:t>
      </w:r>
    </w:p>
    <w:p w:rsidR="00A473CD" w:rsidRDefault="00A473CD" w:rsidP="00A270BB">
      <w:pPr>
        <w:rPr>
          <w:rFonts w:cstheme="minorBidi"/>
          <w:b/>
          <w:bCs/>
          <w:sz w:val="20"/>
          <w:szCs w:val="20"/>
        </w:rPr>
      </w:pPr>
      <w:bookmarkStart w:id="504" w:name="_Ref360483706"/>
      <w:bookmarkStart w:id="505" w:name="_Ref360488873"/>
    </w:p>
    <w:p w:rsidR="00165E91" w:rsidRDefault="00A473CD" w:rsidP="00A473CD">
      <w:pPr>
        <w:jc w:val="center"/>
        <w:rPr>
          <w:rFonts w:cstheme="minorBidi"/>
          <w:b/>
          <w:bCs/>
          <w:sz w:val="20"/>
          <w:szCs w:val="20"/>
          <w:lang w:eastAsia="en-GB"/>
        </w:rPr>
      </w:pPr>
      <w:bookmarkStart w:id="506" w:name="_Ref362583124"/>
      <w:bookmarkStart w:id="507" w:name="_Toc361733617"/>
      <w:bookmarkStart w:id="508" w:name="_Toc361734260"/>
      <w:r w:rsidRPr="00BC62FB">
        <w:rPr>
          <w:rFonts w:cstheme="minorBidi"/>
          <w:b/>
          <w:bCs/>
          <w:noProof/>
          <w:sz w:val="20"/>
          <w:szCs w:val="20"/>
          <w:lang w:eastAsia="en-GB"/>
        </w:rPr>
        <w:lastRenderedPageBreak/>
        <w:drawing>
          <wp:anchor distT="0" distB="0" distL="114300" distR="114300" simplePos="0" relativeHeight="251673600" behindDoc="0" locked="0" layoutInCell="1" allowOverlap="1" wp14:anchorId="3C1EF92C" wp14:editId="0B49E61D">
            <wp:simplePos x="0" y="0"/>
            <wp:positionH relativeFrom="margin">
              <wp:posOffset>969645</wp:posOffset>
            </wp:positionH>
            <wp:positionV relativeFrom="paragraph">
              <wp:posOffset>840105</wp:posOffset>
            </wp:positionV>
            <wp:extent cx="3470275" cy="3239770"/>
            <wp:effectExtent l="0" t="0" r="0" b="0"/>
            <wp:wrapSquare wrapText="bothSides"/>
            <wp:docPr id="12" name="Picture 12" descr="http://science.kukuchew.com/wp-content/uploads/2008/04/micro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ence.kukuchew.com/wp-content/uploads/2008/04/microa3.jpg"/>
                    <pic:cNvPicPr>
                      <a:picLocks noChangeAspect="1" noChangeArrowheads="1"/>
                    </pic:cNvPicPr>
                  </pic:nvPicPr>
                  <pic:blipFill>
                    <a:blip r:embed="rId69" cstate="print"/>
                    <a:srcRect b="7595"/>
                    <a:stretch>
                      <a:fillRect/>
                    </a:stretch>
                  </pic:blipFill>
                  <pic:spPr bwMode="auto">
                    <a:xfrm>
                      <a:off x="0" y="0"/>
                      <a:ext cx="3470275" cy="3239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504"/>
      <w:r w:rsidR="00C67C41" w:rsidRPr="00BC62FB">
        <w:rPr>
          <w:rFonts w:cstheme="minorBidi"/>
          <w:b/>
          <w:bCs/>
          <w:sz w:val="20"/>
          <w:szCs w:val="20"/>
        </w:rPr>
        <w:t>Figure</w:t>
      </w:r>
      <w:r w:rsidR="00111424" w:rsidRPr="00BC62FB">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proofErr w:type="gramStart"/>
      <w:r w:rsidR="00374B77">
        <w:rPr>
          <w:rFonts w:cstheme="minorBidi"/>
          <w:b/>
          <w:bCs/>
          <w:noProof/>
          <w:sz w:val="20"/>
          <w:szCs w:val="20"/>
        </w:rPr>
        <w:t>3</w:t>
      </w:r>
      <w:r w:rsidR="00DF37B0">
        <w:rPr>
          <w:rFonts w:cstheme="minorBidi"/>
          <w:b/>
          <w:bCs/>
          <w:sz w:val="20"/>
          <w:szCs w:val="20"/>
        </w:rPr>
        <w:fldChar w:fldCharType="end"/>
      </w:r>
      <w:bookmarkEnd w:id="505"/>
      <w:bookmarkEnd w:id="506"/>
      <w:r w:rsidR="003B6890" w:rsidRPr="00BC62FB">
        <w:rPr>
          <w:rFonts w:cstheme="minorBidi"/>
          <w:b/>
          <w:bCs/>
          <w:sz w:val="20"/>
          <w:szCs w:val="20"/>
          <w:lang w:eastAsia="en-GB"/>
        </w:rPr>
        <w:t xml:space="preserve"> </w:t>
      </w:r>
      <w:bookmarkStart w:id="509" w:name="_Toc360367346"/>
      <w:r w:rsidR="003B6890" w:rsidRPr="00BC62FB">
        <w:rPr>
          <w:rFonts w:cstheme="minorBidi"/>
          <w:b/>
          <w:bCs/>
          <w:sz w:val="20"/>
          <w:szCs w:val="20"/>
          <w:lang w:eastAsia="en-GB"/>
        </w:rPr>
        <w:t>illustrating the streaking techniques of bacteria</w:t>
      </w:r>
      <w:bookmarkEnd w:id="509"/>
      <w:r w:rsidR="00DE50A2">
        <w:rPr>
          <w:rFonts w:cstheme="minorBidi"/>
          <w:b/>
          <w:bCs/>
          <w:sz w:val="20"/>
          <w:szCs w:val="20"/>
          <w:lang w:eastAsia="en-GB"/>
        </w:rPr>
        <w:t>.</w:t>
      </w:r>
      <w:bookmarkEnd w:id="507"/>
      <w:bookmarkEnd w:id="508"/>
      <w:proofErr w:type="gramEnd"/>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noProof/>
          <w:sz w:val="20"/>
          <w:szCs w:val="20"/>
          <w:lang w:eastAsia="en-GB"/>
        </w:rPr>
      </w:pPr>
    </w:p>
    <w:p w:rsidR="00DE50A2" w:rsidRDefault="00DE50A2" w:rsidP="00A473CD">
      <w:pPr>
        <w:jc w:val="center"/>
        <w:rPr>
          <w:rFonts w:cstheme="minorBidi"/>
          <w:b/>
          <w:bCs/>
          <w:noProof/>
          <w:sz w:val="20"/>
          <w:szCs w:val="20"/>
          <w:lang w:eastAsia="en-GB"/>
        </w:rPr>
      </w:pPr>
      <w:r w:rsidRPr="00BC62FB">
        <w:rPr>
          <w:rFonts w:cstheme="minorBidi"/>
          <w:b/>
          <w:bCs/>
          <w:noProof/>
          <w:sz w:val="20"/>
          <w:szCs w:val="20"/>
          <w:lang w:eastAsia="en-GB"/>
        </w:rPr>
        <w:drawing>
          <wp:anchor distT="0" distB="0" distL="114300" distR="114300" simplePos="0" relativeHeight="251674624" behindDoc="0" locked="0" layoutInCell="1" allowOverlap="1" wp14:anchorId="2D0DAF97" wp14:editId="01161185">
            <wp:simplePos x="0" y="0"/>
            <wp:positionH relativeFrom="margin">
              <wp:posOffset>236220</wp:posOffset>
            </wp:positionH>
            <wp:positionV relativeFrom="paragraph">
              <wp:posOffset>356870</wp:posOffset>
            </wp:positionV>
            <wp:extent cx="5000625" cy="2266950"/>
            <wp:effectExtent l="0" t="0" r="9525" b="0"/>
            <wp:wrapSquare wrapText="bothSides"/>
            <wp:docPr id="29" name="Picture 1"/>
            <wp:cNvGraphicFramePr/>
            <a:graphic xmlns:a="http://schemas.openxmlformats.org/drawingml/2006/main">
              <a:graphicData uri="http://schemas.openxmlformats.org/drawingml/2006/picture">
                <pic:pic xmlns:pic="http://schemas.openxmlformats.org/drawingml/2006/picture">
                  <pic:nvPicPr>
                    <pic:cNvPr id="33795" name="Picture 9"/>
                    <pic:cNvPicPr>
                      <a:picLocks noChangeAspect="1" noChangeArrowheads="1"/>
                    </pic:cNvPicPr>
                  </pic:nvPicPr>
                  <pic:blipFill>
                    <a:blip r:embed="rId70" cstate="print"/>
                    <a:srcRect b="33266"/>
                    <a:stretch>
                      <a:fillRect/>
                    </a:stretch>
                  </pic:blipFill>
                  <pic:spPr bwMode="auto">
                    <a:xfrm>
                      <a:off x="0" y="0"/>
                      <a:ext cx="5000625" cy="2266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E50A2" w:rsidRDefault="00DE50A2" w:rsidP="00A473CD">
      <w:pPr>
        <w:jc w:val="center"/>
        <w:rPr>
          <w:rFonts w:cstheme="minorBidi"/>
          <w:b/>
          <w:bCs/>
          <w:sz w:val="20"/>
          <w:szCs w:val="20"/>
          <w:lang w:eastAsia="en-GB"/>
        </w:rPr>
      </w:pPr>
    </w:p>
    <w:p w:rsidR="00DE50A2" w:rsidRDefault="00DE50A2" w:rsidP="00A473CD">
      <w:pPr>
        <w:jc w:val="center"/>
        <w:rPr>
          <w:rFonts w:cstheme="minorBidi"/>
          <w:b/>
          <w:bCs/>
          <w:noProof/>
          <w:sz w:val="20"/>
          <w:szCs w:val="20"/>
          <w:lang w:eastAsia="en-GB"/>
        </w:rPr>
      </w:pPr>
    </w:p>
    <w:p w:rsidR="00DE50A2" w:rsidRDefault="00DE50A2" w:rsidP="00A473CD">
      <w:pPr>
        <w:jc w:val="center"/>
        <w:rPr>
          <w:rFonts w:cstheme="minorBidi"/>
          <w:b/>
          <w:bCs/>
          <w:sz w:val="20"/>
          <w:szCs w:val="20"/>
          <w:lang w:eastAsia="en-GB"/>
        </w:rPr>
      </w:pPr>
    </w:p>
    <w:p w:rsidR="00642219" w:rsidRDefault="00642219">
      <w:pPr>
        <w:rPr>
          <w:rFonts w:cstheme="minorBidi"/>
          <w:b/>
          <w:bCs/>
          <w:sz w:val="20"/>
          <w:szCs w:val="20"/>
        </w:rPr>
      </w:pPr>
      <w:r>
        <w:rPr>
          <w:rFonts w:cstheme="minorBidi"/>
          <w:b/>
          <w:bCs/>
          <w:sz w:val="20"/>
          <w:szCs w:val="20"/>
        </w:rPr>
        <w:br w:type="page"/>
      </w:r>
    </w:p>
    <w:p w:rsidR="00DE50A2" w:rsidRPr="00BC62FB" w:rsidRDefault="00DE50A2" w:rsidP="00A473CD">
      <w:pPr>
        <w:jc w:val="center"/>
        <w:rPr>
          <w:rFonts w:cstheme="minorBidi"/>
          <w:b/>
          <w:bCs/>
          <w:sz w:val="20"/>
          <w:szCs w:val="20"/>
        </w:rPr>
      </w:pPr>
    </w:p>
    <w:p w:rsidR="00165E91" w:rsidRPr="00B013ED" w:rsidRDefault="00165E91" w:rsidP="002B54A2">
      <w:pPr>
        <w:pStyle w:val="Heading2"/>
      </w:pPr>
      <w:bookmarkStart w:id="510" w:name="_Toc370819287"/>
      <w:r w:rsidRPr="00B013ED">
        <w:t xml:space="preserve">Gram </w:t>
      </w:r>
      <w:r w:rsidRPr="00EA5665">
        <w:rPr>
          <w:szCs w:val="32"/>
        </w:rPr>
        <w:t xml:space="preserve">stain for checking the purity of the </w:t>
      </w:r>
      <w:r w:rsidR="00503FB8" w:rsidRPr="00EA5665">
        <w:rPr>
          <w:szCs w:val="32"/>
        </w:rPr>
        <w:t xml:space="preserve">bacterial </w:t>
      </w:r>
      <w:r w:rsidRPr="00EA5665">
        <w:rPr>
          <w:szCs w:val="32"/>
        </w:rPr>
        <w:t>culture</w:t>
      </w:r>
      <w:r w:rsidRPr="00EA5665" w:rsidDel="009006D5">
        <w:rPr>
          <w:szCs w:val="32"/>
        </w:rPr>
        <w:t xml:space="preserve"> </w:t>
      </w:r>
      <w:r w:rsidRPr="00EA5665">
        <w:rPr>
          <w:szCs w:val="32"/>
        </w:rPr>
        <w:t>(summari</w:t>
      </w:r>
      <w:r w:rsidR="00093E70" w:rsidRPr="00EA5665">
        <w:rPr>
          <w:szCs w:val="32"/>
        </w:rPr>
        <w:t>s</w:t>
      </w:r>
      <w:r w:rsidRPr="00EA5665">
        <w:rPr>
          <w:szCs w:val="32"/>
        </w:rPr>
        <w:t>ed in</w:t>
      </w:r>
      <w:r w:rsidR="00111424" w:rsidRPr="00EA5665">
        <w:rPr>
          <w:szCs w:val="32"/>
        </w:rPr>
        <w:t xml:space="preserve"> </w:t>
      </w:r>
      <w:r w:rsidR="00111424" w:rsidRPr="00EA5665">
        <w:rPr>
          <w:szCs w:val="32"/>
        </w:rPr>
        <w:fldChar w:fldCharType="begin"/>
      </w:r>
      <w:r w:rsidR="00111424" w:rsidRPr="00EA5665">
        <w:rPr>
          <w:szCs w:val="32"/>
        </w:rPr>
        <w:instrText xml:space="preserve"> REF _Ref360488912 \h </w:instrText>
      </w:r>
      <w:r w:rsidR="00A270BB" w:rsidRPr="00EA5665">
        <w:rPr>
          <w:szCs w:val="32"/>
        </w:rPr>
        <w:instrText xml:space="preserve"> \* MERGEFORMAT </w:instrText>
      </w:r>
      <w:r w:rsidR="00111424" w:rsidRPr="00EA5665">
        <w:rPr>
          <w:szCs w:val="32"/>
        </w:rPr>
      </w:r>
      <w:r w:rsidR="00111424" w:rsidRPr="00EA5665">
        <w:rPr>
          <w:szCs w:val="32"/>
        </w:rPr>
        <w:fldChar w:fldCharType="separate"/>
      </w:r>
      <w:r w:rsidR="00374B77" w:rsidRPr="00374B77">
        <w:rPr>
          <w:rFonts w:cstheme="minorBidi"/>
          <w:szCs w:val="32"/>
        </w:rPr>
        <w:t xml:space="preserve">Figure </w:t>
      </w:r>
      <w:r w:rsidR="00374B77" w:rsidRPr="00374B77">
        <w:rPr>
          <w:rFonts w:cstheme="minorBidi"/>
          <w:noProof/>
          <w:szCs w:val="32"/>
          <w:cs/>
        </w:rPr>
        <w:t>‎</w:t>
      </w:r>
      <w:r w:rsidR="00374B77" w:rsidRPr="00374B77">
        <w:rPr>
          <w:rFonts w:cstheme="minorBidi"/>
          <w:b w:val="0"/>
          <w:bCs w:val="0"/>
          <w:noProof/>
          <w:szCs w:val="32"/>
        </w:rPr>
        <w:t>3.4</w:t>
      </w:r>
      <w:r w:rsidR="00111424" w:rsidRPr="00EA5665">
        <w:rPr>
          <w:szCs w:val="32"/>
        </w:rPr>
        <w:fldChar w:fldCharType="end"/>
      </w:r>
      <w:r w:rsidRPr="00EA5665">
        <w:rPr>
          <w:szCs w:val="32"/>
        </w:rPr>
        <w:t>)</w:t>
      </w:r>
      <w:bookmarkEnd w:id="510"/>
      <w:r w:rsidRPr="00B013ED">
        <w:t xml:space="preserve"> </w:t>
      </w:r>
    </w:p>
    <w:p w:rsidR="00503FB8" w:rsidRPr="00B013ED" w:rsidRDefault="00503FB8" w:rsidP="00093E70">
      <w:pPr>
        <w:spacing w:line="480" w:lineRule="auto"/>
        <w:rPr>
          <w:rFonts w:eastAsia="Times New Roman"/>
          <w:lang w:eastAsia="en-GB"/>
        </w:rPr>
      </w:pPr>
      <w:r w:rsidRPr="00B013ED">
        <w:rPr>
          <w:rFonts w:eastAsia="Times New Roman"/>
          <w:lang w:eastAsia="en-GB"/>
        </w:rPr>
        <w:t>Gram staining is a method of differentiating bacterial species into two large groups (Gram-positive and Gram-negative). This can</w:t>
      </w:r>
      <w:r>
        <w:rPr>
          <w:rFonts w:eastAsia="Times New Roman"/>
          <w:lang w:eastAsia="en-GB"/>
        </w:rPr>
        <w:t xml:space="preserve"> </w:t>
      </w:r>
      <w:r w:rsidR="00093E70" w:rsidRPr="00093E70">
        <w:rPr>
          <w:rFonts w:eastAsia="Times New Roman"/>
          <w:lang w:eastAsia="en-GB"/>
        </w:rPr>
        <w:t>be achieved</w:t>
      </w:r>
      <w:r>
        <w:rPr>
          <w:rFonts w:eastAsia="Times New Roman"/>
          <w:lang w:eastAsia="en-GB"/>
        </w:rPr>
        <w:t xml:space="preserve"> by</w:t>
      </w:r>
      <w:r w:rsidRPr="00B013ED">
        <w:rPr>
          <w:rFonts w:eastAsia="Times New Roman"/>
          <w:lang w:eastAsia="en-GB"/>
        </w:rPr>
        <w:t xml:space="preserve"> </w:t>
      </w:r>
      <w:proofErr w:type="gramStart"/>
      <w:r w:rsidRPr="00B013ED">
        <w:rPr>
          <w:rFonts w:eastAsia="Times New Roman"/>
          <w:lang w:eastAsia="en-GB"/>
        </w:rPr>
        <w:t>observing  the</w:t>
      </w:r>
      <w:proofErr w:type="gramEnd"/>
      <w:r w:rsidRPr="00B013ED">
        <w:rPr>
          <w:rFonts w:eastAsia="Times New Roman"/>
          <w:lang w:eastAsia="en-GB"/>
        </w:rPr>
        <w:t xml:space="preserve"> chemical and physical properties of their cell walls by detecting peptidoglycan, which is present in a thick layer in Gram positive bacteria. </w:t>
      </w:r>
    </w:p>
    <w:p w:rsidR="00503FB8" w:rsidRPr="00B013ED" w:rsidRDefault="00503FB8" w:rsidP="00503FB8">
      <w:pPr>
        <w:numPr>
          <w:ilvl w:val="0"/>
          <w:numId w:val="72"/>
        </w:numPr>
        <w:spacing w:before="100" w:beforeAutospacing="1" w:after="100" w:afterAutospacing="1" w:line="480" w:lineRule="auto"/>
        <w:rPr>
          <w:rFonts w:eastAsia="Times New Roman" w:cstheme="minorBidi"/>
          <w:bCs/>
          <w:color w:val="000000" w:themeColor="text1"/>
          <w:lang w:eastAsia="en-GB"/>
        </w:rPr>
      </w:pPr>
      <w:r w:rsidRPr="00B013ED">
        <w:rPr>
          <w:rFonts w:eastAsia="Times New Roman" w:cstheme="minorBidi"/>
          <w:bCs/>
          <w:color w:val="000000" w:themeColor="text1"/>
          <w:lang w:eastAsia="en-GB"/>
        </w:rPr>
        <w:t xml:space="preserve">A </w:t>
      </w:r>
      <w:r>
        <w:rPr>
          <w:rFonts w:eastAsia="Times New Roman" w:cstheme="minorBidi"/>
          <w:bCs/>
          <w:color w:val="000000" w:themeColor="text1"/>
          <w:lang w:eastAsia="en-GB"/>
        </w:rPr>
        <w:t xml:space="preserve">glass </w:t>
      </w:r>
      <w:r w:rsidRPr="00B013ED">
        <w:rPr>
          <w:rFonts w:eastAsia="Times New Roman" w:cstheme="minorBidi"/>
          <w:bCs/>
          <w:color w:val="000000" w:themeColor="text1"/>
          <w:lang w:eastAsia="en-GB"/>
        </w:rPr>
        <w:t xml:space="preserve">slide with a bacterial smear was placed on a staining rack. </w:t>
      </w:r>
    </w:p>
    <w:p w:rsidR="00503FB8" w:rsidRPr="00B013ED" w:rsidRDefault="00503FB8" w:rsidP="00503FB8">
      <w:pPr>
        <w:numPr>
          <w:ilvl w:val="0"/>
          <w:numId w:val="72"/>
        </w:numPr>
        <w:spacing w:before="100" w:beforeAutospacing="1" w:after="100" w:afterAutospacing="1" w:line="480" w:lineRule="auto"/>
        <w:rPr>
          <w:rFonts w:eastAsia="Times New Roman" w:cstheme="minorBidi"/>
          <w:bCs/>
          <w:color w:val="000000" w:themeColor="text1"/>
          <w:lang w:eastAsia="en-GB"/>
        </w:rPr>
      </w:pPr>
      <w:r w:rsidRPr="00B013ED">
        <w:rPr>
          <w:rFonts w:eastAsia="Times New Roman" w:cstheme="minorBidi"/>
          <w:bCs/>
          <w:color w:val="000000" w:themeColor="text1"/>
          <w:lang w:eastAsia="en-GB"/>
        </w:rPr>
        <w:t xml:space="preserve">The slide was stained with crystal violet for 1-2 min. The stain was then poured off with running tap water. </w:t>
      </w:r>
    </w:p>
    <w:p w:rsidR="00503FB8" w:rsidRPr="00B013ED" w:rsidRDefault="00503FB8" w:rsidP="00503FB8">
      <w:pPr>
        <w:numPr>
          <w:ilvl w:val="0"/>
          <w:numId w:val="72"/>
        </w:numPr>
        <w:spacing w:before="100" w:beforeAutospacing="1" w:after="100" w:afterAutospacing="1" w:line="480" w:lineRule="auto"/>
        <w:rPr>
          <w:rFonts w:eastAsia="Times New Roman" w:cstheme="minorBidi"/>
          <w:bCs/>
          <w:color w:val="000000" w:themeColor="text1"/>
          <w:lang w:eastAsia="en-GB"/>
        </w:rPr>
      </w:pPr>
      <w:r w:rsidRPr="00B013ED">
        <w:rPr>
          <w:rFonts w:eastAsia="Times New Roman" w:cstheme="minorBidi"/>
          <w:bCs/>
          <w:color w:val="000000" w:themeColor="text1"/>
          <w:lang w:eastAsia="en-GB"/>
        </w:rPr>
        <w:t xml:space="preserve">The slide was flooded with Gram’s iodine for 1-2 min. </w:t>
      </w:r>
    </w:p>
    <w:p w:rsidR="00503FB8" w:rsidRPr="00B013ED" w:rsidRDefault="00503FB8" w:rsidP="00093E70">
      <w:pPr>
        <w:numPr>
          <w:ilvl w:val="0"/>
          <w:numId w:val="72"/>
        </w:numPr>
        <w:spacing w:before="100" w:beforeAutospacing="1" w:after="100" w:afterAutospacing="1" w:line="480" w:lineRule="auto"/>
        <w:rPr>
          <w:rFonts w:eastAsia="Times New Roman" w:cstheme="minorBidi"/>
          <w:bCs/>
          <w:color w:val="000000" w:themeColor="text1"/>
          <w:lang w:eastAsia="en-GB"/>
        </w:rPr>
      </w:pPr>
      <w:r w:rsidRPr="00B013ED">
        <w:rPr>
          <w:rFonts w:eastAsia="Times New Roman" w:cstheme="minorBidi"/>
          <w:bCs/>
          <w:color w:val="000000" w:themeColor="text1"/>
          <w:lang w:eastAsia="en-GB"/>
        </w:rPr>
        <w:t>The iodine was poured off with running tap water. The slide was decolouri</w:t>
      </w:r>
      <w:r w:rsidR="00093E70">
        <w:rPr>
          <w:rFonts w:eastAsia="Times New Roman" w:cstheme="minorBidi"/>
          <w:bCs/>
          <w:color w:val="000000" w:themeColor="text1"/>
          <w:lang w:eastAsia="en-GB"/>
        </w:rPr>
        <w:t>s</w:t>
      </w:r>
      <w:r w:rsidRPr="00B013ED">
        <w:rPr>
          <w:rFonts w:eastAsia="Times New Roman" w:cstheme="minorBidi"/>
          <w:bCs/>
          <w:color w:val="000000" w:themeColor="text1"/>
          <w:lang w:eastAsia="en-GB"/>
        </w:rPr>
        <w:t>ed by washing the slide briefly with ethanol (2-3 seconds) which was washed off under running water.</w:t>
      </w:r>
    </w:p>
    <w:p w:rsidR="00503FB8" w:rsidRPr="00B013ED" w:rsidRDefault="00503FB8" w:rsidP="00503FB8">
      <w:pPr>
        <w:numPr>
          <w:ilvl w:val="0"/>
          <w:numId w:val="72"/>
        </w:numPr>
        <w:spacing w:before="100" w:beforeAutospacing="1" w:after="100" w:afterAutospacing="1" w:line="480" w:lineRule="auto"/>
        <w:rPr>
          <w:rFonts w:eastAsia="Times New Roman" w:cstheme="minorBidi"/>
          <w:bCs/>
          <w:color w:val="000000" w:themeColor="text1"/>
          <w:lang w:eastAsia="en-GB"/>
        </w:rPr>
      </w:pPr>
      <w:r w:rsidRPr="00B013ED">
        <w:rPr>
          <w:rFonts w:eastAsia="Times New Roman" w:cstheme="minorBidi"/>
          <w:bCs/>
          <w:color w:val="000000" w:themeColor="text1"/>
          <w:lang w:eastAsia="en-GB"/>
        </w:rPr>
        <w:t>Safranin counterstain was added for 2 min and then washed with water.</w:t>
      </w:r>
    </w:p>
    <w:p w:rsidR="00503FB8" w:rsidRPr="00B013ED" w:rsidRDefault="00503FB8" w:rsidP="00503FB8">
      <w:pPr>
        <w:numPr>
          <w:ilvl w:val="0"/>
          <w:numId w:val="72"/>
        </w:numPr>
        <w:spacing w:before="100" w:beforeAutospacing="1" w:after="100" w:afterAutospacing="1" w:line="480" w:lineRule="auto"/>
        <w:rPr>
          <w:rFonts w:eastAsia="Times New Roman" w:cstheme="minorBidi"/>
          <w:color w:val="000000"/>
          <w:lang w:eastAsia="en-GB"/>
        </w:rPr>
      </w:pPr>
      <w:r w:rsidRPr="00B013ED">
        <w:rPr>
          <w:rFonts w:eastAsia="Times New Roman" w:cstheme="minorBidi"/>
          <w:bCs/>
          <w:color w:val="000000" w:themeColor="text1"/>
          <w:lang w:eastAsia="en-GB"/>
        </w:rPr>
        <w:t xml:space="preserve">Excess water was blot dried with a paper towel </w:t>
      </w:r>
    </w:p>
    <w:p w:rsidR="00165E91" w:rsidRPr="009A7894" w:rsidRDefault="00165E91" w:rsidP="009A7894">
      <w:pPr>
        <w:spacing w:line="480" w:lineRule="auto"/>
        <w:jc w:val="both"/>
        <w:rPr>
          <w:rFonts w:eastAsia="Times New Roman" w:cstheme="minorBidi"/>
          <w:color w:val="000000"/>
        </w:rPr>
      </w:pPr>
      <w:r w:rsidRPr="00B013ED">
        <w:rPr>
          <w:rFonts w:eastAsia="Times New Roman" w:cstheme="minorBidi"/>
          <w:color w:val="000000"/>
        </w:rPr>
        <w:t xml:space="preserve"> </w:t>
      </w:r>
    </w:p>
    <w:p w:rsidR="007666C7" w:rsidRPr="006859BF" w:rsidRDefault="00B03E13" w:rsidP="00F0357B">
      <w:pPr>
        <w:spacing w:after="0" w:line="240" w:lineRule="auto"/>
        <w:rPr>
          <w:rFonts w:cstheme="minorBidi"/>
          <w:b/>
          <w:bCs/>
          <w:color w:val="000000" w:themeColor="text1"/>
          <w:sz w:val="20"/>
          <w:szCs w:val="20"/>
        </w:rPr>
      </w:pPr>
      <w:bookmarkStart w:id="511" w:name="_Ref360488912"/>
      <w:bookmarkStart w:id="512" w:name="_Toc360367347"/>
      <w:bookmarkStart w:id="513" w:name="_Toc360367442"/>
      <w:bookmarkStart w:id="514" w:name="_Toc361733618"/>
      <w:bookmarkStart w:id="515" w:name="_Toc361734261"/>
      <w:r w:rsidRPr="006859BF">
        <w:rPr>
          <w:rFonts w:cstheme="minorBidi"/>
          <w:b/>
          <w:bCs/>
          <w:noProof/>
          <w:sz w:val="20"/>
          <w:szCs w:val="20"/>
          <w:lang w:eastAsia="en-GB"/>
        </w:rPr>
        <w:lastRenderedPageBreak/>
        <w:drawing>
          <wp:anchor distT="0" distB="0" distL="114300" distR="114300" simplePos="0" relativeHeight="251675648" behindDoc="0" locked="0" layoutInCell="1" allowOverlap="1" wp14:anchorId="46AAD0BD" wp14:editId="2216D00F">
            <wp:simplePos x="0" y="0"/>
            <wp:positionH relativeFrom="margin">
              <wp:align>center</wp:align>
            </wp:positionH>
            <wp:positionV relativeFrom="margin">
              <wp:align>center</wp:align>
            </wp:positionV>
            <wp:extent cx="5245190" cy="7920000"/>
            <wp:effectExtent l="0" t="0" r="0" b="5080"/>
            <wp:wrapSquare wrapText="bothSides"/>
            <wp:docPr id="31" name="Picture 1" descr="F:\stain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ain_diagram.jpg"/>
                    <pic:cNvPicPr>
                      <a:picLocks noChangeAspect="1" noChangeArrowheads="1"/>
                    </pic:cNvPicPr>
                  </pic:nvPicPr>
                  <pic:blipFill>
                    <a:blip r:embed="rId71" cstate="print"/>
                    <a:srcRect/>
                    <a:stretch>
                      <a:fillRect/>
                    </a:stretch>
                  </pic:blipFill>
                  <pic:spPr bwMode="auto">
                    <a:xfrm>
                      <a:off x="0" y="0"/>
                      <a:ext cx="5245190" cy="79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7C41" w:rsidRPr="006859BF">
        <w:rPr>
          <w:rFonts w:cstheme="minorBidi"/>
          <w:b/>
          <w:bCs/>
          <w:sz w:val="20"/>
          <w:szCs w:val="20"/>
        </w:rPr>
        <w:t>Figure</w:t>
      </w:r>
      <w:r w:rsidR="00111424" w:rsidRPr="006859BF">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4</w:t>
      </w:r>
      <w:r w:rsidR="00DF37B0">
        <w:rPr>
          <w:rFonts w:cstheme="minorBidi"/>
          <w:b/>
          <w:bCs/>
          <w:sz w:val="20"/>
          <w:szCs w:val="20"/>
        </w:rPr>
        <w:fldChar w:fldCharType="end"/>
      </w:r>
      <w:bookmarkEnd w:id="511"/>
      <w:r w:rsidR="00111424" w:rsidRPr="006859BF">
        <w:rPr>
          <w:rFonts w:cstheme="minorBidi"/>
          <w:b/>
          <w:bCs/>
          <w:sz w:val="20"/>
          <w:szCs w:val="20"/>
        </w:rPr>
        <w:t xml:space="preserve"> </w:t>
      </w:r>
      <w:r w:rsidR="003B6890" w:rsidRPr="006859BF">
        <w:rPr>
          <w:rFonts w:cstheme="minorBidi"/>
          <w:b/>
          <w:bCs/>
          <w:color w:val="000000" w:themeColor="text1"/>
          <w:sz w:val="20"/>
          <w:szCs w:val="20"/>
        </w:rPr>
        <w:t>A diagram</w:t>
      </w:r>
      <w:r w:rsidR="00EF3964" w:rsidRPr="006859BF">
        <w:rPr>
          <w:rFonts w:cstheme="minorBidi"/>
          <w:b/>
          <w:bCs/>
          <w:color w:val="000000" w:themeColor="text1"/>
          <w:sz w:val="20"/>
          <w:szCs w:val="20"/>
        </w:rPr>
        <w:t xml:space="preserve"> to</w:t>
      </w:r>
      <w:r w:rsidR="003B6890" w:rsidRPr="006859BF">
        <w:rPr>
          <w:rFonts w:cstheme="minorBidi"/>
          <w:b/>
          <w:bCs/>
          <w:color w:val="000000" w:themeColor="text1"/>
          <w:sz w:val="20"/>
          <w:szCs w:val="20"/>
        </w:rPr>
        <w:t xml:space="preserve"> illustrate the gram stain process</w:t>
      </w:r>
      <w:bookmarkEnd w:id="512"/>
      <w:bookmarkEnd w:id="513"/>
      <w:bookmarkEnd w:id="514"/>
      <w:bookmarkEnd w:id="515"/>
    </w:p>
    <w:p w:rsidR="00165E91" w:rsidRPr="00B013ED" w:rsidRDefault="00165E91" w:rsidP="002B54A2">
      <w:pPr>
        <w:pStyle w:val="Heading2"/>
      </w:pPr>
      <w:bookmarkStart w:id="516" w:name="_Toc370819288"/>
      <w:r w:rsidRPr="00B013ED">
        <w:lastRenderedPageBreak/>
        <w:t xml:space="preserve">Standardised </w:t>
      </w:r>
      <w:r w:rsidR="00093E70" w:rsidRPr="00093E70">
        <w:t>growth curves for bacteria</w:t>
      </w:r>
      <w:r w:rsidRPr="00B013ED">
        <w:t>:</w:t>
      </w:r>
      <w:bookmarkEnd w:id="516"/>
    </w:p>
    <w:p w:rsidR="00165E91" w:rsidRPr="00B03E13" w:rsidRDefault="00165E91" w:rsidP="00B03E13">
      <w:pPr>
        <w:spacing w:line="480" w:lineRule="auto"/>
        <w:jc w:val="both"/>
        <w:rPr>
          <w:rFonts w:eastAsia="Times New Roman" w:cstheme="minorBidi"/>
          <w:b/>
          <w:color w:val="000000" w:themeColor="text1"/>
        </w:rPr>
      </w:pPr>
      <w:r w:rsidRPr="00B013ED">
        <w:rPr>
          <w:rFonts w:eastAsia="Times New Roman" w:cstheme="minorBidi"/>
          <w:bCs/>
          <w:color w:val="000000" w:themeColor="text1"/>
        </w:rPr>
        <w:t>In order to ensure reproducibility, it was necessary to generate a standard growth curve for each type of bacteria included in this study.</w:t>
      </w:r>
    </w:p>
    <w:p w:rsidR="00165E91" w:rsidRPr="00B013ED" w:rsidRDefault="00165E91" w:rsidP="00B03E13">
      <w:pPr>
        <w:pStyle w:val="Heading4"/>
        <w:spacing w:line="480" w:lineRule="auto"/>
      </w:pPr>
      <w:proofErr w:type="gramStart"/>
      <w:r w:rsidRPr="00B013ED">
        <w:t>Bacteria Viable count.</w:t>
      </w:r>
      <w:proofErr w:type="gramEnd"/>
      <w:r w:rsidRPr="00B013ED">
        <w:t xml:space="preserve"> </w:t>
      </w:r>
    </w:p>
    <w:p w:rsidR="00165E91" w:rsidRPr="00B013ED" w:rsidRDefault="00165E91" w:rsidP="001569FA">
      <w:pPr>
        <w:spacing w:line="480" w:lineRule="auto"/>
        <w:jc w:val="both"/>
        <w:rPr>
          <w:rFonts w:eastAsia="Times New Roman" w:cstheme="minorBidi"/>
          <w:color w:val="000000"/>
        </w:rPr>
      </w:pPr>
      <w:r w:rsidRPr="00B013ED">
        <w:rPr>
          <w:rFonts w:eastAsia="Times New Roman" w:cstheme="minorBidi"/>
          <w:color w:val="000000"/>
        </w:rPr>
        <w:t xml:space="preserve">Viable plate count is one of the most common methods of determining bacterial numbers. </w:t>
      </w:r>
    </w:p>
    <w:p w:rsidR="00165E91" w:rsidRPr="00B013ED" w:rsidRDefault="00165E91" w:rsidP="00093E70">
      <w:pPr>
        <w:spacing w:line="480" w:lineRule="auto"/>
        <w:jc w:val="both"/>
        <w:rPr>
          <w:rFonts w:eastAsia="Times New Roman" w:cstheme="minorBidi"/>
          <w:color w:val="000000"/>
        </w:rPr>
      </w:pPr>
      <w:r w:rsidRPr="00B03E13">
        <w:rPr>
          <w:rFonts w:eastAsia="Times New Roman" w:cstheme="minorBidi"/>
          <w:b/>
          <w:color w:val="000000"/>
        </w:rPr>
        <w:t xml:space="preserve">The viable count was </w:t>
      </w:r>
      <w:r w:rsidR="00093E70" w:rsidRPr="00093E70">
        <w:rPr>
          <w:rFonts w:eastAsia="Times New Roman" w:cstheme="minorBidi"/>
          <w:b/>
          <w:color w:val="000000"/>
        </w:rPr>
        <w:t xml:space="preserve">performed by </w:t>
      </w:r>
      <w:r w:rsidRPr="00B03E13">
        <w:rPr>
          <w:rFonts w:eastAsia="Times New Roman" w:cstheme="minorBidi"/>
          <w:b/>
          <w:color w:val="000000"/>
        </w:rPr>
        <w:t>two methods</w:t>
      </w:r>
      <w:r w:rsidRPr="00B013ED">
        <w:rPr>
          <w:rFonts w:eastAsia="Times New Roman" w:cstheme="minorBidi"/>
          <w:color w:val="000000"/>
        </w:rPr>
        <w:t xml:space="preserve">.  </w:t>
      </w:r>
    </w:p>
    <w:p w:rsidR="00165E91" w:rsidRPr="00B013ED" w:rsidRDefault="00165E91" w:rsidP="001569FA">
      <w:pPr>
        <w:pStyle w:val="Heading3"/>
        <w:jc w:val="both"/>
        <w:rPr>
          <w:rFonts w:eastAsia="Times New Roman"/>
          <w:lang w:eastAsia="en-GB"/>
        </w:rPr>
      </w:pPr>
      <w:bookmarkStart w:id="517" w:name="_Toc370819289"/>
      <w:r w:rsidRPr="00B013ED">
        <w:rPr>
          <w:rFonts w:eastAsia="Times New Roman"/>
          <w:lang w:eastAsia="en-GB"/>
        </w:rPr>
        <w:t>Ten fold (Hoover and Newbrun, 1977)</w:t>
      </w:r>
      <w:bookmarkEnd w:id="517"/>
    </w:p>
    <w:p w:rsidR="00093E70" w:rsidRPr="0051117F" w:rsidRDefault="00093E70" w:rsidP="00093E70">
      <w:pPr>
        <w:spacing w:before="150" w:after="120" w:line="480" w:lineRule="auto"/>
        <w:ind w:left="75"/>
        <w:jc w:val="both"/>
        <w:rPr>
          <w:rFonts w:eastAsia="Times New Roman"/>
          <w:bCs/>
          <w:lang w:eastAsia="en-GB"/>
        </w:rPr>
      </w:pPr>
      <w:r w:rsidRPr="00B735ED">
        <w:rPr>
          <w:rFonts w:eastAsia="Times New Roman" w:cstheme="minorBidi"/>
          <w:color w:val="000000"/>
        </w:rPr>
        <w:t>This method was used to count the live bacter</w:t>
      </w:r>
      <w:r w:rsidRPr="00304C2F">
        <w:rPr>
          <w:rFonts w:eastAsia="Times New Roman" w:cstheme="minorBidi"/>
          <w:color w:val="000000"/>
        </w:rPr>
        <w:t>ia. One ml of liquid bacteria was grown in BHI and incubated for 24 h, diluted into 9 ml buffer (RTF) and mixed thoroughly to form in total 10 ml solution. A</w:t>
      </w:r>
      <w:r w:rsidRPr="00B013ED">
        <w:rPr>
          <w:rFonts w:eastAsia="Times New Roman" w:cstheme="minorBidi"/>
          <w:color w:val="000000"/>
        </w:rPr>
        <w:t xml:space="preserve"> portion of this first diluted solution was then diluted further. This process was repeated until a concentration series was obtained as follows: 10</w:t>
      </w:r>
      <w:r w:rsidRPr="00B013ED">
        <w:rPr>
          <w:rFonts w:eastAsia="Times New Roman" w:cstheme="minorBidi"/>
          <w:color w:val="000000"/>
          <w:vertAlign w:val="superscript"/>
        </w:rPr>
        <w:t>7</w:t>
      </w:r>
      <w:r w:rsidRPr="00B013ED">
        <w:rPr>
          <w:rFonts w:eastAsia="Times New Roman" w:cstheme="minorBidi"/>
          <w:color w:val="000000"/>
        </w:rPr>
        <w:t>,10</w:t>
      </w:r>
      <w:r w:rsidRPr="00B013ED">
        <w:rPr>
          <w:rFonts w:eastAsia="Times New Roman" w:cstheme="minorBidi"/>
          <w:color w:val="000000"/>
          <w:vertAlign w:val="superscript"/>
        </w:rPr>
        <w:t>6</w:t>
      </w:r>
      <w:r w:rsidRPr="00B013ED">
        <w:rPr>
          <w:rFonts w:eastAsia="Times New Roman" w:cstheme="minorBidi"/>
          <w:color w:val="000000"/>
        </w:rPr>
        <w:t>,10</w:t>
      </w:r>
      <w:r w:rsidRPr="00B013ED">
        <w:rPr>
          <w:rFonts w:eastAsia="Times New Roman" w:cstheme="minorBidi"/>
          <w:color w:val="000000"/>
          <w:vertAlign w:val="superscript"/>
        </w:rPr>
        <w:t>5</w:t>
      </w:r>
      <w:r w:rsidRPr="00B013ED">
        <w:rPr>
          <w:rFonts w:eastAsia="Times New Roman" w:cstheme="minorBidi"/>
          <w:color w:val="000000"/>
        </w:rPr>
        <w:t>,10</w:t>
      </w:r>
      <w:r w:rsidRPr="00B013ED">
        <w:rPr>
          <w:rFonts w:eastAsia="Times New Roman" w:cstheme="minorBidi"/>
          <w:color w:val="000000"/>
          <w:vertAlign w:val="superscript"/>
        </w:rPr>
        <w:t>4</w:t>
      </w:r>
      <w:r w:rsidRPr="00B013ED">
        <w:rPr>
          <w:rFonts w:eastAsia="Times New Roman" w:cstheme="minorBidi"/>
          <w:color w:val="000000"/>
        </w:rPr>
        <w:t>,10</w:t>
      </w:r>
      <w:r w:rsidRPr="00B013ED">
        <w:rPr>
          <w:rFonts w:eastAsia="Times New Roman" w:cstheme="minorBidi"/>
          <w:color w:val="000000"/>
          <w:vertAlign w:val="superscript"/>
        </w:rPr>
        <w:t>3</w:t>
      </w:r>
      <w:r w:rsidRPr="00B013ED">
        <w:rPr>
          <w:rFonts w:eastAsia="Times New Roman" w:cstheme="minorBidi"/>
          <w:color w:val="000000"/>
        </w:rPr>
        <w:t>,10</w:t>
      </w:r>
      <w:r w:rsidRPr="00B013ED">
        <w:rPr>
          <w:rFonts w:eastAsia="Times New Roman" w:cstheme="minorBidi"/>
          <w:color w:val="000000"/>
          <w:vertAlign w:val="superscript"/>
        </w:rPr>
        <w:t>2</w:t>
      </w:r>
      <w:r w:rsidRPr="00B013ED">
        <w:rPr>
          <w:rFonts w:eastAsia="Times New Roman" w:cstheme="minorBidi"/>
          <w:color w:val="000000"/>
        </w:rPr>
        <w:t>,10</w:t>
      </w:r>
      <w:r w:rsidRPr="00B013ED">
        <w:rPr>
          <w:rFonts w:eastAsia="Times New Roman" w:cstheme="minorBidi"/>
          <w:color w:val="000000"/>
          <w:vertAlign w:val="superscript"/>
        </w:rPr>
        <w:t>1</w:t>
      </w:r>
      <w:r w:rsidRPr="00B013ED">
        <w:rPr>
          <w:rFonts w:eastAsia="Times New Roman" w:cstheme="minorBidi"/>
          <w:color w:val="000000"/>
        </w:rPr>
        <w:t xml:space="preserve">. One ml of the inoculum was then transferred from each dilution into duplicated CBA plates. Following an incubation period </w:t>
      </w:r>
      <w:r>
        <w:rPr>
          <w:rFonts w:eastAsia="Times New Roman" w:cstheme="minorBidi"/>
          <w:color w:val="000000"/>
        </w:rPr>
        <w:t>of</w:t>
      </w:r>
      <w:r w:rsidRPr="00B013ED">
        <w:rPr>
          <w:rFonts w:eastAsia="Times New Roman" w:cstheme="minorBidi"/>
          <w:color w:val="000000"/>
        </w:rPr>
        <w:t xml:space="preserve"> 48 hours a Stuart automatic colony counter (Stuart, BioCote, Staffordshire</w:t>
      </w:r>
      <w:proofErr w:type="gramStart"/>
      <w:r w:rsidRPr="00B013ED">
        <w:rPr>
          <w:rFonts w:eastAsia="Times New Roman" w:cstheme="minorBidi"/>
          <w:color w:val="000000"/>
        </w:rPr>
        <w:t>,UK</w:t>
      </w:r>
      <w:proofErr w:type="gramEnd"/>
      <w:r w:rsidRPr="00B013ED">
        <w:rPr>
          <w:rFonts w:eastAsia="Times New Roman" w:cstheme="minorBidi"/>
          <w:color w:val="000000"/>
        </w:rPr>
        <w:t>) was used to count the colony forming units (CFU)</w:t>
      </w:r>
      <w:r>
        <w:rPr>
          <w:rFonts w:eastAsia="Times New Roman" w:cstheme="minorBidi"/>
          <w:color w:val="000000"/>
        </w:rPr>
        <w:t xml:space="preserve"> </w:t>
      </w:r>
      <w:r w:rsidRPr="00B013ED">
        <w:rPr>
          <w:rFonts w:eastAsia="Times New Roman" w:cstheme="minorBidi"/>
          <w:color w:val="000000"/>
        </w:rPr>
        <w:t xml:space="preserve">on each agar plate. The plates that contained between 30-300 bacteria were </w:t>
      </w:r>
      <w:r>
        <w:rPr>
          <w:rFonts w:eastAsia="Times New Roman" w:cstheme="minorBidi"/>
          <w:color w:val="000000"/>
        </w:rPr>
        <w:t xml:space="preserve">the </w:t>
      </w:r>
      <w:r w:rsidRPr="00B013ED">
        <w:rPr>
          <w:rFonts w:eastAsia="Times New Roman" w:cstheme="minorBidi"/>
          <w:color w:val="000000"/>
        </w:rPr>
        <w:t>only counted plates. This is in accordance with conventional microbiological methodology. The number of colonies was then used to estimate the number of CFU ml</w:t>
      </w:r>
      <w:r w:rsidRPr="00B013ED">
        <w:rPr>
          <w:rFonts w:eastAsia="Times New Roman" w:cstheme="minorBidi"/>
          <w:color w:val="000000"/>
          <w:vertAlign w:val="superscript"/>
        </w:rPr>
        <w:t xml:space="preserve">-1 </w:t>
      </w:r>
      <w:r w:rsidRPr="00B013ED">
        <w:rPr>
          <w:rFonts w:eastAsia="Times New Roman" w:cstheme="minorBidi"/>
          <w:color w:val="000000"/>
        </w:rPr>
        <w:t>of the original inoculums. This was calculated by using the following formula:</w:t>
      </w:r>
      <w:r w:rsidRPr="00B013ED">
        <w:rPr>
          <w:rFonts w:eastAsia="Times New Roman"/>
          <w:b/>
          <w:lang w:eastAsia="en-GB"/>
        </w:rPr>
        <w:t xml:space="preserve"> (CFU in dilution) x dilution factor x 10 = CFU ml</w:t>
      </w:r>
      <w:r w:rsidRPr="00B013ED">
        <w:rPr>
          <w:rFonts w:eastAsia="Times New Roman"/>
          <w:b/>
          <w:vertAlign w:val="superscript"/>
          <w:lang w:eastAsia="en-GB"/>
        </w:rPr>
        <w:t>-1</w:t>
      </w:r>
      <w:r w:rsidRPr="00B013ED">
        <w:rPr>
          <w:rFonts w:eastAsia="Times New Roman"/>
          <w:b/>
          <w:lang w:eastAsia="en-GB"/>
        </w:rPr>
        <w:t xml:space="preserve"> original inoculum. </w:t>
      </w:r>
      <w:r w:rsidRPr="00B013ED">
        <w:rPr>
          <w:rFonts w:eastAsia="Times New Roman"/>
          <w:bCs/>
          <w:lang w:eastAsia="en-GB"/>
        </w:rPr>
        <w:t>These results were tabulated against the respective OD</w:t>
      </w:r>
      <w:r w:rsidRPr="00B013ED">
        <w:rPr>
          <w:rFonts w:eastAsia="Times New Roman"/>
          <w:bCs/>
          <w:vertAlign w:val="subscript"/>
          <w:lang w:eastAsia="en-GB"/>
        </w:rPr>
        <w:t xml:space="preserve">540 </w:t>
      </w:r>
      <w:r w:rsidRPr="00B013ED">
        <w:rPr>
          <w:rFonts w:eastAsia="Times New Roman"/>
          <w:bCs/>
          <w:lang w:eastAsia="en-GB"/>
        </w:rPr>
        <w:t xml:space="preserve">and </w:t>
      </w:r>
      <w:r>
        <w:rPr>
          <w:rFonts w:eastAsia="Times New Roman"/>
          <w:bCs/>
          <w:lang w:eastAsia="en-GB"/>
        </w:rPr>
        <w:t xml:space="preserve">a </w:t>
      </w:r>
      <w:r w:rsidRPr="00B013ED">
        <w:rPr>
          <w:rFonts w:eastAsia="Times New Roman"/>
          <w:bCs/>
          <w:lang w:eastAsia="en-GB"/>
        </w:rPr>
        <w:t xml:space="preserve">standard growth curve was generated. </w:t>
      </w:r>
    </w:p>
    <w:p w:rsidR="00165E91" w:rsidRPr="00B013ED" w:rsidRDefault="00165E91" w:rsidP="001569FA">
      <w:pPr>
        <w:pStyle w:val="Heading3"/>
        <w:spacing w:line="480" w:lineRule="auto"/>
        <w:jc w:val="both"/>
        <w:rPr>
          <w:rFonts w:eastAsia="Times New Roman"/>
          <w:color w:val="FF0000"/>
          <w:lang w:eastAsia="en-GB"/>
        </w:rPr>
      </w:pPr>
      <w:bookmarkStart w:id="518" w:name="_Toc370819290"/>
      <w:r w:rsidRPr="00B013ED">
        <w:rPr>
          <w:rFonts w:eastAsia="Times New Roman"/>
          <w:lang w:eastAsia="en-GB"/>
        </w:rPr>
        <w:lastRenderedPageBreak/>
        <w:t>Two fold</w:t>
      </w:r>
      <w:bookmarkEnd w:id="518"/>
    </w:p>
    <w:p w:rsidR="00093E70" w:rsidRPr="00B013ED" w:rsidRDefault="00093E70" w:rsidP="00093E70">
      <w:pPr>
        <w:spacing w:after="120" w:line="480" w:lineRule="auto"/>
        <w:jc w:val="both"/>
        <w:rPr>
          <w:rFonts w:eastAsia="Times New Roman"/>
          <w:bCs/>
          <w:lang w:eastAsia="en-GB"/>
        </w:rPr>
      </w:pPr>
      <w:r w:rsidRPr="00B013ED">
        <w:rPr>
          <w:rFonts w:eastAsia="Times New Roman"/>
          <w:bCs/>
          <w:lang w:eastAsia="en-GB"/>
        </w:rPr>
        <w:t>Aerobic bacteria were grown for 24 h in BHI solution and anaerobic bacteria in BHI + H +M respectively.  One ml of bacteria was added to one ml of sterile media and the process continued seven times to give a sequence of dilution as follows: 1:1, 1:2, 1:8, 1:16, 1:32, 1:64, and 1:128.</w:t>
      </w:r>
    </w:p>
    <w:p w:rsidR="00093E70" w:rsidRDefault="00093E70" w:rsidP="00093E70">
      <w:pPr>
        <w:spacing w:after="120" w:line="480" w:lineRule="auto"/>
        <w:jc w:val="both"/>
        <w:rPr>
          <w:rFonts w:eastAsia="Times New Roman"/>
          <w:bCs/>
          <w:lang w:eastAsia="en-GB"/>
        </w:rPr>
      </w:pPr>
      <w:r w:rsidRPr="00B013ED">
        <w:rPr>
          <w:rFonts w:eastAsia="Times New Roman"/>
          <w:bCs/>
          <w:lang w:eastAsia="en-GB"/>
        </w:rPr>
        <w:t xml:space="preserve">One ml from each tube was then transferred to the cuvette to measure the optical density by Spectrometer (UNICAM 5625 Spectrometer UV/Visible range, Northants, UK).  </w:t>
      </w:r>
    </w:p>
    <w:p w:rsidR="00A43E45" w:rsidRDefault="00A43E45" w:rsidP="00A43E45">
      <w:pPr>
        <w:pStyle w:val="Heading4"/>
        <w:spacing w:line="480" w:lineRule="auto"/>
        <w:rPr>
          <w:lang w:eastAsia="en-GB"/>
        </w:rPr>
      </w:pPr>
      <w:r>
        <w:rPr>
          <w:lang w:eastAsia="en-GB"/>
        </w:rPr>
        <w:t>Optical density</w:t>
      </w:r>
      <w:r w:rsidRPr="00A43E45">
        <w:t xml:space="preserve"> </w:t>
      </w:r>
      <w:r w:rsidRPr="00A43E45">
        <w:rPr>
          <w:lang w:eastAsia="en-GB"/>
        </w:rPr>
        <w:t>Spectrometer</w:t>
      </w:r>
    </w:p>
    <w:p w:rsidR="00A43E45" w:rsidRPr="00A270BB" w:rsidRDefault="00A43E45" w:rsidP="00A270BB">
      <w:pPr>
        <w:spacing w:line="480" w:lineRule="auto"/>
        <w:rPr>
          <w:szCs w:val="24"/>
        </w:rPr>
      </w:pPr>
      <w:r w:rsidRPr="00A270BB">
        <w:rPr>
          <w:szCs w:val="24"/>
          <w:lang w:eastAsia="en-GB"/>
        </w:rPr>
        <w:t>The spectrophotometer was used to pass a light of a wavelength of 540 nm (optical density OD</w:t>
      </w:r>
      <w:r w:rsidRPr="00A270BB">
        <w:rPr>
          <w:szCs w:val="24"/>
          <w:vertAlign w:val="subscript"/>
          <w:lang w:eastAsia="en-GB"/>
        </w:rPr>
        <w:t>540</w:t>
      </w:r>
      <w:r w:rsidRPr="00A270BB">
        <w:rPr>
          <w:szCs w:val="24"/>
          <w:lang w:eastAsia="en-GB"/>
        </w:rPr>
        <w:t>) through the bacteria suspension</w:t>
      </w:r>
      <w:r w:rsidRPr="00FC3EE3">
        <w:rPr>
          <w:rStyle w:val="tableChar"/>
          <w:rFonts w:eastAsiaTheme="minorHAnsi"/>
        </w:rPr>
        <w:t xml:space="preserve">. </w:t>
      </w:r>
      <w:r w:rsidR="00093E70" w:rsidRPr="00FC3EE3">
        <w:rPr>
          <w:rStyle w:val="tableChar"/>
          <w:rFonts w:eastAsiaTheme="minorHAnsi"/>
        </w:rPr>
        <w:t>(</w:t>
      </w:r>
      <w:r w:rsidRPr="00FC3EE3">
        <w:rPr>
          <w:rStyle w:val="tableChar"/>
          <w:rFonts w:eastAsiaTheme="minorHAnsi"/>
          <w:highlight w:val="yellow"/>
        </w:rPr>
        <w:fldChar w:fldCharType="begin"/>
      </w:r>
      <w:r w:rsidRPr="00FC3EE3">
        <w:rPr>
          <w:rStyle w:val="tableChar"/>
          <w:rFonts w:eastAsiaTheme="minorHAnsi"/>
        </w:rPr>
        <w:instrText xml:space="preserve"> REF _Ref360488973 \h </w:instrText>
      </w:r>
      <w:r w:rsidR="00A270BB" w:rsidRPr="00FC3EE3">
        <w:rPr>
          <w:rStyle w:val="tableChar"/>
          <w:rFonts w:eastAsiaTheme="minorHAnsi"/>
          <w:highlight w:val="yellow"/>
        </w:rPr>
        <w:instrText xml:space="preserve"> \* MERGEFORMAT </w:instrText>
      </w:r>
      <w:r w:rsidRPr="00FC3EE3">
        <w:rPr>
          <w:rStyle w:val="tableChar"/>
          <w:rFonts w:eastAsiaTheme="minorHAnsi"/>
          <w:highlight w:val="yellow"/>
        </w:rPr>
      </w:r>
      <w:r w:rsidRPr="00FC3EE3">
        <w:rPr>
          <w:rStyle w:val="tableChar"/>
          <w:rFonts w:eastAsiaTheme="minorHAnsi"/>
          <w:highlight w:val="yellow"/>
        </w:rPr>
        <w:fldChar w:fldCharType="separate"/>
      </w:r>
      <w:r w:rsidR="00374B77" w:rsidRPr="00374B77">
        <w:rPr>
          <w:rStyle w:val="tableChar"/>
          <w:rFonts w:eastAsiaTheme="minorHAnsi"/>
        </w:rPr>
        <w:t xml:space="preserve">Figure </w:t>
      </w:r>
      <w:r w:rsidR="00374B77" w:rsidRPr="00374B77">
        <w:rPr>
          <w:rStyle w:val="tableChar"/>
          <w:rFonts w:eastAsiaTheme="minorHAnsi"/>
          <w:cs/>
        </w:rPr>
        <w:t>‎</w:t>
      </w:r>
      <w:r w:rsidR="00374B77">
        <w:rPr>
          <w:rFonts w:cstheme="minorBidi"/>
          <w:b/>
          <w:bCs/>
          <w:noProof/>
          <w:sz w:val="20"/>
          <w:szCs w:val="20"/>
        </w:rPr>
        <w:t>3.5</w:t>
      </w:r>
      <w:r w:rsidRPr="00FC3EE3">
        <w:rPr>
          <w:rStyle w:val="tableChar"/>
          <w:rFonts w:eastAsiaTheme="minorHAnsi"/>
          <w:highlight w:val="yellow"/>
        </w:rPr>
        <w:fldChar w:fldCharType="end"/>
      </w:r>
      <w:r w:rsidR="00093E70" w:rsidRPr="00FC3EE3">
        <w:rPr>
          <w:rStyle w:val="tableChar"/>
          <w:rFonts w:eastAsiaTheme="minorHAnsi"/>
        </w:rPr>
        <w:t>)</w:t>
      </w:r>
      <w:r w:rsidRPr="00FC3EE3">
        <w:rPr>
          <w:rStyle w:val="tableChar"/>
          <w:rFonts w:eastAsiaTheme="minorHAnsi"/>
        </w:rPr>
        <w:t>.</w:t>
      </w:r>
    </w:p>
    <w:p w:rsidR="00165E91" w:rsidRPr="00A270BB" w:rsidRDefault="00165E91" w:rsidP="001569FA">
      <w:pPr>
        <w:spacing w:before="150" w:after="120" w:line="480" w:lineRule="auto"/>
        <w:jc w:val="both"/>
        <w:rPr>
          <w:rFonts w:cstheme="minorBidi"/>
          <w:color w:val="000000"/>
          <w:szCs w:val="24"/>
        </w:rPr>
      </w:pPr>
      <w:r w:rsidRPr="00A270BB">
        <w:rPr>
          <w:rFonts w:eastAsia="Times New Roman"/>
          <w:b/>
          <w:bCs/>
          <w:szCs w:val="24"/>
          <w:lang w:eastAsia="en-GB"/>
        </w:rPr>
        <w:t>Turbidity (Optical Density)</w:t>
      </w:r>
      <w:r w:rsidRPr="00A270BB">
        <w:rPr>
          <w:rFonts w:eastAsia="Times New Roman"/>
          <w:szCs w:val="24"/>
          <w:lang w:eastAsia="en-GB"/>
        </w:rPr>
        <w:t>:</w:t>
      </w:r>
      <w:r w:rsidRPr="00A270BB">
        <w:rPr>
          <w:rFonts w:cstheme="minorBidi"/>
          <w:color w:val="000000"/>
          <w:szCs w:val="24"/>
        </w:rPr>
        <w:t xml:space="preserve"> The following procedure was carried out in a bio-safety cabinet using sterile pipette tips to avoid contamination of sterile media stock and also to protect the live cultures from contamination. </w:t>
      </w:r>
    </w:p>
    <w:p w:rsidR="00165E91" w:rsidRPr="00B013ED" w:rsidRDefault="00165E91" w:rsidP="00325FF6">
      <w:pPr>
        <w:pStyle w:val="Heading4"/>
        <w:spacing w:line="480" w:lineRule="auto"/>
      </w:pPr>
      <w:r w:rsidRPr="00B013ED">
        <w:t>Sample preparation:</w:t>
      </w:r>
    </w:p>
    <w:p w:rsidR="00165E91" w:rsidRPr="00B013ED" w:rsidRDefault="00165E91" w:rsidP="00E67E7F">
      <w:pPr>
        <w:numPr>
          <w:ilvl w:val="0"/>
          <w:numId w:val="75"/>
        </w:numPr>
        <w:autoSpaceDE w:val="0"/>
        <w:autoSpaceDN w:val="0"/>
        <w:adjustRightInd w:val="0"/>
        <w:spacing w:after="120" w:line="480" w:lineRule="auto"/>
        <w:jc w:val="both"/>
        <w:rPr>
          <w:rFonts w:cstheme="minorBidi"/>
          <w:color w:val="000000"/>
        </w:rPr>
      </w:pPr>
      <w:r w:rsidRPr="00B013ED">
        <w:rPr>
          <w:rFonts w:cstheme="minorBidi"/>
          <w:color w:val="000000"/>
        </w:rPr>
        <w:t xml:space="preserve">1 mL of prepared bacteria was pipetted into a disposable polystyrene cuvette. The cuvette was labelled on the frosted portion at the top, without touching the lower part of the cuvette as it might interfere with the reading. </w:t>
      </w:r>
    </w:p>
    <w:p w:rsidR="00165E91" w:rsidRPr="00B013ED" w:rsidRDefault="00165E91" w:rsidP="00E67E7F">
      <w:pPr>
        <w:numPr>
          <w:ilvl w:val="0"/>
          <w:numId w:val="75"/>
        </w:numPr>
        <w:autoSpaceDE w:val="0"/>
        <w:autoSpaceDN w:val="0"/>
        <w:adjustRightInd w:val="0"/>
        <w:spacing w:after="120" w:line="480" w:lineRule="auto"/>
        <w:jc w:val="both"/>
        <w:rPr>
          <w:rFonts w:cstheme="minorBidi"/>
          <w:color w:val="000000"/>
        </w:rPr>
      </w:pPr>
      <w:r w:rsidRPr="00B013ED">
        <w:rPr>
          <w:rFonts w:cstheme="minorBidi"/>
          <w:color w:val="000000"/>
        </w:rPr>
        <w:t xml:space="preserve">All samples were prepared. </w:t>
      </w:r>
    </w:p>
    <w:p w:rsidR="00165E91" w:rsidRPr="00B013ED" w:rsidRDefault="00165E91" w:rsidP="00E67E7F">
      <w:pPr>
        <w:numPr>
          <w:ilvl w:val="0"/>
          <w:numId w:val="75"/>
        </w:numPr>
        <w:autoSpaceDE w:val="0"/>
        <w:autoSpaceDN w:val="0"/>
        <w:adjustRightInd w:val="0"/>
        <w:spacing w:after="120" w:line="480" w:lineRule="auto"/>
        <w:jc w:val="both"/>
        <w:rPr>
          <w:rFonts w:cstheme="minorBidi"/>
          <w:color w:val="000000"/>
        </w:rPr>
      </w:pPr>
      <w:r w:rsidRPr="00B013ED">
        <w:rPr>
          <w:rFonts w:cstheme="minorBidi"/>
          <w:color w:val="000000"/>
        </w:rPr>
        <w:t>Spectrophotometer must have been warm for at least 15 min. prior to use. A wavelength of 540 nm</w:t>
      </w:r>
      <w:r w:rsidR="00093E70">
        <w:rPr>
          <w:rFonts w:cstheme="minorBidi"/>
          <w:color w:val="000000"/>
        </w:rPr>
        <w:t>.</w:t>
      </w:r>
      <w:r w:rsidRPr="00B013ED">
        <w:rPr>
          <w:rFonts w:cstheme="minorBidi"/>
          <w:color w:val="000000"/>
        </w:rPr>
        <w:t xml:space="preserve"> </w:t>
      </w:r>
    </w:p>
    <w:p w:rsidR="00165E91" w:rsidRPr="00B013ED" w:rsidRDefault="00165E91" w:rsidP="00E67E7F">
      <w:pPr>
        <w:numPr>
          <w:ilvl w:val="0"/>
          <w:numId w:val="75"/>
        </w:numPr>
        <w:autoSpaceDE w:val="0"/>
        <w:autoSpaceDN w:val="0"/>
        <w:adjustRightInd w:val="0"/>
        <w:spacing w:after="120" w:line="480" w:lineRule="auto"/>
        <w:jc w:val="both"/>
        <w:rPr>
          <w:rFonts w:cstheme="minorBidi"/>
          <w:color w:val="000000"/>
        </w:rPr>
      </w:pPr>
      <w:r w:rsidRPr="00B013ED">
        <w:rPr>
          <w:rFonts w:cstheme="minorBidi"/>
          <w:color w:val="000000"/>
        </w:rPr>
        <w:lastRenderedPageBreak/>
        <w:t xml:space="preserve">Sample medium was used for calibration with blank un-inoculated broth which was (BHI+H+M or BHI); the machine was re-recalibrated if necessary before checking the next sample. </w:t>
      </w:r>
    </w:p>
    <w:p w:rsidR="00165E91" w:rsidRPr="00B013ED" w:rsidRDefault="00165E91" w:rsidP="00E67E7F">
      <w:pPr>
        <w:numPr>
          <w:ilvl w:val="0"/>
          <w:numId w:val="75"/>
        </w:numPr>
        <w:autoSpaceDE w:val="0"/>
        <w:autoSpaceDN w:val="0"/>
        <w:adjustRightInd w:val="0"/>
        <w:spacing w:after="120" w:line="480" w:lineRule="auto"/>
        <w:jc w:val="both"/>
        <w:rPr>
          <w:rFonts w:cstheme="minorBidi"/>
          <w:color w:val="000000"/>
        </w:rPr>
      </w:pPr>
      <w:r w:rsidRPr="00B013ED">
        <w:rPr>
          <w:rFonts w:cstheme="minorBidi"/>
          <w:color w:val="000000"/>
        </w:rPr>
        <w:t>The sample was inserted into the holder. The cover was closed and optical density recorded for each cuvette.</w:t>
      </w:r>
      <w:r w:rsidR="000847D0">
        <w:rPr>
          <w:rFonts w:cstheme="minorBidi"/>
          <w:color w:val="000000"/>
        </w:rPr>
        <w:t xml:space="preserve"> </w:t>
      </w:r>
    </w:p>
    <w:p w:rsidR="00165E91" w:rsidRPr="00B013ED" w:rsidRDefault="00165E91" w:rsidP="00B03E13">
      <w:pPr>
        <w:pStyle w:val="Heading4"/>
        <w:spacing w:line="480" w:lineRule="auto"/>
        <w:rPr>
          <w:lang w:eastAsia="en-GB"/>
        </w:rPr>
      </w:pPr>
      <w:r w:rsidRPr="00B013ED">
        <w:rPr>
          <w:lang w:eastAsia="en-GB"/>
        </w:rPr>
        <w:t>Calculation of the CFU ml</w:t>
      </w:r>
      <w:r w:rsidRPr="00B013ED">
        <w:rPr>
          <w:vertAlign w:val="superscript"/>
          <w:lang w:eastAsia="en-GB"/>
        </w:rPr>
        <w:t>-1</w:t>
      </w:r>
      <w:r w:rsidR="00325FF6">
        <w:rPr>
          <w:lang w:eastAsia="en-GB"/>
        </w:rPr>
        <w:t xml:space="preserve"> </w:t>
      </w:r>
    </w:p>
    <w:p w:rsidR="00165E91" w:rsidRPr="000255A9" w:rsidRDefault="00165E91" w:rsidP="000255A9">
      <w:pPr>
        <w:spacing w:line="480" w:lineRule="auto"/>
        <w:jc w:val="both"/>
        <w:rPr>
          <w:rFonts w:eastAsia="Times New Roman"/>
          <w:szCs w:val="24"/>
          <w:lang w:eastAsia="en-GB"/>
        </w:rPr>
      </w:pPr>
      <w:r w:rsidRPr="000255A9">
        <w:rPr>
          <w:rFonts w:eastAsia="Times New Roman"/>
          <w:szCs w:val="24"/>
          <w:lang w:eastAsia="en-GB"/>
        </w:rPr>
        <w:t xml:space="preserve">This was </w:t>
      </w:r>
      <w:r w:rsidR="00093E70" w:rsidRPr="000255A9">
        <w:rPr>
          <w:rFonts w:eastAsia="Times New Roman"/>
          <w:szCs w:val="24"/>
          <w:lang w:eastAsia="en-GB"/>
        </w:rPr>
        <w:t>carried out</w:t>
      </w:r>
      <w:r w:rsidRPr="000255A9">
        <w:rPr>
          <w:rFonts w:eastAsia="Times New Roman"/>
          <w:szCs w:val="24"/>
          <w:lang w:eastAsia="en-GB"/>
        </w:rPr>
        <w:t xml:space="preserve"> on the day of the experiment for the pure cultures of bacteria (Gram stains broth before adjusting the optical density). The optical density was measured at a wavelength of (OD</w:t>
      </w:r>
      <w:r w:rsidRPr="000255A9">
        <w:rPr>
          <w:rFonts w:eastAsia="Times New Roman"/>
          <w:szCs w:val="24"/>
          <w:vertAlign w:val="subscript"/>
          <w:lang w:eastAsia="en-GB"/>
        </w:rPr>
        <w:t>540</w:t>
      </w:r>
      <w:r w:rsidRPr="000255A9">
        <w:rPr>
          <w:rFonts w:eastAsia="Times New Roman"/>
          <w:szCs w:val="24"/>
          <w:lang w:eastAsia="en-GB"/>
        </w:rPr>
        <w:t xml:space="preserve">), this related to the number of cells in the suspension, as represented in </w:t>
      </w:r>
      <w:r w:rsidR="00111424" w:rsidRPr="00FC3EE3">
        <w:rPr>
          <w:rStyle w:val="tableChar"/>
          <w:rFonts w:eastAsiaTheme="minorHAnsi"/>
        </w:rPr>
        <w:fldChar w:fldCharType="begin"/>
      </w:r>
      <w:r w:rsidR="00111424" w:rsidRPr="00FC3EE3">
        <w:rPr>
          <w:rStyle w:val="tableChar"/>
          <w:rFonts w:eastAsiaTheme="minorHAnsi"/>
        </w:rPr>
        <w:instrText xml:space="preserve"> REF _Ref360488973 \h </w:instrText>
      </w:r>
      <w:r w:rsidR="000255A9" w:rsidRPr="00FC3EE3">
        <w:rPr>
          <w:rStyle w:val="tableChar"/>
          <w:rFonts w:eastAsiaTheme="minorHAnsi"/>
        </w:rPr>
        <w:instrText xml:space="preserve"> \* MERGEFORMAT </w:instrText>
      </w:r>
      <w:r w:rsidR="00111424" w:rsidRPr="00FC3EE3">
        <w:rPr>
          <w:rStyle w:val="tableChar"/>
          <w:rFonts w:eastAsiaTheme="minorHAnsi"/>
        </w:rPr>
      </w:r>
      <w:r w:rsidR="00111424" w:rsidRPr="00FC3EE3">
        <w:rPr>
          <w:rStyle w:val="tableChar"/>
          <w:rFonts w:eastAsiaTheme="minorHAnsi"/>
        </w:rPr>
        <w:fldChar w:fldCharType="separate"/>
      </w:r>
      <w:r w:rsidR="00374B77" w:rsidRPr="00374B77">
        <w:rPr>
          <w:rStyle w:val="tableChar"/>
          <w:rFonts w:eastAsiaTheme="minorHAnsi"/>
        </w:rPr>
        <w:t xml:space="preserve">Figure </w:t>
      </w:r>
      <w:r w:rsidR="00374B77" w:rsidRPr="00374B77">
        <w:rPr>
          <w:rStyle w:val="tableChar"/>
          <w:rFonts w:eastAsiaTheme="minorHAnsi"/>
          <w:cs/>
        </w:rPr>
        <w:t>‎</w:t>
      </w:r>
      <w:r w:rsidR="00374B77">
        <w:rPr>
          <w:rFonts w:cstheme="minorBidi"/>
          <w:b/>
          <w:bCs/>
          <w:noProof/>
          <w:sz w:val="20"/>
          <w:szCs w:val="20"/>
        </w:rPr>
        <w:t>3.5</w:t>
      </w:r>
      <w:r w:rsidR="00111424" w:rsidRPr="00FC3EE3">
        <w:rPr>
          <w:rStyle w:val="tableChar"/>
          <w:rFonts w:eastAsiaTheme="minorHAnsi"/>
        </w:rPr>
        <w:fldChar w:fldCharType="end"/>
      </w:r>
      <w:r w:rsidR="00111424" w:rsidRPr="000255A9">
        <w:rPr>
          <w:rFonts w:eastAsia="Times New Roman"/>
          <w:szCs w:val="24"/>
          <w:lang w:eastAsia="en-GB"/>
        </w:rPr>
        <w:t xml:space="preserve"> </w:t>
      </w:r>
      <w:r w:rsidRPr="000255A9">
        <w:rPr>
          <w:rFonts w:eastAsia="Times New Roman"/>
          <w:szCs w:val="24"/>
          <w:lang w:eastAsia="en-GB"/>
        </w:rPr>
        <w:t>below.  The suspension was adjusted with sterile BHI broth plus haemin to an OD</w:t>
      </w:r>
      <w:r w:rsidRPr="000255A9">
        <w:rPr>
          <w:rFonts w:eastAsia="Times New Roman"/>
          <w:szCs w:val="24"/>
          <w:vertAlign w:val="subscript"/>
          <w:lang w:eastAsia="en-GB"/>
        </w:rPr>
        <w:t>540</w:t>
      </w:r>
      <w:r w:rsidRPr="000255A9">
        <w:rPr>
          <w:rFonts w:eastAsia="Times New Roman"/>
          <w:szCs w:val="24"/>
          <w:lang w:eastAsia="en-GB"/>
        </w:rPr>
        <w:t xml:space="preserve"> that corresponded to 1×10</w:t>
      </w:r>
      <w:r w:rsidRPr="000255A9">
        <w:rPr>
          <w:rFonts w:eastAsia="Times New Roman"/>
          <w:szCs w:val="24"/>
          <w:vertAlign w:val="superscript"/>
          <w:lang w:eastAsia="en-GB"/>
        </w:rPr>
        <w:t xml:space="preserve">-6  </w:t>
      </w:r>
      <w:r w:rsidRPr="000255A9">
        <w:rPr>
          <w:rFonts w:eastAsia="Times New Roman"/>
          <w:szCs w:val="24"/>
          <w:lang w:eastAsia="en-GB"/>
        </w:rPr>
        <w:t xml:space="preserve">colony forming units (CFU)/ ml) from a graph that was generated by plotting viable counts and optical density readings. </w:t>
      </w:r>
    </w:p>
    <w:p w:rsidR="00165E91" w:rsidRPr="000255A9" w:rsidRDefault="00165E91" w:rsidP="000255A9">
      <w:pPr>
        <w:spacing w:before="150" w:after="120" w:line="480" w:lineRule="auto"/>
        <w:ind w:left="75"/>
        <w:jc w:val="both"/>
        <w:rPr>
          <w:rFonts w:eastAsia="Times New Roman"/>
          <w:szCs w:val="24"/>
          <w:lang w:eastAsia="en-GB"/>
        </w:rPr>
      </w:pPr>
      <w:r w:rsidRPr="000255A9">
        <w:rPr>
          <w:rFonts w:eastAsia="Times New Roman"/>
          <w:szCs w:val="24"/>
          <w:lang w:eastAsia="en-GB"/>
        </w:rPr>
        <w:t>The number of colonies was then used to estimate the number of CFUml</w:t>
      </w:r>
      <w:r w:rsidRPr="000255A9">
        <w:rPr>
          <w:rFonts w:eastAsia="Times New Roman"/>
          <w:szCs w:val="24"/>
          <w:vertAlign w:val="superscript"/>
          <w:lang w:eastAsia="en-GB"/>
        </w:rPr>
        <w:t>-1</w:t>
      </w:r>
      <w:r w:rsidRPr="000255A9">
        <w:rPr>
          <w:rFonts w:eastAsia="Times New Roman"/>
          <w:szCs w:val="24"/>
          <w:lang w:eastAsia="en-GB"/>
        </w:rPr>
        <w:t xml:space="preserve"> of the original inoculums. This was calculated using the following formula:</w:t>
      </w:r>
    </w:p>
    <w:p w:rsidR="00165E91" w:rsidRPr="00B013ED" w:rsidRDefault="00165E91" w:rsidP="001569FA">
      <w:pPr>
        <w:spacing w:before="150" w:after="120" w:line="480" w:lineRule="auto"/>
        <w:ind w:left="75"/>
        <w:jc w:val="both"/>
        <w:rPr>
          <w:rFonts w:eastAsia="Times New Roman"/>
          <w:b/>
          <w:lang w:eastAsia="en-GB"/>
        </w:rPr>
      </w:pPr>
      <w:r w:rsidRPr="00B013ED">
        <w:rPr>
          <w:rFonts w:eastAsia="Times New Roman"/>
          <w:b/>
          <w:lang w:eastAsia="en-GB"/>
        </w:rPr>
        <w:t>(CFU in dilution) x dilution factor x 10 = CFU ml</w:t>
      </w:r>
      <w:r w:rsidRPr="00B013ED">
        <w:rPr>
          <w:rFonts w:eastAsia="Times New Roman"/>
          <w:b/>
          <w:vertAlign w:val="superscript"/>
          <w:lang w:eastAsia="en-GB"/>
        </w:rPr>
        <w:t>-1</w:t>
      </w:r>
      <w:r w:rsidRPr="00B013ED">
        <w:rPr>
          <w:rFonts w:eastAsia="Times New Roman"/>
          <w:b/>
          <w:lang w:eastAsia="en-GB"/>
        </w:rPr>
        <w:t xml:space="preserve"> original inoculum. </w:t>
      </w:r>
    </w:p>
    <w:p w:rsidR="000255A9" w:rsidRDefault="00165E91" w:rsidP="000255A9">
      <w:pPr>
        <w:spacing w:before="150" w:after="120" w:line="480" w:lineRule="auto"/>
        <w:ind w:left="75"/>
        <w:jc w:val="both"/>
        <w:rPr>
          <w:rFonts w:eastAsia="Times New Roman"/>
          <w:lang w:eastAsia="en-GB"/>
        </w:rPr>
      </w:pPr>
      <w:r w:rsidRPr="00B013ED">
        <w:rPr>
          <w:rFonts w:eastAsia="Times New Roman"/>
          <w:lang w:eastAsia="en-GB"/>
        </w:rPr>
        <w:t>These results were tabulated against the respective OD</w:t>
      </w:r>
      <w:r w:rsidRPr="00B013ED">
        <w:rPr>
          <w:rFonts w:eastAsia="Times New Roman"/>
          <w:vertAlign w:val="subscript"/>
          <w:lang w:eastAsia="en-GB"/>
        </w:rPr>
        <w:t xml:space="preserve">540 </w:t>
      </w:r>
      <w:r w:rsidRPr="00B013ED">
        <w:rPr>
          <w:rFonts w:eastAsia="Times New Roman"/>
          <w:lang w:eastAsia="en-GB"/>
        </w:rPr>
        <w:t>and standard growth curves were generated.</w:t>
      </w:r>
    </w:p>
    <w:p w:rsidR="000255A9" w:rsidRDefault="000255A9">
      <w:pPr>
        <w:rPr>
          <w:rFonts w:eastAsia="Times New Roman"/>
          <w:lang w:eastAsia="en-GB"/>
        </w:rPr>
      </w:pPr>
      <w:r>
        <w:rPr>
          <w:rFonts w:eastAsia="Times New Roman"/>
          <w:lang w:eastAsia="en-GB"/>
        </w:rPr>
        <w:br w:type="page"/>
      </w:r>
    </w:p>
    <w:p w:rsidR="00886770" w:rsidRPr="000255A9" w:rsidRDefault="00886770" w:rsidP="000255A9">
      <w:pPr>
        <w:spacing w:before="150" w:after="120" w:line="480" w:lineRule="auto"/>
        <w:ind w:left="75"/>
        <w:jc w:val="both"/>
        <w:rPr>
          <w:rFonts w:eastAsia="Times New Roman"/>
          <w:lang w:eastAsia="en-GB"/>
        </w:rPr>
      </w:pPr>
    </w:p>
    <w:p w:rsidR="0083452A" w:rsidRDefault="00C67C41" w:rsidP="001D3F19">
      <w:pPr>
        <w:rPr>
          <w:rFonts w:cstheme="minorBidi"/>
          <w:b/>
          <w:bCs/>
          <w:sz w:val="20"/>
          <w:szCs w:val="20"/>
        </w:rPr>
      </w:pPr>
      <w:bookmarkStart w:id="519" w:name="_Ref360488973"/>
      <w:bookmarkStart w:id="520" w:name="_Toc360367443"/>
      <w:bookmarkStart w:id="521" w:name="_Toc360367348"/>
      <w:bookmarkStart w:id="522" w:name="_Toc361733619"/>
      <w:bookmarkStart w:id="523" w:name="_Toc361734262"/>
      <w:r w:rsidRPr="0083452A">
        <w:rPr>
          <w:rFonts w:cstheme="minorBidi"/>
          <w:b/>
          <w:bCs/>
          <w:sz w:val="20"/>
          <w:szCs w:val="20"/>
        </w:rPr>
        <w:t>Figure</w:t>
      </w:r>
      <w:r w:rsidR="00111424" w:rsidRPr="0083452A">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5</w:t>
      </w:r>
      <w:r w:rsidR="00DF37B0">
        <w:rPr>
          <w:rFonts w:cstheme="minorBidi"/>
          <w:b/>
          <w:bCs/>
          <w:sz w:val="20"/>
          <w:szCs w:val="20"/>
        </w:rPr>
        <w:fldChar w:fldCharType="end"/>
      </w:r>
      <w:bookmarkEnd w:id="519"/>
      <w:r w:rsidR="00111424" w:rsidRPr="0083452A">
        <w:rPr>
          <w:rFonts w:cstheme="minorBidi"/>
          <w:b/>
          <w:bCs/>
          <w:sz w:val="20"/>
          <w:szCs w:val="20"/>
        </w:rPr>
        <w:t xml:space="preserve"> </w:t>
      </w:r>
      <w:r w:rsidR="00165E91" w:rsidRPr="0083452A">
        <w:rPr>
          <w:rFonts w:cstheme="minorBidi"/>
          <w:b/>
          <w:bCs/>
          <w:sz w:val="20"/>
          <w:szCs w:val="20"/>
          <w:lang w:eastAsia="en-GB"/>
        </w:rPr>
        <w:t>This diagram illustrate</w:t>
      </w:r>
      <w:r w:rsidR="002E3DEF" w:rsidRPr="0083452A">
        <w:rPr>
          <w:rFonts w:cstheme="minorBidi"/>
          <w:b/>
          <w:bCs/>
          <w:sz w:val="20"/>
          <w:szCs w:val="20"/>
          <w:lang w:eastAsia="en-GB"/>
        </w:rPr>
        <w:t>s</w:t>
      </w:r>
      <w:r w:rsidR="00165E91" w:rsidRPr="0083452A">
        <w:rPr>
          <w:rFonts w:cstheme="minorBidi"/>
          <w:b/>
          <w:bCs/>
          <w:sz w:val="20"/>
          <w:szCs w:val="20"/>
          <w:lang w:eastAsia="en-GB"/>
        </w:rPr>
        <w:t xml:space="preserve"> how </w:t>
      </w:r>
      <w:r w:rsidR="00165E91" w:rsidRPr="0083452A">
        <w:rPr>
          <w:rFonts w:cstheme="minorBidi"/>
          <w:b/>
          <w:bCs/>
          <w:sz w:val="20"/>
          <w:szCs w:val="20"/>
        </w:rPr>
        <w:t>spectrophotometer worked to count the bacteria</w:t>
      </w:r>
      <w:bookmarkEnd w:id="520"/>
      <w:bookmarkEnd w:id="521"/>
      <w:r w:rsidR="0083452A">
        <w:rPr>
          <w:rFonts w:cstheme="minorBidi"/>
          <w:b/>
          <w:bCs/>
          <w:sz w:val="20"/>
          <w:szCs w:val="20"/>
        </w:rPr>
        <w:t>.</w:t>
      </w:r>
      <w:bookmarkEnd w:id="522"/>
      <w:bookmarkEnd w:id="523"/>
    </w:p>
    <w:p w:rsidR="00165E91" w:rsidRPr="0083452A" w:rsidRDefault="00165E91" w:rsidP="001D3F19">
      <w:pPr>
        <w:rPr>
          <w:rFonts w:cstheme="minorBidi"/>
          <w:b/>
          <w:bCs/>
          <w:sz w:val="20"/>
          <w:szCs w:val="20"/>
          <w:lang w:eastAsia="en-GB"/>
        </w:rPr>
      </w:pPr>
      <w:r w:rsidRPr="0083452A">
        <w:rPr>
          <w:rFonts w:cstheme="minorBidi"/>
          <w:b/>
          <w:bCs/>
          <w:sz w:val="20"/>
          <w:szCs w:val="20"/>
        </w:rPr>
        <w:t xml:space="preserve"> </w:t>
      </w:r>
    </w:p>
    <w:p w:rsidR="00165E91" w:rsidRPr="00B013ED" w:rsidRDefault="00165E91" w:rsidP="00165E91">
      <w:pPr>
        <w:spacing w:after="120" w:line="480" w:lineRule="auto"/>
        <w:jc w:val="both"/>
        <w:rPr>
          <w:rFonts w:eastAsia="Times New Roman"/>
          <w:b/>
          <w:color w:val="FF0000"/>
          <w:lang w:eastAsia="en-GB"/>
        </w:rPr>
      </w:pPr>
      <w:r w:rsidRPr="00B013ED">
        <w:rPr>
          <w:rFonts w:eastAsia="Times New Roman"/>
          <w:b/>
          <w:noProof/>
          <w:color w:val="FF0000"/>
          <w:lang w:eastAsia="en-GB"/>
        </w:rPr>
        <w:drawing>
          <wp:anchor distT="0" distB="0" distL="114300" distR="114300" simplePos="0" relativeHeight="251672576" behindDoc="0" locked="0" layoutInCell="1" allowOverlap="1" wp14:anchorId="603895E1" wp14:editId="75DACF0C">
            <wp:simplePos x="0" y="0"/>
            <wp:positionH relativeFrom="column">
              <wp:posOffset>3962400</wp:posOffset>
            </wp:positionH>
            <wp:positionV relativeFrom="paragraph">
              <wp:posOffset>304800</wp:posOffset>
            </wp:positionV>
            <wp:extent cx="1676400" cy="1085850"/>
            <wp:effectExtent l="19050" t="0" r="0" b="0"/>
            <wp:wrapSquare wrapText="bothSides"/>
            <wp:docPr id="41" name="Picture 4" descr="http://www.onlinelabsupplies.com/assets/Image/Product/detailsbig/Spectrophotometer_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nlinelabsupplies.com/assets/Image/Product/detailsbig/Spectrophotometer_6300.jpg"/>
                    <pic:cNvPicPr>
                      <a:picLocks noChangeAspect="1" noChangeArrowheads="1"/>
                    </pic:cNvPicPr>
                  </pic:nvPicPr>
                  <pic:blipFill>
                    <a:blip r:embed="rId72" cstate="print"/>
                    <a:srcRect l="13720" t="17981" r="53602" b="53793"/>
                    <a:stretch>
                      <a:fillRect/>
                    </a:stretch>
                  </pic:blipFill>
                  <pic:spPr bwMode="auto">
                    <a:xfrm>
                      <a:off x="0" y="0"/>
                      <a:ext cx="1676400" cy="1085850"/>
                    </a:xfrm>
                    <a:prstGeom prst="rect">
                      <a:avLst/>
                    </a:prstGeom>
                    <a:noFill/>
                    <a:ln w="9525">
                      <a:noFill/>
                      <a:miter lim="800000"/>
                      <a:headEnd/>
                      <a:tailEnd/>
                    </a:ln>
                  </pic:spPr>
                </pic:pic>
              </a:graphicData>
            </a:graphic>
          </wp:anchor>
        </w:drawing>
      </w:r>
      <w:r w:rsidRPr="00B013ED">
        <w:rPr>
          <w:rFonts w:eastAsia="Times New Roman"/>
          <w:b/>
          <w:noProof/>
          <w:color w:val="FF0000"/>
          <w:lang w:eastAsia="en-GB"/>
        </w:rPr>
        <w:drawing>
          <wp:anchor distT="0" distB="0" distL="114300" distR="114300" simplePos="0" relativeHeight="251671552" behindDoc="0" locked="0" layoutInCell="1" allowOverlap="1" wp14:anchorId="6645F84B" wp14:editId="25533588">
            <wp:simplePos x="0" y="0"/>
            <wp:positionH relativeFrom="column">
              <wp:posOffset>4105275</wp:posOffset>
            </wp:positionH>
            <wp:positionV relativeFrom="paragraph">
              <wp:posOffset>2295525</wp:posOffset>
            </wp:positionV>
            <wp:extent cx="1676400" cy="971550"/>
            <wp:effectExtent l="19050" t="0" r="0" b="0"/>
            <wp:wrapSquare wrapText="bothSides"/>
            <wp:docPr id="42" name="Picture 4" descr="http://www.onlinelabsupplies.com/assets/Image/Product/detailsbig/Spectrophotometer_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nlinelabsupplies.com/assets/Image/Product/detailsbig/Spectrophotometer_6300.jpg"/>
                    <pic:cNvPicPr>
                      <a:picLocks noChangeAspect="1" noChangeArrowheads="1"/>
                    </pic:cNvPicPr>
                  </pic:nvPicPr>
                  <pic:blipFill>
                    <a:blip r:embed="rId72" cstate="print"/>
                    <a:srcRect l="13720" t="17981" r="53602" b="53793"/>
                    <a:stretch>
                      <a:fillRect/>
                    </a:stretch>
                  </pic:blipFill>
                  <pic:spPr bwMode="auto">
                    <a:xfrm>
                      <a:off x="0" y="0"/>
                      <a:ext cx="1676400" cy="971550"/>
                    </a:xfrm>
                    <a:prstGeom prst="rect">
                      <a:avLst/>
                    </a:prstGeom>
                    <a:noFill/>
                    <a:ln w="9525">
                      <a:noFill/>
                      <a:miter lim="800000"/>
                      <a:headEnd/>
                      <a:tailEnd/>
                    </a:ln>
                  </pic:spPr>
                </pic:pic>
              </a:graphicData>
            </a:graphic>
          </wp:anchor>
        </w:drawing>
      </w:r>
      <w:r w:rsidRPr="00B013ED">
        <w:rPr>
          <w:rFonts w:eastAsia="Times New Roman"/>
          <w:b/>
          <w:noProof/>
          <w:color w:val="FF0000"/>
          <w:lang w:eastAsia="en-GB"/>
        </w:rPr>
        <w:drawing>
          <wp:inline distT="0" distB="0" distL="0" distR="0" wp14:anchorId="0439658C" wp14:editId="28F955BF">
            <wp:extent cx="5391150" cy="3703638"/>
            <wp:effectExtent l="19050" t="0" r="0" b="0"/>
            <wp:docPr id="43" name="Picture 3"/>
            <wp:cNvGraphicFramePr/>
            <a:graphic xmlns:a="http://schemas.openxmlformats.org/drawingml/2006/main">
              <a:graphicData uri="http://schemas.openxmlformats.org/drawingml/2006/picture">
                <pic:pic xmlns:pic="http://schemas.openxmlformats.org/drawingml/2006/picture">
                  <pic:nvPicPr>
                    <pic:cNvPr id="38916" name="Picture 6"/>
                    <pic:cNvPicPr>
                      <a:picLocks noChangeAspect="1" noChangeArrowheads="1"/>
                    </pic:cNvPicPr>
                  </pic:nvPicPr>
                  <pic:blipFill>
                    <a:blip r:embed="rId73" cstate="print"/>
                    <a:srcRect b="3854"/>
                    <a:stretch>
                      <a:fillRect/>
                    </a:stretch>
                  </pic:blipFill>
                  <pic:spPr bwMode="auto">
                    <a:xfrm>
                      <a:off x="0" y="0"/>
                      <a:ext cx="5391150" cy="3703638"/>
                    </a:xfrm>
                    <a:prstGeom prst="rect">
                      <a:avLst/>
                    </a:prstGeom>
                    <a:noFill/>
                    <a:ln w="9525">
                      <a:noFill/>
                      <a:miter lim="800000"/>
                      <a:headEnd/>
                      <a:tailEnd/>
                    </a:ln>
                  </pic:spPr>
                </pic:pic>
              </a:graphicData>
            </a:graphic>
          </wp:inline>
        </w:drawing>
      </w:r>
    </w:p>
    <w:p w:rsidR="00165E91" w:rsidRPr="00B013ED" w:rsidRDefault="00165E91" w:rsidP="00165E91">
      <w:pPr>
        <w:spacing w:before="150" w:after="120" w:line="360" w:lineRule="auto"/>
        <w:ind w:left="75"/>
        <w:rPr>
          <w:rFonts w:eastAsia="Times New Roman"/>
          <w:b/>
          <w:lang w:eastAsia="en-GB"/>
        </w:rPr>
      </w:pPr>
    </w:p>
    <w:p w:rsidR="00165E91" w:rsidRPr="00B013ED" w:rsidRDefault="00A43E45" w:rsidP="00271BD5">
      <w:pPr>
        <w:spacing w:before="150" w:after="120" w:line="360" w:lineRule="auto"/>
        <w:ind w:left="75"/>
        <w:jc w:val="both"/>
        <w:rPr>
          <w:rFonts w:eastAsia="Times New Roman"/>
          <w:lang w:eastAsia="en-GB"/>
        </w:rPr>
      </w:pPr>
      <w:r>
        <w:rPr>
          <w:rFonts w:eastAsia="Times New Roman"/>
          <w:b/>
          <w:lang w:eastAsia="en-GB"/>
        </w:rPr>
        <w:t xml:space="preserve">NB </w:t>
      </w:r>
      <w:r w:rsidR="00165E91" w:rsidRPr="00B013ED">
        <w:rPr>
          <w:rFonts w:eastAsia="Times New Roman"/>
          <w:lang w:eastAsia="en-GB"/>
        </w:rPr>
        <w:t>The dilution series experiments and viable counts were repeated three times to ensure operator reproducibility.</w:t>
      </w:r>
    </w:p>
    <w:p w:rsidR="00B03E13" w:rsidRDefault="00B03E13">
      <w:pPr>
        <w:rPr>
          <w:rFonts w:eastAsiaTheme="majorEastAsia"/>
          <w:b/>
          <w:bCs/>
          <w:sz w:val="28"/>
          <w:lang w:eastAsia="en-GB"/>
        </w:rPr>
      </w:pPr>
      <w:r>
        <w:rPr>
          <w:lang w:eastAsia="en-GB"/>
        </w:rPr>
        <w:br w:type="page"/>
      </w:r>
    </w:p>
    <w:p w:rsidR="00165E91" w:rsidRPr="00B013ED" w:rsidRDefault="00165E91" w:rsidP="009B5330">
      <w:pPr>
        <w:pStyle w:val="Heading3"/>
        <w:spacing w:line="480" w:lineRule="auto"/>
        <w:rPr>
          <w:lang w:eastAsia="en-GB"/>
        </w:rPr>
      </w:pPr>
      <w:bookmarkStart w:id="524" w:name="_Toc370819291"/>
      <w:r w:rsidRPr="00B013ED">
        <w:rPr>
          <w:lang w:eastAsia="en-GB"/>
        </w:rPr>
        <w:lastRenderedPageBreak/>
        <w:t>Summary of agar diffusion assay procedures</w:t>
      </w:r>
      <w:bookmarkEnd w:id="524"/>
    </w:p>
    <w:p w:rsidR="0083452A" w:rsidRPr="00B013ED" w:rsidRDefault="0083452A" w:rsidP="0083452A">
      <w:pPr>
        <w:spacing w:after="120" w:line="480" w:lineRule="auto"/>
        <w:jc w:val="both"/>
        <w:rPr>
          <w:rFonts w:eastAsia="Times New Roman"/>
          <w:bCs/>
          <w:color w:val="000000"/>
          <w:lang w:eastAsia="en-GB"/>
        </w:rPr>
      </w:pPr>
      <w:r w:rsidRPr="00B013ED">
        <w:rPr>
          <w:rFonts w:eastAsia="Times New Roman"/>
          <w:bCs/>
          <w:color w:val="000000"/>
          <w:lang w:eastAsia="en-GB"/>
        </w:rPr>
        <w:t>The respective test bacteria were grown in BHI broth. For the strict anaerobic bacteria broths were pre-reduced for 24 hours before inoculation. Test samples were produced by lifting colonies of bacteria from the CBA plates with a sterile wire loop and inoculating a 10ml BHI broth (+/-haemin as required). This suspension was then incubated overnight at 37</w:t>
      </w:r>
      <w:r w:rsidRPr="00B013ED">
        <w:rPr>
          <w:rFonts w:eastAsia="Times New Roman"/>
          <w:bCs/>
          <w:color w:val="000000"/>
          <w:vertAlign w:val="superscript"/>
          <w:lang w:eastAsia="en-GB"/>
        </w:rPr>
        <w:t>o</w:t>
      </w:r>
      <w:r w:rsidRPr="00B013ED">
        <w:rPr>
          <w:rFonts w:eastAsia="Times New Roman"/>
          <w:bCs/>
          <w:color w:val="000000"/>
          <w:lang w:eastAsia="en-GB"/>
        </w:rPr>
        <w:t>C under anaerobic conditions. Growth of bacteria was visible after overnight incubation as the suspension presented with a cloudy appearance. One ml of this suspension was added to a fresh 10ml of BHI broth (+/-haemin as required) and incubated overnight at 37</w:t>
      </w:r>
      <w:r w:rsidRPr="00B013ED">
        <w:rPr>
          <w:rFonts w:eastAsia="Times New Roman"/>
          <w:bCs/>
          <w:color w:val="000000"/>
          <w:vertAlign w:val="superscript"/>
          <w:lang w:eastAsia="en-GB"/>
        </w:rPr>
        <w:t>o</w:t>
      </w:r>
      <w:r w:rsidRPr="00B013ED">
        <w:rPr>
          <w:rFonts w:eastAsia="Times New Roman"/>
          <w:bCs/>
          <w:color w:val="000000"/>
          <w:lang w:eastAsia="en-GB"/>
        </w:rPr>
        <w:t>C under anaerobic conditions to produce a test suspension. The surfaces of pre-reduced CBA plates were inoculated with 1ml aliquots of bacterial suspension (of the OD adjusted suspension) and spread evenly with sterile plastic spreaders. A three mm diameter was made in each CBA plates using a sterile cork borer in</w:t>
      </w:r>
      <w:r>
        <w:rPr>
          <w:rFonts w:eastAsia="Times New Roman"/>
          <w:bCs/>
          <w:color w:val="000000"/>
          <w:lang w:eastAsia="en-GB"/>
        </w:rPr>
        <w:t>to</w:t>
      </w:r>
      <w:r w:rsidRPr="00B013ED">
        <w:rPr>
          <w:rFonts w:eastAsia="Times New Roman"/>
          <w:bCs/>
          <w:color w:val="000000"/>
          <w:lang w:eastAsia="en-GB"/>
        </w:rPr>
        <w:t xml:space="preserve"> which the test materials were inserted</w:t>
      </w:r>
      <w:r>
        <w:rPr>
          <w:rFonts w:eastAsia="Times New Roman"/>
          <w:bCs/>
          <w:color w:val="000000"/>
          <w:lang w:eastAsia="en-GB"/>
        </w:rPr>
        <w:t>.</w:t>
      </w:r>
      <w:r w:rsidRPr="00B013ED">
        <w:rPr>
          <w:rFonts w:eastAsia="Times New Roman"/>
          <w:bCs/>
          <w:color w:val="000000"/>
          <w:lang w:eastAsia="en-GB"/>
        </w:rPr>
        <w:t xml:space="preserve"> </w:t>
      </w:r>
    </w:p>
    <w:p w:rsidR="0083452A" w:rsidRDefault="0083452A" w:rsidP="0083452A">
      <w:pPr>
        <w:spacing w:after="120" w:line="480" w:lineRule="auto"/>
        <w:jc w:val="both"/>
        <w:rPr>
          <w:rFonts w:eastAsia="Times New Roman"/>
          <w:bCs/>
          <w:color w:val="000000"/>
          <w:lang w:eastAsia="en-GB"/>
        </w:rPr>
      </w:pPr>
      <w:r w:rsidRPr="00B013ED">
        <w:rPr>
          <w:rFonts w:eastAsia="Times New Roman"/>
          <w:bCs/>
          <w:color w:val="000000"/>
          <w:lang w:eastAsia="en-GB"/>
        </w:rPr>
        <w:t>The agar diffusion method was used to evaluate the antibacterial effectiveness of the various materials such as NSCH, MTA, and different mixtures of antibiotics. CBA plates were inoculated with the test bacteria and the inhibition zone for each test material was assessed on three separate occasions.</w:t>
      </w:r>
    </w:p>
    <w:p w:rsidR="0083452A" w:rsidRPr="006F3BED" w:rsidRDefault="0083452A" w:rsidP="006F3BED">
      <w:pPr>
        <w:rPr>
          <w:lang w:eastAsia="en-GB"/>
        </w:rPr>
      </w:pPr>
      <w:r>
        <w:rPr>
          <w:lang w:eastAsia="en-GB"/>
        </w:rPr>
        <w:br w:type="page"/>
      </w:r>
    </w:p>
    <w:p w:rsidR="00165E91" w:rsidRPr="00B013ED" w:rsidRDefault="00165E91" w:rsidP="00B03E13">
      <w:pPr>
        <w:pStyle w:val="Heading3"/>
        <w:spacing w:line="480" w:lineRule="auto"/>
        <w:rPr>
          <w:lang w:eastAsia="en-GB"/>
        </w:rPr>
      </w:pPr>
      <w:bookmarkStart w:id="525" w:name="_Toc370819292"/>
      <w:r w:rsidRPr="00B013ED">
        <w:rPr>
          <w:lang w:eastAsia="en-GB"/>
        </w:rPr>
        <w:lastRenderedPageBreak/>
        <w:t>Preparation of test plates</w:t>
      </w:r>
      <w:bookmarkEnd w:id="525"/>
    </w:p>
    <w:p w:rsidR="0083452A" w:rsidRPr="00B013ED" w:rsidRDefault="0083452A" w:rsidP="0083452A">
      <w:pPr>
        <w:spacing w:after="120" w:line="480" w:lineRule="auto"/>
        <w:jc w:val="both"/>
        <w:rPr>
          <w:rFonts w:eastAsia="Times New Roman"/>
          <w:lang w:eastAsia="en-GB"/>
        </w:rPr>
      </w:pPr>
      <w:r w:rsidRPr="00B013ED">
        <w:rPr>
          <w:rFonts w:eastAsia="Times New Roman"/>
          <w:lang w:eastAsia="en-GB"/>
        </w:rPr>
        <w:t>Plating of test plates were carried out in the anaerobic cabinet at 37</w:t>
      </w:r>
      <w:r w:rsidRPr="00B013ED">
        <w:rPr>
          <w:rFonts w:eastAsia="Times New Roman"/>
          <w:vertAlign w:val="superscript"/>
          <w:lang w:eastAsia="en-GB"/>
        </w:rPr>
        <w:t>o</w:t>
      </w:r>
      <w:r w:rsidRPr="00B013ED">
        <w:rPr>
          <w:rFonts w:eastAsia="Times New Roman"/>
          <w:lang w:eastAsia="en-GB"/>
        </w:rPr>
        <w:t>C for oxygen sensitive bacteri</w:t>
      </w:r>
      <w:r>
        <w:rPr>
          <w:rFonts w:eastAsia="Times New Roman"/>
          <w:lang w:eastAsia="en-GB"/>
        </w:rPr>
        <w:t>a</w:t>
      </w:r>
      <w:r w:rsidRPr="00B013ED">
        <w:rPr>
          <w:rFonts w:eastAsia="Times New Roman"/>
          <w:lang w:eastAsia="en-GB"/>
        </w:rPr>
        <w:t xml:space="preserve"> and on the bench for the oxygen tolerant bacteri</w:t>
      </w:r>
      <w:r>
        <w:rPr>
          <w:rFonts w:eastAsia="Times New Roman"/>
          <w:lang w:eastAsia="en-GB"/>
        </w:rPr>
        <w:t>a</w:t>
      </w:r>
      <w:r w:rsidRPr="00B013ED">
        <w:rPr>
          <w:rFonts w:eastAsia="Times New Roman"/>
          <w:lang w:eastAsia="en-GB"/>
        </w:rPr>
        <w:t>.</w:t>
      </w:r>
    </w:p>
    <w:p w:rsidR="0083452A" w:rsidRPr="00B013ED" w:rsidRDefault="0083452A" w:rsidP="0083452A">
      <w:pPr>
        <w:spacing w:after="120" w:line="480" w:lineRule="auto"/>
        <w:jc w:val="both"/>
        <w:rPr>
          <w:rFonts w:eastAsia="Times New Roman"/>
          <w:lang w:eastAsia="en-GB"/>
        </w:rPr>
      </w:pPr>
      <w:r w:rsidRPr="00B013ED">
        <w:rPr>
          <w:rFonts w:eastAsia="Times New Roman"/>
          <w:lang w:eastAsia="en-GB"/>
        </w:rPr>
        <w:t>The CBA plates were inoculated using a Gilson pipette with 100 µl aliquots of the adjusted suspension of the respective bacteria. Plates for anaerobic bacteria were pre-reduced for 24 hours prior to inoculation. A sterile plastic spreader was used to distribute the 1</w:t>
      </w:r>
      <w:r>
        <w:rPr>
          <w:rFonts w:eastAsia="Times New Roman"/>
          <w:lang w:eastAsia="en-GB"/>
        </w:rPr>
        <w:t xml:space="preserve"> m</w:t>
      </w:r>
      <w:r w:rsidRPr="00B013ED">
        <w:rPr>
          <w:rFonts w:eastAsia="Times New Roman"/>
          <w:lang w:eastAsia="en-GB"/>
        </w:rPr>
        <w:t>l aliquots evenly over the surface of each CBA plate.</w:t>
      </w:r>
    </w:p>
    <w:p w:rsidR="00A43E45" w:rsidRPr="00B013ED" w:rsidRDefault="00165E91" w:rsidP="009A7894">
      <w:pPr>
        <w:spacing w:after="120" w:line="480" w:lineRule="auto"/>
        <w:jc w:val="both"/>
        <w:rPr>
          <w:rFonts w:eastAsia="Times New Roman"/>
          <w:lang w:eastAsia="en-GB"/>
        </w:rPr>
      </w:pPr>
      <w:r w:rsidRPr="00B013ED">
        <w:rPr>
          <w:rFonts w:eastAsia="Times New Roman"/>
          <w:lang w:eastAsia="en-GB"/>
        </w:rPr>
        <w:t>One or two wells of 5mm were cut into each plate using a sterile cork borer. The cork borer was sterilised between plates by immersing in ethanol and was dried by being passed through the flame of Bunsen burner. The relevant admixes of MTA etc were then selected and placed directly into the prepared wells. All plates were then incubated in the anaerobic cabinet at 37</w:t>
      </w:r>
      <w:r w:rsidRPr="00B013ED">
        <w:rPr>
          <w:rFonts w:eastAsia="Times New Roman"/>
          <w:vertAlign w:val="superscript"/>
          <w:lang w:eastAsia="en-GB"/>
        </w:rPr>
        <w:t>o</w:t>
      </w:r>
      <w:r w:rsidRPr="00B013ED">
        <w:rPr>
          <w:rFonts w:eastAsia="Times New Roman"/>
          <w:lang w:eastAsia="en-GB"/>
        </w:rPr>
        <w:t>C for 48 hrs. Each experiment was carried out on three different occasions for each type of bacteria.</w:t>
      </w:r>
    </w:p>
    <w:p w:rsidR="00165E91" w:rsidRPr="00B013ED" w:rsidRDefault="00165E91" w:rsidP="009B5330">
      <w:pPr>
        <w:pStyle w:val="Heading3"/>
        <w:spacing w:line="480" w:lineRule="auto"/>
        <w:rPr>
          <w:lang w:eastAsia="en-GB"/>
        </w:rPr>
      </w:pPr>
      <w:bookmarkStart w:id="526" w:name="_Toc370819293"/>
      <w:r w:rsidRPr="00B013ED">
        <w:rPr>
          <w:lang w:eastAsia="en-GB"/>
        </w:rPr>
        <w:t>Inhibition zone</w:t>
      </w:r>
      <w:bookmarkEnd w:id="526"/>
      <w:r w:rsidRPr="00B013ED">
        <w:rPr>
          <w:lang w:eastAsia="en-GB"/>
        </w:rPr>
        <w:t xml:space="preserve"> </w:t>
      </w:r>
    </w:p>
    <w:p w:rsidR="00165E91" w:rsidRDefault="00165E91" w:rsidP="0083452A">
      <w:pPr>
        <w:spacing w:line="480" w:lineRule="auto"/>
        <w:jc w:val="both"/>
        <w:rPr>
          <w:rFonts w:eastAsia="Times New Roman"/>
          <w:bCs/>
          <w:lang w:eastAsia="en-GB"/>
        </w:rPr>
      </w:pPr>
      <w:r w:rsidRPr="00B013ED">
        <w:rPr>
          <w:rFonts w:eastAsia="Times New Roman"/>
          <w:bCs/>
          <w:lang w:eastAsia="en-GB"/>
        </w:rPr>
        <w:t>Following incubation, the antibacterial effectiveness of the test material samples was analysed by measuring the clear zone around each test sample where the growth of bacteria had been inhibited. These zones of inhibition were measured at three different point</w:t>
      </w:r>
      <w:r w:rsidR="0083452A">
        <w:rPr>
          <w:rFonts w:eastAsia="Times New Roman"/>
          <w:bCs/>
          <w:lang w:eastAsia="en-GB"/>
        </w:rPr>
        <w:t>s</w:t>
      </w:r>
      <w:r w:rsidRPr="00B013ED">
        <w:rPr>
          <w:rFonts w:eastAsia="Times New Roman"/>
          <w:bCs/>
          <w:lang w:eastAsia="en-GB"/>
        </w:rPr>
        <w:t xml:space="preserve"> using a digital calliper gauge as shown in</w:t>
      </w:r>
      <w:r w:rsidR="005D5673">
        <w:rPr>
          <w:rFonts w:eastAsia="Times New Roman"/>
          <w:bCs/>
          <w:lang w:eastAsia="en-GB"/>
        </w:rPr>
        <w:t xml:space="preserve"> </w:t>
      </w:r>
      <w:r w:rsidR="005D5673">
        <w:rPr>
          <w:rFonts w:eastAsia="Times New Roman"/>
          <w:bCs/>
          <w:lang w:eastAsia="en-GB"/>
        </w:rPr>
        <w:fldChar w:fldCharType="begin"/>
      </w:r>
      <w:r w:rsidR="005D5673">
        <w:rPr>
          <w:rFonts w:eastAsia="Times New Roman"/>
          <w:bCs/>
          <w:lang w:eastAsia="en-GB"/>
        </w:rPr>
        <w:instrText xml:space="preserve"> REF _Ref360489006 \h </w:instrText>
      </w:r>
      <w:r w:rsidR="009B5330">
        <w:rPr>
          <w:rFonts w:eastAsia="Times New Roman"/>
          <w:bCs/>
          <w:lang w:eastAsia="en-GB"/>
        </w:rPr>
        <w:instrText xml:space="preserve"> \* MERGEFORMAT </w:instrText>
      </w:r>
      <w:r w:rsidR="005D5673">
        <w:rPr>
          <w:rFonts w:eastAsia="Times New Roman"/>
          <w:bCs/>
          <w:lang w:eastAsia="en-GB"/>
        </w:rPr>
      </w:r>
      <w:r w:rsidR="005D5673">
        <w:rPr>
          <w:rFonts w:eastAsia="Times New Roman"/>
          <w:bCs/>
          <w:lang w:eastAsia="en-GB"/>
        </w:rPr>
        <w:fldChar w:fldCharType="separate"/>
      </w:r>
      <w:r w:rsidR="00374B77" w:rsidRPr="00374B77">
        <w:rPr>
          <w:noProof/>
        </w:rPr>
        <w:t>Figure</w:t>
      </w:r>
      <w:r w:rsidR="00374B77" w:rsidRPr="00374B77">
        <w:t xml:space="preserve"> </w:t>
      </w:r>
      <w:r w:rsidR="00374B77" w:rsidRPr="00374B77">
        <w:rPr>
          <w:noProof/>
          <w:cs/>
        </w:rPr>
        <w:t>‎</w:t>
      </w:r>
      <w:r w:rsidR="00374B77">
        <w:rPr>
          <w:rFonts w:cstheme="minorBidi"/>
          <w:b/>
          <w:bCs/>
          <w:noProof/>
          <w:sz w:val="20"/>
          <w:szCs w:val="20"/>
        </w:rPr>
        <w:t>3.6</w:t>
      </w:r>
      <w:r w:rsidR="005D5673">
        <w:rPr>
          <w:rFonts w:eastAsia="Times New Roman"/>
          <w:bCs/>
          <w:lang w:eastAsia="en-GB"/>
        </w:rPr>
        <w:fldChar w:fldCharType="end"/>
      </w:r>
      <w:r w:rsidRPr="00B013ED">
        <w:rPr>
          <w:rFonts w:eastAsia="Times New Roman"/>
          <w:bCs/>
          <w:lang w:eastAsia="en-GB"/>
        </w:rPr>
        <w:t xml:space="preserve"> (Draper tool Ltd, Chandler’s ford, Hampshire</w:t>
      </w:r>
      <w:proofErr w:type="gramStart"/>
      <w:r w:rsidRPr="00B013ED">
        <w:rPr>
          <w:rFonts w:eastAsia="Times New Roman"/>
          <w:bCs/>
          <w:lang w:eastAsia="en-GB"/>
        </w:rPr>
        <w:t>,UK</w:t>
      </w:r>
      <w:proofErr w:type="gramEnd"/>
      <w:r w:rsidRPr="00B013ED">
        <w:rPr>
          <w:rFonts w:eastAsia="Times New Roman"/>
          <w:bCs/>
          <w:lang w:eastAsia="en-GB"/>
        </w:rPr>
        <w:t>). The mean of the three separate measurements were calculated and recorded.</w:t>
      </w:r>
    </w:p>
    <w:p w:rsidR="001B1031" w:rsidRPr="00741E74" w:rsidRDefault="001B1031" w:rsidP="0083452A">
      <w:pPr>
        <w:spacing w:line="480" w:lineRule="auto"/>
        <w:jc w:val="both"/>
      </w:pPr>
    </w:p>
    <w:p w:rsidR="00165E91" w:rsidRPr="0083452A" w:rsidRDefault="00C67C41" w:rsidP="001D3F19">
      <w:pPr>
        <w:rPr>
          <w:rFonts w:cstheme="minorBidi"/>
          <w:b/>
          <w:bCs/>
          <w:sz w:val="20"/>
          <w:szCs w:val="20"/>
        </w:rPr>
      </w:pPr>
      <w:bookmarkStart w:id="527" w:name="_Ref360489006"/>
      <w:bookmarkStart w:id="528" w:name="_Toc361733620"/>
      <w:bookmarkStart w:id="529" w:name="_Toc361734263"/>
      <w:r w:rsidRPr="0083452A">
        <w:rPr>
          <w:rFonts w:cstheme="minorBidi"/>
          <w:b/>
          <w:bCs/>
          <w:sz w:val="20"/>
          <w:szCs w:val="20"/>
        </w:rPr>
        <w:lastRenderedPageBreak/>
        <w:t>Figure</w:t>
      </w:r>
      <w:r w:rsidR="005D5673" w:rsidRPr="0083452A">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6</w:t>
      </w:r>
      <w:r w:rsidR="00DF37B0">
        <w:rPr>
          <w:rFonts w:cstheme="minorBidi"/>
          <w:b/>
          <w:bCs/>
          <w:sz w:val="20"/>
          <w:szCs w:val="20"/>
        </w:rPr>
        <w:fldChar w:fldCharType="end"/>
      </w:r>
      <w:bookmarkEnd w:id="527"/>
      <w:r w:rsidR="005D5673" w:rsidRPr="0083452A">
        <w:rPr>
          <w:rFonts w:cstheme="minorBidi"/>
          <w:b/>
          <w:bCs/>
          <w:sz w:val="20"/>
          <w:szCs w:val="20"/>
        </w:rPr>
        <w:t xml:space="preserve"> </w:t>
      </w:r>
      <w:r w:rsidR="00E00010" w:rsidRPr="0083452A">
        <w:rPr>
          <w:rFonts w:cstheme="minorBidi"/>
          <w:b/>
          <w:bCs/>
          <w:sz w:val="20"/>
          <w:szCs w:val="20"/>
        </w:rPr>
        <w:t>This diagram shows the bacterial sensitivity to antibiotics by measure ring the inhibition zone at three different points using a digital calliper gauge.</w:t>
      </w:r>
      <w:bookmarkEnd w:id="528"/>
      <w:bookmarkEnd w:id="529"/>
    </w:p>
    <w:p w:rsidR="000255A9" w:rsidRDefault="001B1031" w:rsidP="000255A9">
      <w:pPr>
        <w:rPr>
          <w:lang w:eastAsia="en-GB"/>
        </w:rPr>
      </w:pPr>
      <w:r w:rsidRPr="00B013ED">
        <w:rPr>
          <w:noProof/>
          <w:lang w:eastAsia="en-GB"/>
        </w:rPr>
        <w:drawing>
          <wp:anchor distT="0" distB="0" distL="114300" distR="114300" simplePos="0" relativeHeight="251676672" behindDoc="0" locked="0" layoutInCell="1" allowOverlap="1" wp14:anchorId="005B4879" wp14:editId="48F7F364">
            <wp:simplePos x="0" y="0"/>
            <wp:positionH relativeFrom="column">
              <wp:posOffset>152400</wp:posOffset>
            </wp:positionH>
            <wp:positionV relativeFrom="paragraph">
              <wp:posOffset>398780</wp:posOffset>
            </wp:positionV>
            <wp:extent cx="5079365" cy="2879725"/>
            <wp:effectExtent l="0" t="0" r="6985" b="0"/>
            <wp:wrapSquare wrapText="bothSides"/>
            <wp:docPr id="13" name="Picture 13" descr="C:\Users\wageh\Desktop\atiokl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geh\Desktop\atiokln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t="13304" b="16369"/>
                    <a:stretch/>
                  </pic:blipFill>
                  <pic:spPr bwMode="auto">
                    <a:xfrm>
                      <a:off x="0" y="0"/>
                      <a:ext cx="507936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55A9" w:rsidRDefault="000255A9" w:rsidP="000255A9">
      <w:pPr>
        <w:rPr>
          <w:lang w:eastAsia="en-GB"/>
        </w:rPr>
      </w:pPr>
    </w:p>
    <w:p w:rsidR="00D83CC7" w:rsidRDefault="00D83CC7" w:rsidP="000255A9">
      <w:pPr>
        <w:rPr>
          <w:lang w:eastAsia="en-GB"/>
        </w:rPr>
      </w:pPr>
    </w:p>
    <w:p w:rsidR="00854991" w:rsidRDefault="002B5094" w:rsidP="00C51210">
      <w:pPr>
        <w:pStyle w:val="Heading3"/>
      </w:pPr>
      <w:bookmarkStart w:id="530" w:name="_Toc370819294"/>
      <w:r w:rsidRPr="00854991">
        <w:rPr>
          <w:lang w:eastAsia="en-GB"/>
        </w:rPr>
        <w:t>Statistical analysis</w:t>
      </w:r>
      <w:bookmarkEnd w:id="530"/>
    </w:p>
    <w:p w:rsidR="000255A9" w:rsidRDefault="00854991" w:rsidP="00F710D7">
      <w:pPr>
        <w:spacing w:line="480" w:lineRule="auto"/>
        <w:jc w:val="both"/>
        <w:rPr>
          <w:rFonts w:ascii="Arial" w:hAnsi="Arial" w:cs="Arial"/>
          <w:color w:val="000000"/>
          <w:szCs w:val="24"/>
        </w:rPr>
      </w:pPr>
      <w:r w:rsidRPr="00854991">
        <w:rPr>
          <w:rFonts w:eastAsia="Times New Roman"/>
          <w:bCs/>
          <w:szCs w:val="24"/>
          <w:lang w:eastAsia="en-GB"/>
        </w:rPr>
        <w:t xml:space="preserve">Statistical analysis was undertaken on statistical package of social sciences version 20 (SPSS 20). The distributions of the inhibition zone were determined by first checking the normality by </w:t>
      </w:r>
      <w:r w:rsidRPr="00854991">
        <w:rPr>
          <w:rFonts w:ascii="Arial" w:hAnsi="Arial" w:cs="Arial"/>
          <w:color w:val="000000"/>
          <w:szCs w:val="24"/>
        </w:rPr>
        <w:t xml:space="preserve">Shapiro-Wilk.  As the data was found to be normally distributed further analysis was </w:t>
      </w:r>
      <w:r w:rsidR="00F710D7" w:rsidRPr="00F710D7">
        <w:rPr>
          <w:rFonts w:ascii="Arial" w:hAnsi="Arial" w:cs="Arial"/>
          <w:color w:val="000000"/>
          <w:szCs w:val="24"/>
        </w:rPr>
        <w:t>performed</w:t>
      </w:r>
      <w:r w:rsidRPr="00854991">
        <w:rPr>
          <w:rFonts w:ascii="Arial" w:hAnsi="Arial" w:cs="Arial"/>
          <w:color w:val="000000"/>
          <w:szCs w:val="24"/>
        </w:rPr>
        <w:t xml:space="preserve"> using ANOVA. </w:t>
      </w:r>
    </w:p>
    <w:p w:rsidR="00EC38E2" w:rsidRPr="002B5094" w:rsidRDefault="00854991" w:rsidP="00F710D7">
      <w:pPr>
        <w:spacing w:line="480" w:lineRule="auto"/>
        <w:jc w:val="both"/>
        <w:rPr>
          <w:rFonts w:eastAsia="Times New Roman"/>
          <w:bCs/>
          <w:szCs w:val="24"/>
          <w:lang w:eastAsia="en-GB"/>
        </w:rPr>
      </w:pPr>
      <w:r w:rsidRPr="00854991">
        <w:rPr>
          <w:rFonts w:ascii="Arial" w:hAnsi="Arial" w:cs="Arial"/>
          <w:color w:val="000000"/>
          <w:szCs w:val="24"/>
        </w:rPr>
        <w:t xml:space="preserve"> </w:t>
      </w:r>
      <w:r w:rsidR="00EC38E2" w:rsidRPr="00B013ED">
        <w:br w:type="page"/>
      </w:r>
    </w:p>
    <w:p w:rsidR="00EC38E2" w:rsidRPr="00B013ED" w:rsidRDefault="00EC38E2" w:rsidP="002B54A2">
      <w:pPr>
        <w:pStyle w:val="Heading2"/>
      </w:pPr>
      <w:bookmarkStart w:id="531" w:name="_Toc370819295"/>
      <w:r w:rsidRPr="00B013ED">
        <w:lastRenderedPageBreak/>
        <w:t>Results</w:t>
      </w:r>
      <w:bookmarkEnd w:id="531"/>
    </w:p>
    <w:p w:rsidR="00EC38E2" w:rsidRPr="00B013ED" w:rsidRDefault="00EC38E2" w:rsidP="002B5094">
      <w:pPr>
        <w:pStyle w:val="Heading3"/>
        <w:spacing w:line="480" w:lineRule="auto"/>
      </w:pPr>
      <w:bookmarkStart w:id="532" w:name="_Toc370819296"/>
      <w:r w:rsidRPr="00B013ED">
        <w:t>Standard growth curves.</w:t>
      </w:r>
      <w:bookmarkEnd w:id="532"/>
    </w:p>
    <w:p w:rsidR="00D52E79" w:rsidRPr="00D52E79" w:rsidRDefault="00EC38E2" w:rsidP="00D52E79">
      <w:pPr>
        <w:pStyle w:val="table"/>
        <w:jc w:val="both"/>
      </w:pPr>
      <w:r w:rsidRPr="00D52E79">
        <w:rPr>
          <w:color w:val="000000"/>
        </w:rPr>
        <w:t>Standard growth curves for each bacterium were produced for bacterial strains used in this study as outlined</w:t>
      </w:r>
      <w:r w:rsidR="005F57DC" w:rsidRPr="00D52E79">
        <w:rPr>
          <w:color w:val="000000"/>
        </w:rPr>
        <w:t xml:space="preserve"> in </w:t>
      </w:r>
      <w:r w:rsidR="00E95F5B" w:rsidRPr="00D52E79">
        <w:rPr>
          <w:color w:val="000000"/>
        </w:rPr>
        <w:t xml:space="preserve">section </w:t>
      </w:r>
      <w:r w:rsidR="005F57DC" w:rsidRPr="00D52E79">
        <w:rPr>
          <w:color w:val="000000"/>
        </w:rPr>
        <w:t>3.19</w:t>
      </w:r>
      <w:r w:rsidRPr="00D52E79">
        <w:rPr>
          <w:color w:val="000000"/>
        </w:rPr>
        <w:t xml:space="preserve">. </w:t>
      </w:r>
      <w:r w:rsidRPr="00D52E79">
        <w:t>The optical density and viable count for each were calculated. These results enabled a standard growth curve to be produced by plotting the optical density (OD</w:t>
      </w:r>
      <w:r w:rsidRPr="00D52E79">
        <w:rPr>
          <w:vertAlign w:val="subscript"/>
        </w:rPr>
        <w:t>540</w:t>
      </w:r>
      <w:r w:rsidRPr="00D52E79">
        <w:t>) against the respective number of colony forming units (CFU ml</w:t>
      </w:r>
      <w:r w:rsidRPr="00D52E79">
        <w:rPr>
          <w:vertAlign w:val="superscript"/>
        </w:rPr>
        <w:t>-1</w:t>
      </w:r>
      <w:r w:rsidRPr="00D52E79">
        <w:t>).</w:t>
      </w:r>
      <w:r w:rsidR="00E95F5B" w:rsidRPr="00D52E79">
        <w:t xml:space="preserve"> </w:t>
      </w:r>
      <w:r w:rsidRPr="00D52E79">
        <w:t>Seven standard growth curves were produced. The production of these growth curves enabled the researcher to inoculate each plate of the bacterium used</w:t>
      </w:r>
    </w:p>
    <w:p w:rsidR="00EC38E2" w:rsidRPr="00CF4394" w:rsidRDefault="00EC38E2" w:rsidP="00CF4394">
      <w:pPr>
        <w:autoSpaceDE w:val="0"/>
        <w:autoSpaceDN w:val="0"/>
        <w:adjustRightInd w:val="0"/>
        <w:spacing w:line="480" w:lineRule="auto"/>
        <w:jc w:val="both"/>
        <w:rPr>
          <w:bCs/>
          <w:color w:val="FF0000"/>
        </w:rPr>
      </w:pPr>
      <w:r w:rsidRPr="00B013ED">
        <w:rPr>
          <w:bCs/>
        </w:rPr>
        <w:t>.</w:t>
      </w:r>
      <w:r w:rsidRPr="00B013ED">
        <w:rPr>
          <w:b/>
          <w:color w:val="000000"/>
        </w:rPr>
        <w:br w:type="page"/>
      </w:r>
    </w:p>
    <w:p w:rsidR="00221109" w:rsidRPr="00A214C4" w:rsidRDefault="00EC38E2" w:rsidP="00A214C4">
      <w:pPr>
        <w:pStyle w:val="Heading4"/>
        <w:spacing w:line="480" w:lineRule="auto"/>
      </w:pPr>
      <w:proofErr w:type="gramStart"/>
      <w:r w:rsidRPr="00FF4512">
        <w:rPr>
          <w:i/>
          <w:iCs w:val="0"/>
        </w:rPr>
        <w:lastRenderedPageBreak/>
        <w:t>Escherichia coli.</w:t>
      </w:r>
      <w:proofErr w:type="gramEnd"/>
      <w:r w:rsidRPr="00B013ED">
        <w:t xml:space="preserve"> </w:t>
      </w:r>
      <w:proofErr w:type="gramStart"/>
      <w:r w:rsidRPr="00B013ED">
        <w:t xml:space="preserve">( </w:t>
      </w:r>
      <w:r w:rsidRPr="00FF4512">
        <w:rPr>
          <w:i/>
          <w:iCs w:val="0"/>
        </w:rPr>
        <w:t>E</w:t>
      </w:r>
      <w:proofErr w:type="gramEnd"/>
      <w:r w:rsidR="00CC3E3B" w:rsidRPr="00FF4512">
        <w:rPr>
          <w:i/>
          <w:iCs w:val="0"/>
        </w:rPr>
        <w:t xml:space="preserve">. </w:t>
      </w:r>
      <w:r w:rsidRPr="00FF4512">
        <w:rPr>
          <w:i/>
          <w:iCs w:val="0"/>
        </w:rPr>
        <w:t>Coli</w:t>
      </w:r>
      <w:r w:rsidRPr="00B013ED">
        <w:t>) (NCTC 11954).</w:t>
      </w:r>
    </w:p>
    <w:p w:rsidR="00221109" w:rsidRPr="00A214C4" w:rsidRDefault="00D00DE3" w:rsidP="00A214C4">
      <w:pPr>
        <w:pStyle w:val="table"/>
        <w:jc w:val="both"/>
        <w:rPr>
          <w:rFonts w:ascii="Arial" w:hAnsi="Arial"/>
          <w:szCs w:val="24"/>
        </w:rPr>
      </w:pPr>
      <w:r w:rsidRPr="00A214C4">
        <w:rPr>
          <w:rFonts w:ascii="Arial" w:hAnsi="Arial"/>
          <w:i/>
          <w:szCs w:val="24"/>
          <w:lang w:eastAsia="en-GB"/>
        </w:rPr>
        <w:t xml:space="preserve">E coli </w:t>
      </w:r>
      <w:r w:rsidRPr="00A214C4">
        <w:rPr>
          <w:rFonts w:ascii="Arial" w:hAnsi="Arial"/>
          <w:szCs w:val="24"/>
        </w:rPr>
        <w:t>t</w:t>
      </w:r>
      <w:r w:rsidR="00EC38E2" w:rsidRPr="00A214C4">
        <w:rPr>
          <w:rFonts w:ascii="Arial" w:hAnsi="Arial"/>
          <w:szCs w:val="24"/>
        </w:rPr>
        <w:t>he respective serial dilution, CFU and the associated optical OD</w:t>
      </w:r>
      <w:r w:rsidR="00EC38E2" w:rsidRPr="00A214C4">
        <w:rPr>
          <w:rFonts w:ascii="Arial" w:hAnsi="Arial"/>
          <w:szCs w:val="24"/>
          <w:vertAlign w:val="subscript"/>
        </w:rPr>
        <w:t>540</w:t>
      </w:r>
      <w:r w:rsidR="00EC38E2" w:rsidRPr="00A214C4">
        <w:rPr>
          <w:rFonts w:ascii="Arial" w:hAnsi="Arial"/>
          <w:szCs w:val="24"/>
        </w:rPr>
        <w:t xml:space="preserve"> are shown in </w:t>
      </w:r>
      <w:r w:rsidR="009A2F78" w:rsidRPr="00A214C4">
        <w:rPr>
          <w:szCs w:val="24"/>
          <w:highlight w:val="yellow"/>
        </w:rPr>
        <w:fldChar w:fldCharType="begin"/>
      </w:r>
      <w:r w:rsidR="009A2F78" w:rsidRPr="00A214C4">
        <w:rPr>
          <w:szCs w:val="24"/>
        </w:rPr>
        <w:instrText xml:space="preserve"> REF _Ref361088894 \h </w:instrText>
      </w:r>
      <w:r w:rsidR="009A7894" w:rsidRPr="00A214C4">
        <w:rPr>
          <w:szCs w:val="24"/>
          <w:highlight w:val="yellow"/>
        </w:rPr>
        <w:instrText xml:space="preserve"> \* MERGEFORMAT </w:instrText>
      </w:r>
      <w:r w:rsidR="009A2F78" w:rsidRPr="00A214C4">
        <w:rPr>
          <w:szCs w:val="24"/>
          <w:highlight w:val="yellow"/>
        </w:rPr>
      </w:r>
      <w:r w:rsidR="009A2F78" w:rsidRPr="00A214C4">
        <w:rPr>
          <w:szCs w:val="24"/>
          <w:highlight w:val="yellow"/>
        </w:rPr>
        <w:fldChar w:fldCharType="separate"/>
      </w:r>
      <w:r w:rsidR="00374B77" w:rsidRPr="00374B77">
        <w:rPr>
          <w:szCs w:val="24"/>
        </w:rPr>
        <w:t xml:space="preserve">Table </w:t>
      </w:r>
      <w:r w:rsidR="00374B77" w:rsidRPr="00374B77">
        <w:rPr>
          <w:szCs w:val="24"/>
          <w:cs/>
        </w:rPr>
        <w:t>‎</w:t>
      </w:r>
      <w:r w:rsidR="00374B77">
        <w:rPr>
          <w:rFonts w:cstheme="minorBidi"/>
          <w:b/>
          <w:bCs w:val="0"/>
          <w:noProof/>
          <w:sz w:val="20"/>
          <w:szCs w:val="20"/>
        </w:rPr>
        <w:t>3.4</w:t>
      </w:r>
      <w:r w:rsidR="009A2F78" w:rsidRPr="00A214C4">
        <w:rPr>
          <w:szCs w:val="24"/>
          <w:highlight w:val="yellow"/>
        </w:rPr>
        <w:fldChar w:fldCharType="end"/>
      </w:r>
      <w:r w:rsidR="00E95F5B" w:rsidRPr="00A214C4">
        <w:rPr>
          <w:szCs w:val="24"/>
        </w:rPr>
        <w:t xml:space="preserve"> </w:t>
      </w:r>
      <w:r w:rsidR="00C11AD9" w:rsidRPr="00A214C4">
        <w:rPr>
          <w:szCs w:val="24"/>
          <w:lang w:eastAsia="en-GB"/>
        </w:rPr>
        <w:t xml:space="preserve">and </w:t>
      </w:r>
      <w:r w:rsidR="00E95F5B" w:rsidRPr="00A214C4">
        <w:rPr>
          <w:szCs w:val="24"/>
          <w:lang w:eastAsia="en-GB"/>
        </w:rPr>
        <w:t xml:space="preserve">the </w:t>
      </w:r>
      <w:r w:rsidR="00C11AD9" w:rsidRPr="00A214C4">
        <w:rPr>
          <w:szCs w:val="24"/>
          <w:lang w:eastAsia="en-GB"/>
        </w:rPr>
        <w:t xml:space="preserve">standard growth curve for this bacterium </w:t>
      </w:r>
      <w:r w:rsidR="00E95F5B" w:rsidRPr="00A214C4">
        <w:rPr>
          <w:szCs w:val="24"/>
          <w:lang w:eastAsia="en-GB"/>
        </w:rPr>
        <w:t xml:space="preserve">is </w:t>
      </w:r>
      <w:r w:rsidR="00C11AD9" w:rsidRPr="00A214C4">
        <w:rPr>
          <w:szCs w:val="24"/>
          <w:lang w:eastAsia="en-GB"/>
        </w:rPr>
        <w:t>shown in</w:t>
      </w:r>
      <w:r w:rsidR="009A7894" w:rsidRPr="00A214C4">
        <w:rPr>
          <w:szCs w:val="24"/>
          <w:lang w:eastAsia="en-GB"/>
        </w:rPr>
        <w:t xml:space="preserve"> </w:t>
      </w:r>
      <w:r w:rsidR="009A7894" w:rsidRPr="00A214C4">
        <w:rPr>
          <w:szCs w:val="24"/>
          <w:lang w:eastAsia="en-GB"/>
        </w:rPr>
        <w:fldChar w:fldCharType="begin"/>
      </w:r>
      <w:r w:rsidR="009A7894" w:rsidRPr="00A214C4">
        <w:rPr>
          <w:szCs w:val="24"/>
          <w:lang w:eastAsia="en-GB"/>
        </w:rPr>
        <w:instrText xml:space="preserve"> REF _Ref361089456 \h  \* MERGEFORMAT </w:instrText>
      </w:r>
      <w:r w:rsidR="009A7894" w:rsidRPr="00A214C4">
        <w:rPr>
          <w:szCs w:val="24"/>
          <w:lang w:eastAsia="en-GB"/>
        </w:rPr>
      </w:r>
      <w:r w:rsidR="009A7894" w:rsidRPr="00A214C4">
        <w:rPr>
          <w:szCs w:val="24"/>
          <w:lang w:eastAsia="en-GB"/>
        </w:rPr>
        <w:fldChar w:fldCharType="separate"/>
      </w:r>
      <w:r w:rsidR="00374B77" w:rsidRPr="00374B77">
        <w:rPr>
          <w:szCs w:val="24"/>
        </w:rPr>
        <w:t xml:space="preserve">Figure </w:t>
      </w:r>
      <w:r w:rsidR="00374B77" w:rsidRPr="00374B77">
        <w:rPr>
          <w:noProof/>
          <w:szCs w:val="24"/>
          <w:cs/>
        </w:rPr>
        <w:t>‎</w:t>
      </w:r>
      <w:r w:rsidR="00374B77">
        <w:rPr>
          <w:b/>
          <w:noProof/>
          <w:sz w:val="20"/>
          <w:szCs w:val="20"/>
        </w:rPr>
        <w:t>3.7</w:t>
      </w:r>
      <w:r w:rsidR="009A7894" w:rsidRPr="00A214C4">
        <w:rPr>
          <w:szCs w:val="24"/>
          <w:lang w:eastAsia="en-GB"/>
        </w:rPr>
        <w:fldChar w:fldCharType="end"/>
      </w:r>
      <w:r w:rsidR="00C11AD9" w:rsidRPr="00A214C4">
        <w:rPr>
          <w:szCs w:val="24"/>
          <w:lang w:eastAsia="en-GB"/>
        </w:rPr>
        <w:t>.</w:t>
      </w:r>
    </w:p>
    <w:p w:rsidR="009A2F78" w:rsidRPr="00E95F5B" w:rsidRDefault="009A2F78" w:rsidP="00D52E79">
      <w:pPr>
        <w:spacing w:after="0" w:line="240" w:lineRule="auto"/>
        <w:rPr>
          <w:rFonts w:cstheme="minorBidi"/>
          <w:b/>
          <w:bCs/>
          <w:sz w:val="20"/>
          <w:szCs w:val="20"/>
        </w:rPr>
      </w:pPr>
      <w:bookmarkStart w:id="533" w:name="_Ref361088894"/>
      <w:bookmarkStart w:id="534" w:name="_Toc370511740"/>
      <w:proofErr w:type="gramStart"/>
      <w:r w:rsidRPr="00E95F5B">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4</w:t>
      </w:r>
      <w:r w:rsidR="00E7089D">
        <w:rPr>
          <w:rFonts w:cstheme="minorBidi"/>
          <w:b/>
          <w:bCs/>
          <w:sz w:val="20"/>
          <w:szCs w:val="20"/>
        </w:rPr>
        <w:fldChar w:fldCharType="end"/>
      </w:r>
      <w:bookmarkEnd w:id="533"/>
      <w:r w:rsidRPr="00E95F5B">
        <w:rPr>
          <w:rFonts w:cstheme="minorBidi"/>
          <w:b/>
          <w:bCs/>
          <w:sz w:val="20"/>
          <w:szCs w:val="20"/>
        </w:rPr>
        <w:t xml:space="preserve"> Shows</w:t>
      </w:r>
      <w:r w:rsidRPr="00E95F5B">
        <w:rPr>
          <w:rFonts w:cstheme="minorBidi"/>
          <w:b/>
          <w:bCs/>
          <w:i/>
          <w:iCs/>
          <w:sz w:val="20"/>
          <w:szCs w:val="20"/>
        </w:rPr>
        <w:t xml:space="preserve"> E coli</w:t>
      </w:r>
      <w:r w:rsidRPr="00E95F5B">
        <w:rPr>
          <w:rFonts w:cstheme="minorBidi"/>
          <w:b/>
          <w:bCs/>
          <w:sz w:val="20"/>
          <w:szCs w:val="20"/>
        </w:rPr>
        <w:t xml:space="preserve"> (EC) (NCTC 11954) </w:t>
      </w:r>
      <w:r w:rsidRPr="00E95F5B">
        <w:rPr>
          <w:rFonts w:cstheme="minorBidi"/>
          <w:b/>
          <w:bCs/>
          <w:sz w:val="20"/>
          <w:szCs w:val="20"/>
          <w:lang w:eastAsia="en-GB"/>
        </w:rPr>
        <w:t>measured by OD</w:t>
      </w:r>
      <w:r w:rsidRPr="00E95F5B">
        <w:rPr>
          <w:rFonts w:cstheme="minorBidi"/>
          <w:b/>
          <w:bCs/>
          <w:sz w:val="20"/>
          <w:szCs w:val="20"/>
          <w:vertAlign w:val="subscript"/>
          <w:lang w:eastAsia="en-GB"/>
        </w:rPr>
        <w:t>450</w:t>
      </w:r>
      <w:r w:rsidRPr="00E95F5B">
        <w:rPr>
          <w:rFonts w:cstheme="minorBidi"/>
          <w:b/>
          <w:bCs/>
          <w:sz w:val="20"/>
          <w:szCs w:val="20"/>
          <w:lang w:eastAsia="en-GB"/>
        </w:rPr>
        <w:t xml:space="preserve"> against (CFU/ml)</w:t>
      </w:r>
      <w:r w:rsidRPr="00E95F5B">
        <w:rPr>
          <w:rFonts w:cstheme="minorBidi"/>
          <w:b/>
          <w:bCs/>
          <w:sz w:val="20"/>
          <w:szCs w:val="20"/>
        </w:rPr>
        <w:t>.</w:t>
      </w:r>
      <w:bookmarkEnd w:id="534"/>
    </w:p>
    <w:tbl>
      <w:tblPr>
        <w:tblStyle w:val="TableGrid12"/>
        <w:tblpPr w:leftFromText="180" w:rightFromText="180" w:vertAnchor="text" w:horzAnchor="margin" w:tblpY="249"/>
        <w:tblW w:w="0" w:type="auto"/>
        <w:tblLook w:val="04A0" w:firstRow="1" w:lastRow="0" w:firstColumn="1" w:lastColumn="0" w:noHBand="0" w:noVBand="1"/>
      </w:tblPr>
      <w:tblGrid>
        <w:gridCol w:w="2551"/>
        <w:gridCol w:w="2551"/>
        <w:gridCol w:w="2551"/>
      </w:tblGrid>
      <w:tr w:rsidR="0058234F" w:rsidRPr="00B013ED" w:rsidTr="00A214C4">
        <w:trPr>
          <w:trHeight w:val="567"/>
        </w:trPr>
        <w:tc>
          <w:tcPr>
            <w:tcW w:w="2551" w:type="dxa"/>
            <w:shd w:val="clear" w:color="auto" w:fill="17365D" w:themeFill="text2" w:themeFillShade="BF"/>
            <w:vAlign w:val="center"/>
          </w:tcPr>
          <w:p w:rsidR="0058234F" w:rsidRPr="00B013ED" w:rsidRDefault="0058234F" w:rsidP="00A214C4">
            <w:pPr>
              <w:spacing w:after="120"/>
              <w:jc w:val="center"/>
              <w:rPr>
                <w:b/>
              </w:rPr>
            </w:pPr>
            <w:r w:rsidRPr="00B013ED">
              <w:rPr>
                <w:b/>
              </w:rPr>
              <w:t>Dilution</w:t>
            </w:r>
          </w:p>
        </w:tc>
        <w:tc>
          <w:tcPr>
            <w:tcW w:w="2551" w:type="dxa"/>
            <w:shd w:val="clear" w:color="auto" w:fill="17365D" w:themeFill="text2" w:themeFillShade="BF"/>
            <w:vAlign w:val="center"/>
          </w:tcPr>
          <w:p w:rsidR="0058234F" w:rsidRPr="00B013ED" w:rsidRDefault="0058234F" w:rsidP="00A214C4">
            <w:pPr>
              <w:spacing w:after="120"/>
              <w:jc w:val="center"/>
              <w:rPr>
                <w:b/>
                <w:vertAlign w:val="superscript"/>
              </w:rPr>
            </w:pPr>
            <w:r w:rsidRPr="00B013ED">
              <w:rPr>
                <w:b/>
              </w:rPr>
              <w:t>CFU ml</w:t>
            </w:r>
            <w:r w:rsidRPr="00B013ED">
              <w:rPr>
                <w:b/>
                <w:vertAlign w:val="superscript"/>
              </w:rPr>
              <w:t>-1</w:t>
            </w:r>
          </w:p>
        </w:tc>
        <w:tc>
          <w:tcPr>
            <w:tcW w:w="2551" w:type="dxa"/>
            <w:shd w:val="clear" w:color="auto" w:fill="17365D" w:themeFill="text2" w:themeFillShade="BF"/>
            <w:vAlign w:val="center"/>
          </w:tcPr>
          <w:p w:rsidR="0058234F" w:rsidRPr="00B013ED" w:rsidRDefault="0058234F" w:rsidP="00A214C4">
            <w:pPr>
              <w:spacing w:after="120"/>
              <w:jc w:val="center"/>
              <w:rPr>
                <w:b/>
              </w:rPr>
            </w:pPr>
            <w:r w:rsidRPr="00B013ED">
              <w:rPr>
                <w:b/>
              </w:rPr>
              <w:t>OD</w:t>
            </w:r>
            <w:r w:rsidRPr="00B013ED">
              <w:rPr>
                <w:b/>
                <w:vertAlign w:val="subscript"/>
              </w:rPr>
              <w:t>540</w:t>
            </w:r>
          </w:p>
        </w:tc>
      </w:tr>
      <w:tr w:rsidR="0058234F" w:rsidRPr="00B013ED" w:rsidTr="00A214C4">
        <w:trPr>
          <w:trHeight w:val="567"/>
        </w:trPr>
        <w:tc>
          <w:tcPr>
            <w:tcW w:w="2551" w:type="dxa"/>
            <w:shd w:val="clear" w:color="auto" w:fill="FDE9D9" w:themeFill="accent6" w:themeFillTint="33"/>
            <w:vAlign w:val="center"/>
          </w:tcPr>
          <w:p w:rsidR="0058234F" w:rsidRPr="00B013ED" w:rsidRDefault="0058234F" w:rsidP="00A214C4">
            <w:pPr>
              <w:jc w:val="center"/>
            </w:pPr>
            <w:r w:rsidRPr="00B013ED">
              <w:t>1:2</w:t>
            </w:r>
          </w:p>
        </w:tc>
        <w:tc>
          <w:tcPr>
            <w:tcW w:w="2551" w:type="dxa"/>
            <w:vAlign w:val="center"/>
          </w:tcPr>
          <w:p w:rsidR="0058234F" w:rsidRPr="00B013ED" w:rsidRDefault="0058234F" w:rsidP="00A214C4">
            <w:pPr>
              <w:jc w:val="center"/>
            </w:pPr>
            <w:r w:rsidRPr="00B013ED">
              <w:t>2.80E+08</w:t>
            </w:r>
          </w:p>
        </w:tc>
        <w:tc>
          <w:tcPr>
            <w:tcW w:w="2551" w:type="dxa"/>
            <w:vAlign w:val="center"/>
          </w:tcPr>
          <w:p w:rsidR="0058234F" w:rsidRPr="00B013ED" w:rsidRDefault="0058234F" w:rsidP="00A214C4">
            <w:pPr>
              <w:jc w:val="center"/>
            </w:pPr>
            <w:r w:rsidRPr="00B013ED">
              <w:t>1.404</w:t>
            </w:r>
          </w:p>
        </w:tc>
      </w:tr>
      <w:tr w:rsidR="0058234F" w:rsidRPr="00B013ED" w:rsidTr="00A214C4">
        <w:trPr>
          <w:trHeight w:val="567"/>
        </w:trPr>
        <w:tc>
          <w:tcPr>
            <w:tcW w:w="2551" w:type="dxa"/>
            <w:shd w:val="clear" w:color="auto" w:fill="FDE9D9" w:themeFill="accent6" w:themeFillTint="33"/>
            <w:vAlign w:val="center"/>
          </w:tcPr>
          <w:p w:rsidR="0058234F" w:rsidRPr="00B013ED" w:rsidRDefault="0058234F" w:rsidP="00A214C4">
            <w:pPr>
              <w:jc w:val="center"/>
            </w:pPr>
            <w:r w:rsidRPr="00B013ED">
              <w:t>1:4</w:t>
            </w:r>
          </w:p>
        </w:tc>
        <w:tc>
          <w:tcPr>
            <w:tcW w:w="2551" w:type="dxa"/>
            <w:vAlign w:val="center"/>
          </w:tcPr>
          <w:p w:rsidR="0058234F" w:rsidRPr="00B013ED" w:rsidRDefault="0058234F" w:rsidP="00A214C4">
            <w:pPr>
              <w:jc w:val="center"/>
            </w:pPr>
            <w:r w:rsidRPr="00B013ED">
              <w:t>1.40E+08</w:t>
            </w:r>
          </w:p>
        </w:tc>
        <w:tc>
          <w:tcPr>
            <w:tcW w:w="2551" w:type="dxa"/>
            <w:vAlign w:val="center"/>
          </w:tcPr>
          <w:p w:rsidR="0058234F" w:rsidRPr="00B013ED" w:rsidRDefault="0058234F" w:rsidP="00A214C4">
            <w:pPr>
              <w:jc w:val="center"/>
            </w:pPr>
            <w:r w:rsidRPr="00B013ED">
              <w:t>0.814</w:t>
            </w:r>
          </w:p>
        </w:tc>
      </w:tr>
      <w:tr w:rsidR="0058234F" w:rsidRPr="00B013ED" w:rsidTr="00A214C4">
        <w:trPr>
          <w:trHeight w:val="567"/>
        </w:trPr>
        <w:tc>
          <w:tcPr>
            <w:tcW w:w="2551" w:type="dxa"/>
            <w:shd w:val="clear" w:color="auto" w:fill="FDE9D9" w:themeFill="accent6" w:themeFillTint="33"/>
            <w:vAlign w:val="center"/>
          </w:tcPr>
          <w:p w:rsidR="0058234F" w:rsidRPr="00B013ED" w:rsidRDefault="0058234F" w:rsidP="00A214C4">
            <w:pPr>
              <w:jc w:val="center"/>
            </w:pPr>
            <w:r w:rsidRPr="00B013ED">
              <w:t>1:8</w:t>
            </w:r>
          </w:p>
        </w:tc>
        <w:tc>
          <w:tcPr>
            <w:tcW w:w="2551" w:type="dxa"/>
            <w:vAlign w:val="center"/>
          </w:tcPr>
          <w:p w:rsidR="0058234F" w:rsidRPr="00B013ED" w:rsidRDefault="0058234F" w:rsidP="00A214C4">
            <w:pPr>
              <w:jc w:val="center"/>
            </w:pPr>
            <w:r w:rsidRPr="00B013ED">
              <w:t>6.90E+07</w:t>
            </w:r>
          </w:p>
        </w:tc>
        <w:tc>
          <w:tcPr>
            <w:tcW w:w="2551" w:type="dxa"/>
            <w:vAlign w:val="center"/>
          </w:tcPr>
          <w:p w:rsidR="0058234F" w:rsidRPr="00B013ED" w:rsidRDefault="0058234F" w:rsidP="00A214C4">
            <w:pPr>
              <w:jc w:val="center"/>
            </w:pPr>
            <w:r w:rsidRPr="00B013ED">
              <w:t>0.41</w:t>
            </w:r>
          </w:p>
        </w:tc>
      </w:tr>
      <w:tr w:rsidR="0058234F" w:rsidRPr="00B013ED" w:rsidTr="00A214C4">
        <w:trPr>
          <w:trHeight w:val="567"/>
        </w:trPr>
        <w:tc>
          <w:tcPr>
            <w:tcW w:w="2551" w:type="dxa"/>
            <w:shd w:val="clear" w:color="auto" w:fill="FDE9D9" w:themeFill="accent6" w:themeFillTint="33"/>
            <w:vAlign w:val="center"/>
          </w:tcPr>
          <w:p w:rsidR="0058234F" w:rsidRPr="00B013ED" w:rsidRDefault="0058234F" w:rsidP="00A214C4">
            <w:pPr>
              <w:jc w:val="center"/>
            </w:pPr>
            <w:r w:rsidRPr="00B013ED">
              <w:t>1:16</w:t>
            </w:r>
          </w:p>
        </w:tc>
        <w:tc>
          <w:tcPr>
            <w:tcW w:w="2551" w:type="dxa"/>
            <w:vAlign w:val="center"/>
          </w:tcPr>
          <w:p w:rsidR="0058234F" w:rsidRPr="00B013ED" w:rsidRDefault="0058234F" w:rsidP="00A214C4">
            <w:pPr>
              <w:jc w:val="center"/>
            </w:pPr>
            <w:r w:rsidRPr="00B013ED">
              <w:t>3.40E+07</w:t>
            </w:r>
          </w:p>
        </w:tc>
        <w:tc>
          <w:tcPr>
            <w:tcW w:w="2551" w:type="dxa"/>
            <w:vAlign w:val="center"/>
          </w:tcPr>
          <w:p w:rsidR="0058234F" w:rsidRPr="00B013ED" w:rsidRDefault="0058234F" w:rsidP="00A214C4">
            <w:pPr>
              <w:jc w:val="center"/>
            </w:pPr>
            <w:r w:rsidRPr="00B013ED">
              <w:t>0.211</w:t>
            </w:r>
          </w:p>
        </w:tc>
      </w:tr>
      <w:tr w:rsidR="0058234F" w:rsidRPr="00B013ED" w:rsidTr="00A214C4">
        <w:trPr>
          <w:trHeight w:val="567"/>
        </w:trPr>
        <w:tc>
          <w:tcPr>
            <w:tcW w:w="2551" w:type="dxa"/>
            <w:shd w:val="clear" w:color="auto" w:fill="FDE9D9" w:themeFill="accent6" w:themeFillTint="33"/>
            <w:vAlign w:val="center"/>
          </w:tcPr>
          <w:p w:rsidR="0058234F" w:rsidRPr="00B013ED" w:rsidRDefault="0058234F" w:rsidP="00A214C4">
            <w:pPr>
              <w:jc w:val="center"/>
            </w:pPr>
            <w:r w:rsidRPr="00B013ED">
              <w:t>1.32</w:t>
            </w:r>
          </w:p>
        </w:tc>
        <w:tc>
          <w:tcPr>
            <w:tcW w:w="2551" w:type="dxa"/>
            <w:vAlign w:val="center"/>
          </w:tcPr>
          <w:p w:rsidR="0058234F" w:rsidRPr="00B013ED" w:rsidRDefault="0058234F" w:rsidP="00A214C4">
            <w:pPr>
              <w:jc w:val="center"/>
            </w:pPr>
            <w:r w:rsidRPr="00B013ED">
              <w:t>1.70E+07</w:t>
            </w:r>
          </w:p>
        </w:tc>
        <w:tc>
          <w:tcPr>
            <w:tcW w:w="2551" w:type="dxa"/>
            <w:vAlign w:val="center"/>
          </w:tcPr>
          <w:p w:rsidR="0058234F" w:rsidRPr="00B013ED" w:rsidRDefault="0058234F" w:rsidP="00A214C4">
            <w:pPr>
              <w:jc w:val="center"/>
            </w:pPr>
            <w:r w:rsidRPr="00B013ED">
              <w:t>0.108</w:t>
            </w:r>
          </w:p>
        </w:tc>
      </w:tr>
      <w:tr w:rsidR="0058234F" w:rsidRPr="00B013ED" w:rsidTr="00A214C4">
        <w:trPr>
          <w:trHeight w:val="567"/>
        </w:trPr>
        <w:tc>
          <w:tcPr>
            <w:tcW w:w="2551" w:type="dxa"/>
            <w:shd w:val="clear" w:color="auto" w:fill="FDE9D9" w:themeFill="accent6" w:themeFillTint="33"/>
            <w:vAlign w:val="center"/>
          </w:tcPr>
          <w:p w:rsidR="0058234F" w:rsidRPr="00B013ED" w:rsidRDefault="0058234F" w:rsidP="00A214C4">
            <w:pPr>
              <w:spacing w:after="120"/>
              <w:jc w:val="center"/>
              <w:rPr>
                <w:bCs/>
              </w:rPr>
            </w:pPr>
            <w:r w:rsidRPr="00B013ED">
              <w:rPr>
                <w:bCs/>
              </w:rPr>
              <w:t>1.64</w:t>
            </w:r>
          </w:p>
        </w:tc>
        <w:tc>
          <w:tcPr>
            <w:tcW w:w="2551" w:type="dxa"/>
            <w:vAlign w:val="center"/>
          </w:tcPr>
          <w:p w:rsidR="0058234F" w:rsidRPr="00B013ED" w:rsidRDefault="0058234F" w:rsidP="00A214C4">
            <w:pPr>
              <w:spacing w:after="120"/>
              <w:jc w:val="center"/>
            </w:pPr>
            <w:r w:rsidRPr="00B013ED">
              <w:t>8.60E+06</w:t>
            </w:r>
          </w:p>
        </w:tc>
        <w:tc>
          <w:tcPr>
            <w:tcW w:w="2551" w:type="dxa"/>
            <w:vAlign w:val="center"/>
          </w:tcPr>
          <w:p w:rsidR="0058234F" w:rsidRPr="00B013ED" w:rsidRDefault="0058234F" w:rsidP="00A214C4">
            <w:pPr>
              <w:spacing w:after="120"/>
              <w:jc w:val="center"/>
            </w:pPr>
            <w:r w:rsidRPr="00B013ED">
              <w:t>0.055</w:t>
            </w:r>
          </w:p>
        </w:tc>
      </w:tr>
    </w:tbl>
    <w:p w:rsidR="00EC38E2" w:rsidRPr="00B013ED" w:rsidRDefault="00EC38E2" w:rsidP="00EC38E2">
      <w:pPr>
        <w:rPr>
          <w:rFonts w:eastAsia="Times New Roman"/>
          <w:bCs/>
          <w:color w:val="000000"/>
          <w:vertAlign w:val="superscript"/>
          <w:lang w:eastAsia="en-GB"/>
        </w:rPr>
      </w:pPr>
    </w:p>
    <w:p w:rsidR="00B03E13" w:rsidRDefault="009A7894" w:rsidP="00681046">
      <w:pPr>
        <w:spacing w:after="120" w:line="480" w:lineRule="auto"/>
        <w:rPr>
          <w:rFonts w:eastAsia="Times New Roman"/>
          <w:bCs/>
          <w:color w:val="000000"/>
          <w:vertAlign w:val="superscript"/>
          <w:lang w:eastAsia="en-GB"/>
        </w:rPr>
      </w:pPr>
      <w:r>
        <w:rPr>
          <w:rFonts w:eastAsia="Times New Roman"/>
          <w:bCs/>
          <w:color w:val="000000"/>
          <w:vertAlign w:val="superscript"/>
          <w:lang w:eastAsia="en-GB"/>
        </w:rPr>
        <w:t xml:space="preserve">       </w:t>
      </w:r>
    </w:p>
    <w:p w:rsidR="00681046" w:rsidRPr="00681046" w:rsidRDefault="00681046" w:rsidP="00681046">
      <w:pPr>
        <w:spacing w:after="120" w:line="480" w:lineRule="auto"/>
        <w:rPr>
          <w:rFonts w:eastAsia="Times New Roman"/>
          <w:bCs/>
          <w:color w:val="000000"/>
          <w:vertAlign w:val="superscript"/>
          <w:lang w:eastAsia="en-GB"/>
        </w:rPr>
      </w:pPr>
    </w:p>
    <w:p w:rsidR="00F90B87" w:rsidRDefault="00F90B87" w:rsidP="00D100E9">
      <w:pPr>
        <w:spacing w:after="120" w:line="480" w:lineRule="auto"/>
        <w:jc w:val="both"/>
        <w:rPr>
          <w:rFonts w:eastAsia="Times New Roman"/>
          <w:bCs/>
          <w:color w:val="000000"/>
          <w:szCs w:val="24"/>
          <w:lang w:eastAsia="en-GB"/>
        </w:rPr>
      </w:pPr>
    </w:p>
    <w:p w:rsidR="00F90B87" w:rsidRDefault="00F90B87" w:rsidP="00D100E9">
      <w:pPr>
        <w:spacing w:after="120" w:line="480" w:lineRule="auto"/>
        <w:jc w:val="both"/>
        <w:rPr>
          <w:rFonts w:eastAsia="Times New Roman"/>
          <w:bCs/>
          <w:color w:val="000000"/>
          <w:szCs w:val="24"/>
          <w:lang w:eastAsia="en-GB"/>
        </w:rPr>
      </w:pPr>
    </w:p>
    <w:p w:rsidR="00F90B87" w:rsidRDefault="00F90B87" w:rsidP="00D100E9">
      <w:pPr>
        <w:spacing w:after="120" w:line="480" w:lineRule="auto"/>
        <w:jc w:val="both"/>
        <w:rPr>
          <w:rFonts w:eastAsia="Times New Roman"/>
          <w:bCs/>
          <w:color w:val="000000"/>
          <w:szCs w:val="24"/>
          <w:lang w:eastAsia="en-GB"/>
        </w:rPr>
      </w:pPr>
    </w:p>
    <w:p w:rsidR="00F90B87" w:rsidRDefault="00F90B87" w:rsidP="00D100E9">
      <w:pPr>
        <w:spacing w:after="120" w:line="480" w:lineRule="auto"/>
        <w:jc w:val="both"/>
        <w:rPr>
          <w:rFonts w:eastAsia="Times New Roman"/>
          <w:bCs/>
          <w:color w:val="000000"/>
          <w:szCs w:val="24"/>
          <w:lang w:eastAsia="en-GB"/>
        </w:rPr>
      </w:pPr>
    </w:p>
    <w:bookmarkStart w:id="535" w:name="_Ref360489941"/>
    <w:p w:rsidR="00847210" w:rsidRPr="00D52E79" w:rsidRDefault="001C1F39" w:rsidP="00D52E79">
      <w:pPr>
        <w:pStyle w:val="table"/>
        <w:jc w:val="both"/>
        <w:rPr>
          <w:szCs w:val="24"/>
        </w:rPr>
      </w:pPr>
      <w:r>
        <w:rPr>
          <w:noProof/>
          <w:lang w:eastAsia="en-GB"/>
        </w:rPr>
        <mc:AlternateContent>
          <mc:Choice Requires="wps">
            <w:drawing>
              <wp:anchor distT="0" distB="0" distL="114300" distR="114300" simplePos="0" relativeHeight="251822080" behindDoc="0" locked="0" layoutInCell="1" allowOverlap="1" wp14:anchorId="6B412E53" wp14:editId="3E9B1D10">
                <wp:simplePos x="0" y="0"/>
                <wp:positionH relativeFrom="column">
                  <wp:posOffset>0</wp:posOffset>
                </wp:positionH>
                <wp:positionV relativeFrom="paragraph">
                  <wp:posOffset>1128395</wp:posOffset>
                </wp:positionV>
                <wp:extent cx="5039995" cy="457200"/>
                <wp:effectExtent l="0" t="0" r="8255" b="0"/>
                <wp:wrapSquare wrapText="bothSides"/>
                <wp:docPr id="20" name="Text Box 20"/>
                <wp:cNvGraphicFramePr/>
                <a:graphic xmlns:a="http://schemas.openxmlformats.org/drawingml/2006/main">
                  <a:graphicData uri="http://schemas.microsoft.com/office/word/2010/wordprocessingShape">
                    <wps:wsp>
                      <wps:cNvSpPr txBox="1"/>
                      <wps:spPr>
                        <a:xfrm>
                          <a:off x="0" y="0"/>
                          <a:ext cx="5039995" cy="457200"/>
                        </a:xfrm>
                        <a:prstGeom prst="rect">
                          <a:avLst/>
                        </a:prstGeom>
                        <a:solidFill>
                          <a:prstClr val="white"/>
                        </a:solidFill>
                        <a:ln>
                          <a:noFill/>
                        </a:ln>
                        <a:effectLst/>
                      </wps:spPr>
                      <wps:txbx>
                        <w:txbxContent>
                          <w:p w:rsidR="003208E6" w:rsidRPr="00741E74" w:rsidRDefault="003208E6" w:rsidP="00D52E79">
                            <w:pPr>
                              <w:spacing w:after="120" w:line="240" w:lineRule="auto"/>
                              <w:jc w:val="both"/>
                              <w:rPr>
                                <w:rFonts w:eastAsia="Times New Roman"/>
                                <w:b/>
                                <w:color w:val="000000"/>
                                <w:sz w:val="20"/>
                                <w:szCs w:val="20"/>
                                <w:lang w:eastAsia="en-GB"/>
                              </w:rPr>
                            </w:pPr>
                            <w:bookmarkStart w:id="536" w:name="_Ref361089456"/>
                            <w:bookmarkStart w:id="537" w:name="_Toc361733621"/>
                            <w:bookmarkStart w:id="538" w:name="_Toc361734264"/>
                            <w:bookmarkStart w:id="539" w:name="_Toc370511660"/>
                            <w:r w:rsidRPr="00741E74">
                              <w:rPr>
                                <w:b/>
                                <w:sz w:val="20"/>
                                <w:szCs w:val="20"/>
                              </w:rPr>
                              <w:t xml:space="preserve">Figure </w:t>
                            </w:r>
                            <w:r>
                              <w:rPr>
                                <w:b/>
                                <w:sz w:val="20"/>
                                <w:szCs w:val="20"/>
                              </w:rPr>
                              <w:fldChar w:fldCharType="begin"/>
                            </w:r>
                            <w:r>
                              <w:rPr>
                                <w:b/>
                                <w:sz w:val="20"/>
                                <w:szCs w:val="20"/>
                              </w:rPr>
                              <w:instrText xml:space="preserve"> STYLEREF 1 \s </w:instrText>
                            </w:r>
                            <w:r>
                              <w:rPr>
                                <w:b/>
                                <w:sz w:val="20"/>
                                <w:szCs w:val="20"/>
                              </w:rPr>
                              <w:fldChar w:fldCharType="separate"/>
                            </w:r>
                            <w:r>
                              <w:rPr>
                                <w:b/>
                                <w:noProof/>
                                <w:sz w:val="20"/>
                                <w:szCs w:val="20"/>
                                <w:cs/>
                              </w:rPr>
                              <w:t>‎</w:t>
                            </w:r>
                            <w:r>
                              <w:rPr>
                                <w:b/>
                                <w:noProof/>
                                <w:sz w:val="20"/>
                                <w:szCs w:val="20"/>
                              </w:rPr>
                              <w:t>3</w:t>
                            </w:r>
                            <w:r>
                              <w:rPr>
                                <w:b/>
                                <w:sz w:val="20"/>
                                <w:szCs w:val="20"/>
                              </w:rPr>
                              <w:fldChar w:fldCharType="end"/>
                            </w:r>
                            <w:r>
                              <w:rPr>
                                <w:b/>
                                <w:sz w:val="20"/>
                                <w:szCs w:val="20"/>
                              </w:rPr>
                              <w:t>.</w:t>
                            </w:r>
                            <w:r>
                              <w:rPr>
                                <w:b/>
                                <w:sz w:val="20"/>
                                <w:szCs w:val="20"/>
                              </w:rPr>
                              <w:fldChar w:fldCharType="begin"/>
                            </w:r>
                            <w:r>
                              <w:rPr>
                                <w:b/>
                                <w:sz w:val="20"/>
                                <w:szCs w:val="20"/>
                              </w:rPr>
                              <w:instrText xml:space="preserve"> SEQ Figure \* ARABIC \s 1 </w:instrText>
                            </w:r>
                            <w:r>
                              <w:rPr>
                                <w:b/>
                                <w:sz w:val="20"/>
                                <w:szCs w:val="20"/>
                              </w:rPr>
                              <w:fldChar w:fldCharType="separate"/>
                            </w:r>
                            <w:proofErr w:type="gramStart"/>
                            <w:r>
                              <w:rPr>
                                <w:b/>
                                <w:noProof/>
                                <w:sz w:val="20"/>
                                <w:szCs w:val="20"/>
                              </w:rPr>
                              <w:t>7</w:t>
                            </w:r>
                            <w:r>
                              <w:rPr>
                                <w:b/>
                                <w:sz w:val="20"/>
                                <w:szCs w:val="20"/>
                              </w:rPr>
                              <w:fldChar w:fldCharType="end"/>
                            </w:r>
                            <w:bookmarkEnd w:id="536"/>
                            <w:r w:rsidRPr="00741E74">
                              <w:rPr>
                                <w:rFonts w:eastAsia="Times New Roman"/>
                                <w:b/>
                                <w:color w:val="000000"/>
                                <w:sz w:val="20"/>
                                <w:szCs w:val="20"/>
                                <w:lang w:eastAsia="en-GB"/>
                              </w:rPr>
                              <w:t xml:space="preserve"> Standard growth curve</w:t>
                            </w:r>
                            <w:proofErr w:type="gramEnd"/>
                            <w:r w:rsidRPr="00741E74">
                              <w:rPr>
                                <w:rFonts w:eastAsia="Times New Roman"/>
                                <w:b/>
                                <w:color w:val="000000"/>
                                <w:sz w:val="20"/>
                                <w:szCs w:val="20"/>
                                <w:lang w:eastAsia="en-GB"/>
                              </w:rPr>
                              <w:t xml:space="preserve"> </w:t>
                            </w:r>
                            <w:r w:rsidRPr="00741E74">
                              <w:rPr>
                                <w:rFonts w:eastAsia="Times New Roman"/>
                                <w:b/>
                                <w:iCs/>
                                <w:color w:val="000000"/>
                                <w:sz w:val="20"/>
                                <w:szCs w:val="20"/>
                                <w:lang w:eastAsia="en-GB"/>
                              </w:rPr>
                              <w:t>for</w:t>
                            </w:r>
                            <w:r w:rsidRPr="00741E74">
                              <w:rPr>
                                <w:rFonts w:eastAsia="Times New Roman"/>
                                <w:b/>
                                <w:color w:val="000000"/>
                                <w:sz w:val="20"/>
                                <w:szCs w:val="20"/>
                                <w:lang w:eastAsia="en-GB"/>
                              </w:rPr>
                              <w:t xml:space="preserve"> </w:t>
                            </w:r>
                            <w:r w:rsidRPr="00741E74">
                              <w:rPr>
                                <w:rFonts w:eastAsia="Times New Roman"/>
                                <w:b/>
                                <w:i/>
                                <w:iCs/>
                                <w:color w:val="000000"/>
                                <w:sz w:val="20"/>
                                <w:szCs w:val="20"/>
                                <w:lang w:eastAsia="en-GB"/>
                              </w:rPr>
                              <w:t>E coli</w:t>
                            </w:r>
                            <w:r w:rsidRPr="00741E74">
                              <w:rPr>
                                <w:rFonts w:eastAsia="Times New Roman"/>
                                <w:b/>
                                <w:color w:val="000000"/>
                                <w:sz w:val="20"/>
                                <w:szCs w:val="20"/>
                                <w:lang w:eastAsia="en-GB"/>
                              </w:rPr>
                              <w:t xml:space="preserve"> (NCTC 755) OD</w:t>
                            </w:r>
                            <w:r w:rsidRPr="00741E74">
                              <w:rPr>
                                <w:rFonts w:eastAsia="Times New Roman"/>
                                <w:b/>
                                <w:color w:val="000000"/>
                                <w:sz w:val="20"/>
                                <w:szCs w:val="20"/>
                                <w:vertAlign w:val="subscript"/>
                                <w:lang w:eastAsia="en-GB"/>
                              </w:rPr>
                              <w:t>450</w:t>
                            </w:r>
                            <w:r w:rsidRPr="00741E74">
                              <w:rPr>
                                <w:rFonts w:eastAsia="Times New Roman"/>
                                <w:b/>
                                <w:color w:val="000000"/>
                                <w:sz w:val="20"/>
                                <w:szCs w:val="20"/>
                                <w:lang w:eastAsia="en-GB"/>
                              </w:rPr>
                              <w:t xml:space="preserve"> against number of colony forming units (CFU/ml)</w:t>
                            </w:r>
                            <w:bookmarkEnd w:id="537"/>
                            <w:bookmarkEnd w:id="538"/>
                            <w:bookmarkEnd w:id="539"/>
                          </w:p>
                          <w:p w:rsidR="003208E6" w:rsidRPr="00DD65DE" w:rsidRDefault="003208E6" w:rsidP="001D3F19">
                            <w:pPr>
                              <w:rPr>
                                <w:vertAlign w:val="superscrip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20" o:spid="_x0000_s1046" type="#_x0000_t202" style="position:absolute;left:0;text-align:left;margin-left:0;margin-top:88.85pt;width:396.85pt;height:36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" stroked="f">
                <v:textbox inset="0,0,0,0">
                  <w:txbxContent>
                    <w:p w:rsidR="003208E6" w:rsidRPr="00741E74" w:rsidRDefault="003208E6" w:rsidP="00D52E79">
                      <w:pPr>
                        <w:spacing w:after="120" w:line="240" w:lineRule="auto"/>
                        <w:jc w:val="both"/>
                        <w:rPr>
                          <w:rFonts w:eastAsia="Times New Roman"/>
                          <w:b/>
                          <w:color w:val="000000"/>
                          <w:sz w:val="20"/>
                          <w:szCs w:val="20"/>
                          <w:lang w:eastAsia="en-GB"/>
                        </w:rPr>
                      </w:pPr>
                      <w:bookmarkStart w:id="578" w:name="_Ref361089456"/>
                      <w:bookmarkStart w:id="579" w:name="_Toc361733621"/>
                      <w:bookmarkStart w:id="580" w:name="_Toc361734264"/>
                      <w:bookmarkStart w:id="581" w:name="_Toc370511660"/>
                      <w:r w:rsidRPr="00741E74">
                        <w:rPr>
                          <w:b/>
                          <w:sz w:val="20"/>
                          <w:szCs w:val="20"/>
                        </w:rPr>
                        <w:t xml:space="preserve">Figure </w:t>
                      </w:r>
                      <w:r>
                        <w:rPr>
                          <w:b/>
                          <w:sz w:val="20"/>
                          <w:szCs w:val="20"/>
                        </w:rPr>
                        <w:fldChar w:fldCharType="begin"/>
                      </w:r>
                      <w:r>
                        <w:rPr>
                          <w:b/>
                          <w:sz w:val="20"/>
                          <w:szCs w:val="20"/>
                        </w:rPr>
                        <w:instrText xml:space="preserve"> STYLEREF 1 \s </w:instrText>
                      </w:r>
                      <w:r>
                        <w:rPr>
                          <w:b/>
                          <w:sz w:val="20"/>
                          <w:szCs w:val="20"/>
                        </w:rPr>
                        <w:fldChar w:fldCharType="separate"/>
                      </w:r>
                      <w:r>
                        <w:rPr>
                          <w:b/>
                          <w:noProof/>
                          <w:sz w:val="20"/>
                          <w:szCs w:val="20"/>
                          <w:cs/>
                        </w:rPr>
                        <w:t>‎</w:t>
                      </w:r>
                      <w:r>
                        <w:rPr>
                          <w:b/>
                          <w:noProof/>
                          <w:sz w:val="20"/>
                          <w:szCs w:val="20"/>
                        </w:rPr>
                        <w:t>3</w:t>
                      </w:r>
                      <w:r>
                        <w:rPr>
                          <w:b/>
                          <w:sz w:val="20"/>
                          <w:szCs w:val="20"/>
                        </w:rPr>
                        <w:fldChar w:fldCharType="end"/>
                      </w:r>
                      <w:r>
                        <w:rPr>
                          <w:b/>
                          <w:sz w:val="20"/>
                          <w:szCs w:val="20"/>
                        </w:rPr>
                        <w:t>.</w:t>
                      </w:r>
                      <w:r>
                        <w:rPr>
                          <w:b/>
                          <w:sz w:val="20"/>
                          <w:szCs w:val="20"/>
                        </w:rPr>
                        <w:fldChar w:fldCharType="begin"/>
                      </w:r>
                      <w:r>
                        <w:rPr>
                          <w:b/>
                          <w:sz w:val="20"/>
                          <w:szCs w:val="20"/>
                        </w:rPr>
                        <w:instrText xml:space="preserve"> SEQ Figure \* ARABIC \s 1 </w:instrText>
                      </w:r>
                      <w:r>
                        <w:rPr>
                          <w:b/>
                          <w:sz w:val="20"/>
                          <w:szCs w:val="20"/>
                        </w:rPr>
                        <w:fldChar w:fldCharType="separate"/>
                      </w:r>
                      <w:r>
                        <w:rPr>
                          <w:b/>
                          <w:noProof/>
                          <w:sz w:val="20"/>
                          <w:szCs w:val="20"/>
                        </w:rPr>
                        <w:t>7</w:t>
                      </w:r>
                      <w:r>
                        <w:rPr>
                          <w:b/>
                          <w:sz w:val="20"/>
                          <w:szCs w:val="20"/>
                        </w:rPr>
                        <w:fldChar w:fldCharType="end"/>
                      </w:r>
                      <w:bookmarkEnd w:id="578"/>
                      <w:r w:rsidRPr="00741E74">
                        <w:rPr>
                          <w:rFonts w:eastAsia="Times New Roman"/>
                          <w:b/>
                          <w:color w:val="000000"/>
                          <w:sz w:val="20"/>
                          <w:szCs w:val="20"/>
                          <w:lang w:eastAsia="en-GB"/>
                        </w:rPr>
                        <w:t xml:space="preserve"> Standard growth curve </w:t>
                      </w:r>
                      <w:r w:rsidRPr="00741E74">
                        <w:rPr>
                          <w:rFonts w:eastAsia="Times New Roman"/>
                          <w:b/>
                          <w:iCs/>
                          <w:color w:val="000000"/>
                          <w:sz w:val="20"/>
                          <w:szCs w:val="20"/>
                          <w:lang w:eastAsia="en-GB"/>
                        </w:rPr>
                        <w:t>for</w:t>
                      </w:r>
                      <w:r w:rsidRPr="00741E74">
                        <w:rPr>
                          <w:rFonts w:eastAsia="Times New Roman"/>
                          <w:b/>
                          <w:color w:val="000000"/>
                          <w:sz w:val="20"/>
                          <w:szCs w:val="20"/>
                          <w:lang w:eastAsia="en-GB"/>
                        </w:rPr>
                        <w:t xml:space="preserve"> </w:t>
                      </w:r>
                      <w:r w:rsidRPr="00741E74">
                        <w:rPr>
                          <w:rFonts w:eastAsia="Times New Roman"/>
                          <w:b/>
                          <w:i/>
                          <w:iCs/>
                          <w:color w:val="000000"/>
                          <w:sz w:val="20"/>
                          <w:szCs w:val="20"/>
                          <w:lang w:eastAsia="en-GB"/>
                        </w:rPr>
                        <w:t>E coli</w:t>
                      </w:r>
                      <w:r w:rsidRPr="00741E74">
                        <w:rPr>
                          <w:rFonts w:eastAsia="Times New Roman"/>
                          <w:b/>
                          <w:color w:val="000000"/>
                          <w:sz w:val="20"/>
                          <w:szCs w:val="20"/>
                          <w:lang w:eastAsia="en-GB"/>
                        </w:rPr>
                        <w:t xml:space="preserve"> (NCTC 755) OD</w:t>
                      </w:r>
                      <w:r w:rsidRPr="00741E74">
                        <w:rPr>
                          <w:rFonts w:eastAsia="Times New Roman"/>
                          <w:b/>
                          <w:color w:val="000000"/>
                          <w:sz w:val="20"/>
                          <w:szCs w:val="20"/>
                          <w:vertAlign w:val="subscript"/>
                          <w:lang w:eastAsia="en-GB"/>
                        </w:rPr>
                        <w:t>450</w:t>
                      </w:r>
                      <w:r w:rsidRPr="00741E74">
                        <w:rPr>
                          <w:rFonts w:eastAsia="Times New Roman"/>
                          <w:b/>
                          <w:color w:val="000000"/>
                          <w:sz w:val="20"/>
                          <w:szCs w:val="20"/>
                          <w:lang w:eastAsia="en-GB"/>
                        </w:rPr>
                        <w:t xml:space="preserve"> against number of colony forming units (CFU/ml)</w:t>
                      </w:r>
                      <w:bookmarkEnd w:id="579"/>
                      <w:bookmarkEnd w:id="580"/>
                      <w:bookmarkEnd w:id="581"/>
                    </w:p>
                    <w:p w:rsidR="003208E6" w:rsidRPr="00DD65DE" w:rsidRDefault="003208E6" w:rsidP="001D3F19">
                      <w:pPr>
                        <w:rPr>
                          <w:vertAlign w:val="superscript"/>
                        </w:rPr>
                      </w:pPr>
                    </w:p>
                  </w:txbxContent>
                </v:textbox>
                <w10:wrap type="square"/>
              </v:shape>
            </w:pict>
          </mc:Fallback>
        </mc:AlternateContent>
      </w:r>
      <w:bookmarkEnd w:id="535"/>
      <w:r w:rsidR="00D100E9" w:rsidRPr="00D52E79">
        <w:rPr>
          <w:szCs w:val="24"/>
        </w:rPr>
        <w:t xml:space="preserve">The </w:t>
      </w:r>
      <w:r w:rsidR="00F87195" w:rsidRPr="00D52E79">
        <w:rPr>
          <w:szCs w:val="24"/>
        </w:rPr>
        <w:t xml:space="preserve">method used to calculate the </w:t>
      </w:r>
      <w:r w:rsidR="00D100E9" w:rsidRPr="00D52E79">
        <w:rPr>
          <w:szCs w:val="24"/>
        </w:rPr>
        <w:t>growth</w:t>
      </w:r>
      <w:r w:rsidR="00EC5A3A" w:rsidRPr="00D52E79">
        <w:rPr>
          <w:szCs w:val="24"/>
        </w:rPr>
        <w:t xml:space="preserve"> behaviour of </w:t>
      </w:r>
      <w:r w:rsidR="00EC5A3A" w:rsidRPr="00D52E79">
        <w:rPr>
          <w:i/>
          <w:iCs/>
          <w:szCs w:val="24"/>
        </w:rPr>
        <w:t>E</w:t>
      </w:r>
      <w:r w:rsidR="00EC38E2" w:rsidRPr="00D52E79">
        <w:rPr>
          <w:i/>
          <w:iCs/>
          <w:szCs w:val="24"/>
        </w:rPr>
        <w:t>. coli</w:t>
      </w:r>
      <w:r w:rsidR="00EC38E2" w:rsidRPr="00D52E79">
        <w:rPr>
          <w:szCs w:val="24"/>
        </w:rPr>
        <w:t xml:space="preserve"> (NCTC 11954</w:t>
      </w:r>
      <w:r w:rsidR="00AB635C" w:rsidRPr="00D52E79">
        <w:rPr>
          <w:szCs w:val="24"/>
        </w:rPr>
        <w:t>) measured</w:t>
      </w:r>
      <w:r w:rsidR="00EC5A3A" w:rsidRPr="00D52E79">
        <w:rPr>
          <w:szCs w:val="24"/>
        </w:rPr>
        <w:t xml:space="preserve"> by </w:t>
      </w:r>
      <w:r w:rsidR="00EC38E2" w:rsidRPr="00D52E79">
        <w:rPr>
          <w:szCs w:val="24"/>
        </w:rPr>
        <w:t>OD</w:t>
      </w:r>
      <w:r w:rsidR="00EC38E2" w:rsidRPr="00D52E79">
        <w:rPr>
          <w:szCs w:val="24"/>
          <w:vertAlign w:val="subscript"/>
        </w:rPr>
        <w:t>450</w:t>
      </w:r>
      <w:r w:rsidR="00EC38E2" w:rsidRPr="00D52E79">
        <w:rPr>
          <w:szCs w:val="24"/>
        </w:rPr>
        <w:t xml:space="preserve"> against (CFU/ml)</w:t>
      </w:r>
      <w:r w:rsidR="00F87195" w:rsidRPr="00D52E79">
        <w:rPr>
          <w:szCs w:val="24"/>
        </w:rPr>
        <w:t xml:space="preserve"> has been given in </w:t>
      </w:r>
      <w:r w:rsidR="00D100E9" w:rsidRPr="00D52E79">
        <w:rPr>
          <w:szCs w:val="24"/>
        </w:rPr>
        <w:t>section</w:t>
      </w:r>
      <w:r w:rsidR="005F57DC" w:rsidRPr="00D52E79">
        <w:rPr>
          <w:szCs w:val="24"/>
        </w:rPr>
        <w:t xml:space="preserve"> 3.19.3.3</w:t>
      </w:r>
      <w:r w:rsidR="00F87195" w:rsidRPr="00D52E79">
        <w:rPr>
          <w:szCs w:val="24"/>
        </w:rPr>
        <w:t xml:space="preserve">.  </w:t>
      </w:r>
      <w:r w:rsidR="005845D1" w:rsidRPr="00D52E79">
        <w:rPr>
          <w:szCs w:val="24"/>
        </w:rPr>
        <w:t>The standard</w:t>
      </w:r>
      <w:r w:rsidR="00D100E9" w:rsidRPr="00D52E79">
        <w:rPr>
          <w:szCs w:val="24"/>
        </w:rPr>
        <w:t xml:space="preserve"> growth curve </w:t>
      </w:r>
      <w:r w:rsidR="00D100E9" w:rsidRPr="00D52E79">
        <w:rPr>
          <w:i/>
          <w:szCs w:val="24"/>
        </w:rPr>
        <w:t>for E coli</w:t>
      </w:r>
      <w:r w:rsidR="00F87195" w:rsidRPr="00D52E79">
        <w:rPr>
          <w:i/>
          <w:szCs w:val="24"/>
        </w:rPr>
        <w:t xml:space="preserve"> </w:t>
      </w:r>
      <w:r w:rsidR="00F87195" w:rsidRPr="00D52E79">
        <w:rPr>
          <w:szCs w:val="24"/>
        </w:rPr>
        <w:t>is shown in</w:t>
      </w:r>
      <w:r w:rsidR="00741E74" w:rsidRPr="00D52E79">
        <w:rPr>
          <w:szCs w:val="24"/>
        </w:rPr>
        <w:t xml:space="preserve"> </w:t>
      </w:r>
      <w:r w:rsidR="00741E74" w:rsidRPr="00D52E79">
        <w:rPr>
          <w:szCs w:val="24"/>
        </w:rPr>
        <w:fldChar w:fldCharType="begin"/>
      </w:r>
      <w:r w:rsidR="00741E74" w:rsidRPr="00D52E79">
        <w:rPr>
          <w:szCs w:val="24"/>
        </w:rPr>
        <w:instrText xml:space="preserve"> REF _Ref361089456 \h  \* MERGEFORMAT </w:instrText>
      </w:r>
      <w:r w:rsidR="00741E74" w:rsidRPr="00D52E79">
        <w:rPr>
          <w:szCs w:val="24"/>
        </w:rPr>
      </w:r>
      <w:r w:rsidR="00741E74" w:rsidRPr="00D52E79">
        <w:rPr>
          <w:szCs w:val="24"/>
        </w:rPr>
        <w:fldChar w:fldCharType="separate"/>
      </w:r>
      <w:r w:rsidR="00374B77" w:rsidRPr="00374B77">
        <w:rPr>
          <w:szCs w:val="24"/>
        </w:rPr>
        <w:t xml:space="preserve">Figure </w:t>
      </w:r>
      <w:r w:rsidR="00374B77" w:rsidRPr="00374B77">
        <w:rPr>
          <w:noProof/>
          <w:szCs w:val="24"/>
          <w:cs/>
        </w:rPr>
        <w:t>‎</w:t>
      </w:r>
      <w:r w:rsidR="00374B77">
        <w:rPr>
          <w:b/>
          <w:noProof/>
          <w:sz w:val="20"/>
          <w:szCs w:val="20"/>
        </w:rPr>
        <w:t>3.7</w:t>
      </w:r>
      <w:r w:rsidR="00741E74" w:rsidRPr="00D52E79">
        <w:rPr>
          <w:szCs w:val="24"/>
        </w:rPr>
        <w:fldChar w:fldCharType="end"/>
      </w:r>
      <w:r w:rsidR="00D100E9" w:rsidRPr="00D52E79">
        <w:rPr>
          <w:szCs w:val="24"/>
        </w:rPr>
        <w:t>.</w:t>
      </w:r>
    </w:p>
    <w:p w:rsidR="00EC38E2" w:rsidRPr="00B013ED" w:rsidRDefault="001C1F39" w:rsidP="00EC38E2">
      <w:pPr>
        <w:spacing w:after="120" w:line="480" w:lineRule="auto"/>
        <w:jc w:val="both"/>
        <w:rPr>
          <w:rFonts w:eastAsia="Times New Roman"/>
          <w:bCs/>
          <w:color w:val="000000"/>
          <w:vertAlign w:val="superscript"/>
          <w:lang w:eastAsia="en-GB"/>
        </w:rPr>
      </w:pPr>
      <w:r w:rsidRPr="001F2B80">
        <w:rPr>
          <w:rFonts w:eastAsia="Times New Roman"/>
          <w:b/>
          <w:noProof/>
          <w:color w:val="000000"/>
          <w:sz w:val="20"/>
          <w:szCs w:val="20"/>
          <w:vertAlign w:val="superscript"/>
          <w:lang w:eastAsia="en-GB"/>
        </w:rPr>
        <w:drawing>
          <wp:anchor distT="0" distB="0" distL="114300" distR="114300" simplePos="0" relativeHeight="251720704" behindDoc="1" locked="0" layoutInCell="1" allowOverlap="1" wp14:anchorId="5FB6D2D7" wp14:editId="03C36EC1">
            <wp:simplePos x="0" y="0"/>
            <wp:positionH relativeFrom="margin">
              <wp:posOffset>140970</wp:posOffset>
            </wp:positionH>
            <wp:positionV relativeFrom="margin">
              <wp:posOffset>6019800</wp:posOffset>
            </wp:positionV>
            <wp:extent cx="4514850" cy="2343150"/>
            <wp:effectExtent l="0" t="0" r="19050" b="19050"/>
            <wp:wrapSquare wrapText="bothSides"/>
            <wp:docPr id="5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rsidR="00221109" w:rsidRDefault="00221109" w:rsidP="00EC38E2">
      <w:pPr>
        <w:spacing w:after="120" w:line="480" w:lineRule="auto"/>
        <w:jc w:val="both"/>
        <w:rPr>
          <w:rFonts w:eastAsia="Times New Roman"/>
          <w:bCs/>
          <w:color w:val="000000"/>
          <w:vertAlign w:val="superscript"/>
          <w:lang w:eastAsia="en-GB"/>
        </w:rPr>
      </w:pPr>
    </w:p>
    <w:p w:rsidR="001F2B80" w:rsidRDefault="001F2B80" w:rsidP="00EC38E2">
      <w:pPr>
        <w:spacing w:after="120" w:line="480" w:lineRule="auto"/>
        <w:jc w:val="both"/>
        <w:rPr>
          <w:rFonts w:eastAsia="Times New Roman"/>
          <w:bCs/>
          <w:color w:val="000000"/>
          <w:vertAlign w:val="superscript"/>
          <w:lang w:eastAsia="en-GB"/>
        </w:rPr>
      </w:pPr>
    </w:p>
    <w:p w:rsidR="00221109" w:rsidRDefault="00221109" w:rsidP="00EC38E2">
      <w:pPr>
        <w:spacing w:after="120" w:line="480" w:lineRule="auto"/>
        <w:jc w:val="both"/>
        <w:rPr>
          <w:rFonts w:eastAsia="Times New Roman"/>
          <w:bCs/>
          <w:color w:val="000000"/>
          <w:vertAlign w:val="superscript"/>
          <w:lang w:eastAsia="en-GB"/>
        </w:rPr>
      </w:pPr>
    </w:p>
    <w:p w:rsidR="00221109" w:rsidRDefault="00221109" w:rsidP="00EC38E2">
      <w:pPr>
        <w:spacing w:after="120" w:line="480" w:lineRule="auto"/>
        <w:jc w:val="both"/>
        <w:rPr>
          <w:rFonts w:eastAsia="Times New Roman"/>
          <w:bCs/>
          <w:color w:val="000000"/>
          <w:vertAlign w:val="superscript"/>
          <w:lang w:eastAsia="en-GB"/>
        </w:rPr>
      </w:pPr>
    </w:p>
    <w:p w:rsidR="001C1F39" w:rsidRDefault="001C1F39" w:rsidP="00EC5A3A">
      <w:pPr>
        <w:spacing w:after="0" w:line="240" w:lineRule="auto"/>
        <w:jc w:val="both"/>
        <w:rPr>
          <w:rFonts w:eastAsia="Times New Roman"/>
          <w:bCs/>
          <w:color w:val="000000"/>
          <w:vertAlign w:val="superscript"/>
          <w:lang w:eastAsia="en-GB"/>
        </w:rPr>
      </w:pPr>
    </w:p>
    <w:p w:rsidR="00EC38E2" w:rsidRPr="00B013ED" w:rsidRDefault="00EC5A3A" w:rsidP="00EC5A3A">
      <w:pPr>
        <w:spacing w:after="0" w:line="240" w:lineRule="auto"/>
        <w:jc w:val="both"/>
        <w:rPr>
          <w:rFonts w:eastAsia="Times New Roman" w:cstheme="minorBidi"/>
          <w:color w:val="000000"/>
          <w:sz w:val="20"/>
          <w:szCs w:val="20"/>
        </w:rPr>
      </w:pPr>
      <w:r w:rsidRPr="00B013ED">
        <w:rPr>
          <w:rFonts w:eastAsia="Times New Roman" w:cstheme="minorBidi"/>
          <w:color w:val="000000"/>
          <w:sz w:val="20"/>
          <w:szCs w:val="20"/>
        </w:rPr>
        <w:t>Colony forming units (CFU)</w:t>
      </w:r>
    </w:p>
    <w:p w:rsidR="005F57DC" w:rsidRPr="00D60EA0" w:rsidRDefault="00EC5A3A" w:rsidP="00D60EA0">
      <w:pPr>
        <w:spacing w:after="0" w:line="240" w:lineRule="auto"/>
        <w:jc w:val="both"/>
        <w:rPr>
          <w:rFonts w:eastAsia="Times New Roman" w:cstheme="minorBidi"/>
          <w:bCs/>
          <w:color w:val="000000"/>
          <w:sz w:val="20"/>
          <w:szCs w:val="20"/>
          <w:vertAlign w:val="subscript"/>
          <w:lang w:eastAsia="en-GB"/>
        </w:rPr>
      </w:pPr>
      <w:r w:rsidRPr="00B013ED">
        <w:rPr>
          <w:rFonts w:eastAsia="Times New Roman" w:cstheme="minorBidi"/>
          <w:bCs/>
          <w:color w:val="000000"/>
          <w:sz w:val="20"/>
          <w:szCs w:val="20"/>
          <w:lang w:eastAsia="en-GB"/>
        </w:rPr>
        <w:t>Optical density</w:t>
      </w:r>
      <w:r w:rsidRPr="00B013ED">
        <w:rPr>
          <w:rFonts w:eastAsia="Times New Roman" w:cstheme="minorBidi"/>
          <w:bCs/>
          <w:color w:val="000000"/>
          <w:sz w:val="20"/>
          <w:szCs w:val="20"/>
          <w:vertAlign w:val="superscript"/>
          <w:lang w:eastAsia="en-GB"/>
        </w:rPr>
        <w:t xml:space="preserve"> </w:t>
      </w:r>
      <w:r w:rsidR="002D2A85" w:rsidRPr="00B013ED">
        <w:rPr>
          <w:rFonts w:eastAsia="Times New Roman" w:cstheme="minorBidi"/>
          <w:bCs/>
          <w:color w:val="000000"/>
          <w:sz w:val="20"/>
          <w:szCs w:val="20"/>
          <w:lang w:eastAsia="en-GB"/>
        </w:rPr>
        <w:t>at a wavelength</w:t>
      </w:r>
      <w:r w:rsidR="002D2A85" w:rsidRPr="00B013ED">
        <w:rPr>
          <w:rFonts w:eastAsia="Times New Roman" w:cstheme="minorBidi"/>
          <w:bCs/>
          <w:color w:val="000000"/>
          <w:sz w:val="20"/>
          <w:szCs w:val="20"/>
          <w:vertAlign w:val="superscript"/>
          <w:lang w:eastAsia="en-GB"/>
        </w:rPr>
        <w:t xml:space="preserve"> </w:t>
      </w:r>
      <w:r w:rsidRPr="00B013ED">
        <w:rPr>
          <w:rFonts w:eastAsia="Times New Roman" w:cstheme="minorBidi"/>
          <w:bCs/>
          <w:color w:val="000000"/>
          <w:sz w:val="20"/>
          <w:szCs w:val="20"/>
          <w:vertAlign w:val="superscript"/>
          <w:lang w:eastAsia="en-GB"/>
        </w:rPr>
        <w:t>(</w:t>
      </w:r>
      <w:r w:rsidRPr="00B013ED">
        <w:rPr>
          <w:rFonts w:eastAsia="Times New Roman" w:cstheme="minorBidi"/>
          <w:bCs/>
          <w:color w:val="000000"/>
          <w:sz w:val="20"/>
          <w:szCs w:val="20"/>
          <w:lang w:eastAsia="en-GB"/>
        </w:rPr>
        <w:t>OD</w:t>
      </w:r>
      <w:r w:rsidRPr="00B013ED">
        <w:rPr>
          <w:rFonts w:eastAsia="Times New Roman" w:cstheme="minorBidi"/>
          <w:bCs/>
          <w:color w:val="000000"/>
          <w:sz w:val="20"/>
          <w:szCs w:val="20"/>
          <w:vertAlign w:val="subscript"/>
          <w:lang w:eastAsia="en-GB"/>
        </w:rPr>
        <w:t>450)</w:t>
      </w:r>
    </w:p>
    <w:p w:rsidR="006A2CE4" w:rsidRPr="00D52E79" w:rsidRDefault="00EC38E2" w:rsidP="00D52E79">
      <w:pPr>
        <w:pStyle w:val="Heading4"/>
        <w:spacing w:line="480" w:lineRule="auto"/>
        <w:rPr>
          <w:lang w:eastAsia="en-GB"/>
        </w:rPr>
      </w:pPr>
      <w:proofErr w:type="gramStart"/>
      <w:r w:rsidRPr="006A2CE4">
        <w:rPr>
          <w:i/>
          <w:iCs w:val="0"/>
          <w:lang w:eastAsia="en-GB"/>
        </w:rPr>
        <w:lastRenderedPageBreak/>
        <w:t>Enterococcus faecalis</w:t>
      </w:r>
      <w:r w:rsidRPr="00B013ED">
        <w:rPr>
          <w:lang w:eastAsia="en-GB"/>
        </w:rPr>
        <w:t>.</w:t>
      </w:r>
      <w:proofErr w:type="gramEnd"/>
      <w:r w:rsidRPr="00B013ED">
        <w:rPr>
          <w:lang w:eastAsia="en-GB"/>
        </w:rPr>
        <w:t xml:space="preserve"> (</w:t>
      </w:r>
      <w:r w:rsidRPr="006A2CE4">
        <w:rPr>
          <w:i/>
          <w:iCs w:val="0"/>
          <w:lang w:eastAsia="en-GB"/>
        </w:rPr>
        <w:t>E</w:t>
      </w:r>
      <w:r w:rsidR="006A2CE4">
        <w:rPr>
          <w:i/>
          <w:iCs w:val="0"/>
          <w:lang w:eastAsia="en-GB"/>
        </w:rPr>
        <w:t>.</w:t>
      </w:r>
      <w:r w:rsidRPr="006A2CE4">
        <w:rPr>
          <w:i/>
          <w:iCs w:val="0"/>
          <w:lang w:eastAsia="en-GB"/>
        </w:rPr>
        <w:t xml:space="preserve"> faecalis</w:t>
      </w:r>
      <w:r w:rsidRPr="00B013ED">
        <w:rPr>
          <w:lang w:eastAsia="en-GB"/>
        </w:rPr>
        <w:t>) (NCTC 755)</w:t>
      </w:r>
    </w:p>
    <w:p w:rsidR="001F2B80" w:rsidRPr="00D52E79" w:rsidRDefault="00F87195" w:rsidP="00D52E79">
      <w:pPr>
        <w:pStyle w:val="table"/>
        <w:jc w:val="both"/>
        <w:rPr>
          <w:rFonts w:cs="Al-Kharashi 11"/>
          <w:szCs w:val="24"/>
        </w:rPr>
      </w:pPr>
      <w:r w:rsidRPr="00D52E79">
        <w:rPr>
          <w:szCs w:val="24"/>
        </w:rPr>
        <w:t>T</w:t>
      </w:r>
      <w:r w:rsidR="00D00DE3" w:rsidRPr="00D52E79">
        <w:rPr>
          <w:szCs w:val="24"/>
        </w:rPr>
        <w:t>he</w:t>
      </w:r>
      <w:r w:rsidR="00EC38E2" w:rsidRPr="00D52E79">
        <w:rPr>
          <w:szCs w:val="24"/>
        </w:rPr>
        <w:t xml:space="preserve"> respective serial dilution, CFU and the associated optical OD</w:t>
      </w:r>
      <w:r w:rsidR="00EC38E2" w:rsidRPr="00D52E79">
        <w:rPr>
          <w:szCs w:val="24"/>
          <w:vertAlign w:val="subscript"/>
        </w:rPr>
        <w:t>540</w:t>
      </w:r>
      <w:r w:rsidR="00EC38E2" w:rsidRPr="00D52E79">
        <w:rPr>
          <w:szCs w:val="24"/>
        </w:rPr>
        <w:t xml:space="preserve"> are shown in </w:t>
      </w:r>
      <w:r w:rsidR="00741E74" w:rsidRPr="00D52E79">
        <w:rPr>
          <w:szCs w:val="24"/>
        </w:rPr>
        <w:fldChar w:fldCharType="begin"/>
      </w:r>
      <w:r w:rsidR="00741E74" w:rsidRPr="00D52E79">
        <w:rPr>
          <w:szCs w:val="24"/>
        </w:rPr>
        <w:instrText xml:space="preserve"> REF _Ref361089535 \h </w:instrText>
      </w:r>
      <w:r w:rsidR="00AA6C9C" w:rsidRPr="00D52E79">
        <w:rPr>
          <w:szCs w:val="24"/>
        </w:rPr>
        <w:instrText xml:space="preserve"> \* MERGEFORMAT </w:instrText>
      </w:r>
      <w:r w:rsidR="00741E74" w:rsidRPr="00D52E79">
        <w:rPr>
          <w:szCs w:val="24"/>
        </w:rPr>
      </w:r>
      <w:r w:rsidR="00741E74" w:rsidRPr="00D52E79">
        <w:rPr>
          <w:szCs w:val="24"/>
        </w:rPr>
        <w:fldChar w:fldCharType="separate"/>
      </w:r>
      <w:r w:rsidR="00374B77" w:rsidRPr="00374B77">
        <w:rPr>
          <w:szCs w:val="24"/>
        </w:rPr>
        <w:t xml:space="preserve">Table </w:t>
      </w:r>
      <w:r w:rsidR="00374B77" w:rsidRPr="00374B77">
        <w:rPr>
          <w:noProof/>
          <w:szCs w:val="24"/>
          <w:cs/>
        </w:rPr>
        <w:t>‎</w:t>
      </w:r>
      <w:r w:rsidR="00374B77">
        <w:rPr>
          <w:b/>
          <w:noProof/>
          <w:sz w:val="20"/>
          <w:szCs w:val="20"/>
        </w:rPr>
        <w:t>3.5</w:t>
      </w:r>
      <w:r w:rsidR="00741E74" w:rsidRPr="00D52E79">
        <w:rPr>
          <w:szCs w:val="24"/>
        </w:rPr>
        <w:fldChar w:fldCharType="end"/>
      </w:r>
      <w:r w:rsidR="00741E74" w:rsidRPr="00D52E79">
        <w:rPr>
          <w:szCs w:val="24"/>
        </w:rPr>
        <w:t xml:space="preserve"> </w:t>
      </w:r>
      <w:r w:rsidR="00AA6C9C" w:rsidRPr="00D52E79">
        <w:rPr>
          <w:szCs w:val="24"/>
        </w:rPr>
        <w:t xml:space="preserve">and the standard growth curve for this bacterium is shown in </w:t>
      </w:r>
      <w:r w:rsidR="00914F99" w:rsidRPr="00D52E79">
        <w:rPr>
          <w:szCs w:val="24"/>
        </w:rPr>
        <w:fldChar w:fldCharType="begin"/>
      </w:r>
      <w:r w:rsidR="00914F99" w:rsidRPr="00D52E79">
        <w:rPr>
          <w:szCs w:val="24"/>
        </w:rPr>
        <w:instrText xml:space="preserve"> REF _Ref360521815 \h  \* MERGEFORMAT </w:instrText>
      </w:r>
      <w:r w:rsidR="00914F99" w:rsidRPr="00D52E79">
        <w:rPr>
          <w:szCs w:val="24"/>
        </w:rPr>
      </w:r>
      <w:r w:rsidR="00914F99" w:rsidRPr="00D52E79">
        <w:rPr>
          <w:szCs w:val="24"/>
        </w:rPr>
        <w:fldChar w:fldCharType="separate"/>
      </w:r>
      <w:r w:rsidR="00374B77" w:rsidRPr="00374B77">
        <w:rPr>
          <w:szCs w:val="24"/>
        </w:rPr>
        <w:t xml:space="preserve">Figure </w:t>
      </w:r>
      <w:r w:rsidR="00374B77" w:rsidRPr="00374B77">
        <w:rPr>
          <w:noProof/>
          <w:szCs w:val="24"/>
          <w:cs/>
        </w:rPr>
        <w:t>‎</w:t>
      </w:r>
      <w:r w:rsidR="00374B77">
        <w:rPr>
          <w:rFonts w:cstheme="minorBidi"/>
          <w:b/>
          <w:noProof/>
          <w:sz w:val="20"/>
          <w:szCs w:val="20"/>
        </w:rPr>
        <w:t>3.8</w:t>
      </w:r>
      <w:r w:rsidR="00914F99" w:rsidRPr="00D52E79">
        <w:rPr>
          <w:szCs w:val="24"/>
        </w:rPr>
        <w:fldChar w:fldCharType="end"/>
      </w:r>
      <w:r w:rsidR="00C11AD9" w:rsidRPr="00D52E79">
        <w:rPr>
          <w:szCs w:val="24"/>
        </w:rPr>
        <w:t>.</w:t>
      </w:r>
      <w:bookmarkStart w:id="540" w:name="_Ref360490257"/>
    </w:p>
    <w:p w:rsidR="00741E74" w:rsidRPr="00D52E79" w:rsidRDefault="00741E74" w:rsidP="00D52E79">
      <w:pPr>
        <w:spacing w:after="120" w:line="240" w:lineRule="auto"/>
        <w:jc w:val="center"/>
        <w:rPr>
          <w:rFonts w:eastAsia="Times New Roman"/>
          <w:b/>
          <w:bCs/>
          <w:color w:val="000000"/>
          <w:sz w:val="20"/>
          <w:szCs w:val="20"/>
          <w:lang w:eastAsia="en-GB"/>
        </w:rPr>
      </w:pPr>
      <w:bookmarkStart w:id="541" w:name="_Ref361089535"/>
      <w:bookmarkStart w:id="542" w:name="_Toc370511741"/>
      <w:bookmarkEnd w:id="540"/>
      <w:proofErr w:type="gramStart"/>
      <w:r w:rsidRPr="00741E74">
        <w:rPr>
          <w:b/>
          <w:sz w:val="20"/>
          <w:szCs w:val="20"/>
        </w:rPr>
        <w:t xml:space="preserve">Table </w:t>
      </w:r>
      <w:r w:rsidR="00E7089D">
        <w:rPr>
          <w:b/>
          <w:sz w:val="20"/>
          <w:szCs w:val="20"/>
        </w:rPr>
        <w:fldChar w:fldCharType="begin"/>
      </w:r>
      <w:r w:rsidR="00E7089D">
        <w:rPr>
          <w:b/>
          <w:sz w:val="20"/>
          <w:szCs w:val="20"/>
        </w:rPr>
        <w:instrText xml:space="preserve"> STYLEREF 1 \s </w:instrText>
      </w:r>
      <w:r w:rsidR="00E7089D">
        <w:rPr>
          <w:b/>
          <w:sz w:val="20"/>
          <w:szCs w:val="20"/>
        </w:rPr>
        <w:fldChar w:fldCharType="separate"/>
      </w:r>
      <w:r w:rsidR="00374B77">
        <w:rPr>
          <w:b/>
          <w:noProof/>
          <w:sz w:val="20"/>
          <w:szCs w:val="20"/>
          <w:cs/>
        </w:rPr>
        <w:t>‎</w:t>
      </w:r>
      <w:r w:rsidR="00374B77">
        <w:rPr>
          <w:b/>
          <w:noProof/>
          <w:sz w:val="20"/>
          <w:szCs w:val="20"/>
        </w:rPr>
        <w:t>3</w:t>
      </w:r>
      <w:r w:rsidR="00E7089D">
        <w:rPr>
          <w:b/>
          <w:sz w:val="20"/>
          <w:szCs w:val="20"/>
        </w:rPr>
        <w:fldChar w:fldCharType="end"/>
      </w:r>
      <w:r w:rsidR="00E7089D">
        <w:rPr>
          <w:b/>
          <w:sz w:val="20"/>
          <w:szCs w:val="20"/>
        </w:rPr>
        <w:t>.</w:t>
      </w:r>
      <w:proofErr w:type="gramEnd"/>
      <w:r w:rsidR="00E7089D">
        <w:rPr>
          <w:b/>
          <w:sz w:val="20"/>
          <w:szCs w:val="20"/>
        </w:rPr>
        <w:fldChar w:fldCharType="begin"/>
      </w:r>
      <w:r w:rsidR="00E7089D">
        <w:rPr>
          <w:b/>
          <w:sz w:val="20"/>
          <w:szCs w:val="20"/>
        </w:rPr>
        <w:instrText xml:space="preserve"> SEQ Table \* ARABIC \s 1 </w:instrText>
      </w:r>
      <w:r w:rsidR="00E7089D">
        <w:rPr>
          <w:b/>
          <w:sz w:val="20"/>
          <w:szCs w:val="20"/>
        </w:rPr>
        <w:fldChar w:fldCharType="separate"/>
      </w:r>
      <w:r w:rsidR="00374B77">
        <w:rPr>
          <w:b/>
          <w:noProof/>
          <w:sz w:val="20"/>
          <w:szCs w:val="20"/>
        </w:rPr>
        <w:t>5</w:t>
      </w:r>
      <w:r w:rsidR="00E7089D">
        <w:rPr>
          <w:b/>
          <w:sz w:val="20"/>
          <w:szCs w:val="20"/>
        </w:rPr>
        <w:fldChar w:fldCharType="end"/>
      </w:r>
      <w:bookmarkEnd w:id="541"/>
      <w:r w:rsidRPr="00741E74">
        <w:rPr>
          <w:rFonts w:eastAsia="Times New Roman"/>
          <w:b/>
          <w:bCs/>
          <w:color w:val="000000"/>
          <w:sz w:val="20"/>
          <w:szCs w:val="20"/>
          <w:lang w:eastAsia="en-GB"/>
        </w:rPr>
        <w:t xml:space="preserve"> Shows </w:t>
      </w:r>
      <w:r w:rsidRPr="00741E74">
        <w:rPr>
          <w:rFonts w:eastAsia="Times New Roman"/>
          <w:b/>
          <w:bCs/>
          <w:i/>
          <w:iCs/>
          <w:color w:val="000000"/>
          <w:sz w:val="20"/>
          <w:szCs w:val="20"/>
          <w:lang w:eastAsia="en-GB"/>
        </w:rPr>
        <w:t>E</w:t>
      </w:r>
      <w:r w:rsidRPr="00741E74">
        <w:rPr>
          <w:rFonts w:eastAsia="Times New Roman" w:cstheme="minorBidi"/>
          <w:b/>
          <w:bCs/>
          <w:i/>
          <w:iCs/>
          <w:color w:val="000000"/>
          <w:sz w:val="20"/>
          <w:szCs w:val="20"/>
          <w:lang w:eastAsia="en-GB"/>
        </w:rPr>
        <w:t xml:space="preserve"> faecalis</w:t>
      </w:r>
      <w:r w:rsidRPr="00741E74">
        <w:rPr>
          <w:rFonts w:eastAsia="Times New Roman" w:cstheme="minorBidi"/>
          <w:b/>
          <w:bCs/>
          <w:color w:val="000000"/>
          <w:sz w:val="20"/>
          <w:szCs w:val="20"/>
          <w:lang w:eastAsia="en-GB"/>
        </w:rPr>
        <w:t xml:space="preserve"> (NCTC 755) </w:t>
      </w:r>
      <w:r w:rsidRPr="00741E74">
        <w:rPr>
          <w:b/>
          <w:bCs/>
          <w:sz w:val="20"/>
          <w:szCs w:val="20"/>
          <w:lang w:eastAsia="en-GB"/>
        </w:rPr>
        <w:t>measured by OD</w:t>
      </w:r>
      <w:r w:rsidRPr="00741E74">
        <w:rPr>
          <w:b/>
          <w:bCs/>
          <w:sz w:val="20"/>
          <w:szCs w:val="20"/>
          <w:vertAlign w:val="subscript"/>
          <w:lang w:eastAsia="en-GB"/>
        </w:rPr>
        <w:t>450</w:t>
      </w:r>
      <w:r w:rsidRPr="00741E74">
        <w:rPr>
          <w:b/>
          <w:bCs/>
          <w:sz w:val="20"/>
          <w:szCs w:val="20"/>
          <w:lang w:eastAsia="en-GB"/>
        </w:rPr>
        <w:t xml:space="preserve"> against (CFU/ml)</w:t>
      </w:r>
      <w:r w:rsidRPr="00741E74">
        <w:rPr>
          <w:b/>
          <w:bCs/>
          <w:sz w:val="20"/>
          <w:szCs w:val="20"/>
        </w:rPr>
        <w:t>.</w:t>
      </w:r>
      <w:bookmarkEnd w:id="542"/>
    </w:p>
    <w:tbl>
      <w:tblPr>
        <w:tblStyle w:val="TableGrid12"/>
        <w:tblpPr w:leftFromText="180" w:rightFromText="180" w:vertAnchor="text" w:horzAnchor="margin" w:tblpXSpec="right" w:tblpY="28"/>
        <w:tblW w:w="0" w:type="auto"/>
        <w:tblLook w:val="04A0" w:firstRow="1" w:lastRow="0" w:firstColumn="1" w:lastColumn="0" w:noHBand="0" w:noVBand="1"/>
      </w:tblPr>
      <w:tblGrid>
        <w:gridCol w:w="2551"/>
        <w:gridCol w:w="2551"/>
        <w:gridCol w:w="2551"/>
      </w:tblGrid>
      <w:tr w:rsidR="00D52E79" w:rsidRPr="00B013ED" w:rsidTr="00D52E79">
        <w:trPr>
          <w:trHeight w:val="567"/>
        </w:trPr>
        <w:tc>
          <w:tcPr>
            <w:tcW w:w="2551" w:type="dxa"/>
            <w:shd w:val="clear" w:color="auto" w:fill="17365D" w:themeFill="text2" w:themeFillShade="BF"/>
            <w:vAlign w:val="center"/>
          </w:tcPr>
          <w:p w:rsidR="00D52E79" w:rsidRPr="00B013ED" w:rsidRDefault="00D52E79" w:rsidP="00D52E79">
            <w:pPr>
              <w:spacing w:after="120"/>
              <w:jc w:val="center"/>
              <w:rPr>
                <w:b/>
              </w:rPr>
            </w:pPr>
            <w:r w:rsidRPr="00B013ED">
              <w:rPr>
                <w:b/>
              </w:rPr>
              <w:t>Dilution</w:t>
            </w:r>
          </w:p>
        </w:tc>
        <w:tc>
          <w:tcPr>
            <w:tcW w:w="2551" w:type="dxa"/>
            <w:shd w:val="clear" w:color="auto" w:fill="17365D" w:themeFill="text2" w:themeFillShade="BF"/>
            <w:vAlign w:val="center"/>
          </w:tcPr>
          <w:p w:rsidR="00D52E79" w:rsidRPr="00B013ED" w:rsidRDefault="00D52E79" w:rsidP="00D52E79">
            <w:pPr>
              <w:spacing w:after="120"/>
              <w:jc w:val="center"/>
              <w:rPr>
                <w:b/>
                <w:vertAlign w:val="superscript"/>
              </w:rPr>
            </w:pPr>
            <w:r w:rsidRPr="00B013ED">
              <w:rPr>
                <w:b/>
              </w:rPr>
              <w:t>CFU ml</w:t>
            </w:r>
            <w:r w:rsidRPr="00B013ED">
              <w:rPr>
                <w:b/>
                <w:vertAlign w:val="superscript"/>
              </w:rPr>
              <w:t>-1</w:t>
            </w:r>
          </w:p>
        </w:tc>
        <w:tc>
          <w:tcPr>
            <w:tcW w:w="2551" w:type="dxa"/>
            <w:shd w:val="clear" w:color="auto" w:fill="17365D" w:themeFill="text2" w:themeFillShade="BF"/>
            <w:vAlign w:val="center"/>
          </w:tcPr>
          <w:p w:rsidR="00D52E79" w:rsidRPr="00B013ED" w:rsidRDefault="00D52E79" w:rsidP="00D52E79">
            <w:pPr>
              <w:spacing w:after="120"/>
              <w:jc w:val="center"/>
              <w:rPr>
                <w:b/>
              </w:rPr>
            </w:pPr>
            <w:r w:rsidRPr="00B013ED">
              <w:rPr>
                <w:b/>
              </w:rPr>
              <w:t>OD</w:t>
            </w:r>
            <w:r w:rsidRPr="00B013ED">
              <w:rPr>
                <w:b/>
                <w:vertAlign w:val="subscript"/>
              </w:rPr>
              <w:t>540</w:t>
            </w:r>
          </w:p>
        </w:tc>
      </w:tr>
      <w:tr w:rsidR="00D52E79" w:rsidRPr="00B013ED" w:rsidTr="00D52E79">
        <w:trPr>
          <w:trHeight w:val="567"/>
        </w:trPr>
        <w:tc>
          <w:tcPr>
            <w:tcW w:w="2551" w:type="dxa"/>
            <w:shd w:val="clear" w:color="auto" w:fill="FDE9D9" w:themeFill="accent6" w:themeFillTint="33"/>
            <w:vAlign w:val="center"/>
          </w:tcPr>
          <w:p w:rsidR="00D52E79" w:rsidRPr="00B013ED" w:rsidRDefault="00D52E79" w:rsidP="00D52E79">
            <w:pPr>
              <w:jc w:val="center"/>
            </w:pPr>
            <w:r w:rsidRPr="00B013ED">
              <w:t>1:2</w:t>
            </w:r>
          </w:p>
        </w:tc>
        <w:tc>
          <w:tcPr>
            <w:tcW w:w="2551" w:type="dxa"/>
            <w:vAlign w:val="center"/>
          </w:tcPr>
          <w:p w:rsidR="00D52E79" w:rsidRPr="00B013ED" w:rsidRDefault="00D52E79" w:rsidP="00D52E79">
            <w:pPr>
              <w:jc w:val="center"/>
              <w:rPr>
                <w:szCs w:val="24"/>
              </w:rPr>
            </w:pPr>
            <w:r w:rsidRPr="00B013ED">
              <w:rPr>
                <w:szCs w:val="24"/>
              </w:rPr>
              <w:t>2.40E+08</w:t>
            </w:r>
          </w:p>
        </w:tc>
        <w:tc>
          <w:tcPr>
            <w:tcW w:w="2551" w:type="dxa"/>
            <w:vAlign w:val="center"/>
          </w:tcPr>
          <w:p w:rsidR="00D52E79" w:rsidRPr="00B013ED" w:rsidRDefault="00D52E79" w:rsidP="00D52E79">
            <w:pPr>
              <w:jc w:val="center"/>
              <w:rPr>
                <w:szCs w:val="24"/>
              </w:rPr>
            </w:pPr>
            <w:r w:rsidRPr="00B013ED">
              <w:rPr>
                <w:szCs w:val="24"/>
              </w:rPr>
              <w:t>1.302</w:t>
            </w:r>
          </w:p>
        </w:tc>
      </w:tr>
      <w:tr w:rsidR="00D52E79" w:rsidRPr="00B013ED" w:rsidTr="00D52E79">
        <w:trPr>
          <w:trHeight w:val="567"/>
        </w:trPr>
        <w:tc>
          <w:tcPr>
            <w:tcW w:w="2551" w:type="dxa"/>
            <w:shd w:val="clear" w:color="auto" w:fill="FDE9D9" w:themeFill="accent6" w:themeFillTint="33"/>
            <w:vAlign w:val="center"/>
          </w:tcPr>
          <w:p w:rsidR="00D52E79" w:rsidRPr="00B013ED" w:rsidRDefault="00D52E79" w:rsidP="00D52E79">
            <w:pPr>
              <w:jc w:val="center"/>
            </w:pPr>
            <w:r w:rsidRPr="00B013ED">
              <w:t>1:4</w:t>
            </w:r>
          </w:p>
        </w:tc>
        <w:tc>
          <w:tcPr>
            <w:tcW w:w="2551" w:type="dxa"/>
            <w:vAlign w:val="center"/>
          </w:tcPr>
          <w:p w:rsidR="00D52E79" w:rsidRPr="00B013ED" w:rsidRDefault="00D52E79" w:rsidP="00D52E79">
            <w:pPr>
              <w:jc w:val="center"/>
              <w:rPr>
                <w:szCs w:val="24"/>
              </w:rPr>
            </w:pPr>
            <w:r w:rsidRPr="00B013ED">
              <w:rPr>
                <w:szCs w:val="24"/>
              </w:rPr>
              <w:t>1.20E+08</w:t>
            </w:r>
          </w:p>
        </w:tc>
        <w:tc>
          <w:tcPr>
            <w:tcW w:w="2551" w:type="dxa"/>
            <w:vAlign w:val="center"/>
          </w:tcPr>
          <w:p w:rsidR="00D52E79" w:rsidRPr="00B013ED" w:rsidRDefault="00D52E79" w:rsidP="00D52E79">
            <w:pPr>
              <w:jc w:val="center"/>
              <w:rPr>
                <w:szCs w:val="24"/>
              </w:rPr>
            </w:pPr>
            <w:r w:rsidRPr="00B013ED">
              <w:rPr>
                <w:szCs w:val="24"/>
              </w:rPr>
              <w:t>0.764</w:t>
            </w:r>
          </w:p>
        </w:tc>
      </w:tr>
      <w:tr w:rsidR="00D52E79" w:rsidRPr="00B013ED" w:rsidTr="00D52E79">
        <w:trPr>
          <w:trHeight w:val="567"/>
        </w:trPr>
        <w:tc>
          <w:tcPr>
            <w:tcW w:w="2551" w:type="dxa"/>
            <w:shd w:val="clear" w:color="auto" w:fill="FDE9D9" w:themeFill="accent6" w:themeFillTint="33"/>
            <w:vAlign w:val="center"/>
          </w:tcPr>
          <w:p w:rsidR="00D52E79" w:rsidRPr="00B013ED" w:rsidRDefault="00D52E79" w:rsidP="00D52E79">
            <w:pPr>
              <w:jc w:val="center"/>
            </w:pPr>
            <w:r w:rsidRPr="00B013ED">
              <w:t>1:8</w:t>
            </w:r>
          </w:p>
        </w:tc>
        <w:tc>
          <w:tcPr>
            <w:tcW w:w="2551" w:type="dxa"/>
            <w:vAlign w:val="center"/>
          </w:tcPr>
          <w:p w:rsidR="00D52E79" w:rsidRPr="00B013ED" w:rsidRDefault="00D52E79" w:rsidP="00D52E79">
            <w:pPr>
              <w:jc w:val="center"/>
              <w:rPr>
                <w:szCs w:val="24"/>
              </w:rPr>
            </w:pPr>
            <w:r w:rsidRPr="00B013ED">
              <w:rPr>
                <w:szCs w:val="24"/>
              </w:rPr>
              <w:t>6.00E+07</w:t>
            </w:r>
          </w:p>
        </w:tc>
        <w:tc>
          <w:tcPr>
            <w:tcW w:w="2551" w:type="dxa"/>
            <w:vAlign w:val="center"/>
          </w:tcPr>
          <w:p w:rsidR="00D52E79" w:rsidRPr="00B013ED" w:rsidRDefault="00D52E79" w:rsidP="00D52E79">
            <w:pPr>
              <w:jc w:val="center"/>
              <w:rPr>
                <w:szCs w:val="24"/>
              </w:rPr>
            </w:pPr>
            <w:r w:rsidRPr="00B013ED">
              <w:rPr>
                <w:szCs w:val="24"/>
              </w:rPr>
              <w:t>0.393</w:t>
            </w:r>
          </w:p>
        </w:tc>
      </w:tr>
      <w:tr w:rsidR="00D52E79" w:rsidRPr="00B013ED" w:rsidTr="00D52E79">
        <w:trPr>
          <w:trHeight w:val="567"/>
        </w:trPr>
        <w:tc>
          <w:tcPr>
            <w:tcW w:w="2551" w:type="dxa"/>
            <w:shd w:val="clear" w:color="auto" w:fill="FDE9D9" w:themeFill="accent6" w:themeFillTint="33"/>
            <w:vAlign w:val="center"/>
          </w:tcPr>
          <w:p w:rsidR="00D52E79" w:rsidRPr="00B013ED" w:rsidRDefault="00D52E79" w:rsidP="00D52E79">
            <w:pPr>
              <w:jc w:val="center"/>
            </w:pPr>
            <w:r w:rsidRPr="00B013ED">
              <w:t>1:16</w:t>
            </w:r>
          </w:p>
        </w:tc>
        <w:tc>
          <w:tcPr>
            <w:tcW w:w="2551" w:type="dxa"/>
            <w:vAlign w:val="center"/>
          </w:tcPr>
          <w:p w:rsidR="00D52E79" w:rsidRPr="00B013ED" w:rsidRDefault="00D52E79" w:rsidP="00D52E79">
            <w:pPr>
              <w:jc w:val="center"/>
              <w:rPr>
                <w:szCs w:val="24"/>
              </w:rPr>
            </w:pPr>
            <w:r w:rsidRPr="00B013ED">
              <w:rPr>
                <w:szCs w:val="24"/>
              </w:rPr>
              <w:t>3.00E+07</w:t>
            </w:r>
          </w:p>
        </w:tc>
        <w:tc>
          <w:tcPr>
            <w:tcW w:w="2551" w:type="dxa"/>
            <w:vAlign w:val="center"/>
          </w:tcPr>
          <w:p w:rsidR="00D52E79" w:rsidRPr="00B013ED" w:rsidRDefault="00D52E79" w:rsidP="00D52E79">
            <w:pPr>
              <w:jc w:val="center"/>
              <w:rPr>
                <w:szCs w:val="24"/>
              </w:rPr>
            </w:pPr>
            <w:r w:rsidRPr="00B013ED">
              <w:rPr>
                <w:szCs w:val="24"/>
              </w:rPr>
              <w:t>0.2</w:t>
            </w:r>
          </w:p>
        </w:tc>
      </w:tr>
      <w:tr w:rsidR="00D52E79" w:rsidRPr="00B013ED" w:rsidTr="00D52E79">
        <w:trPr>
          <w:trHeight w:val="567"/>
        </w:trPr>
        <w:tc>
          <w:tcPr>
            <w:tcW w:w="2551" w:type="dxa"/>
            <w:shd w:val="clear" w:color="auto" w:fill="FDE9D9" w:themeFill="accent6" w:themeFillTint="33"/>
            <w:vAlign w:val="center"/>
          </w:tcPr>
          <w:p w:rsidR="00D52E79" w:rsidRPr="00B013ED" w:rsidRDefault="00D52E79" w:rsidP="00D52E79">
            <w:pPr>
              <w:jc w:val="center"/>
            </w:pPr>
            <w:r w:rsidRPr="00B013ED">
              <w:t>1.32</w:t>
            </w:r>
          </w:p>
        </w:tc>
        <w:tc>
          <w:tcPr>
            <w:tcW w:w="2551" w:type="dxa"/>
            <w:vAlign w:val="center"/>
          </w:tcPr>
          <w:p w:rsidR="00D52E79" w:rsidRPr="00B013ED" w:rsidRDefault="00D52E79" w:rsidP="00D52E79">
            <w:pPr>
              <w:jc w:val="center"/>
              <w:rPr>
                <w:szCs w:val="24"/>
              </w:rPr>
            </w:pPr>
            <w:r w:rsidRPr="00B013ED">
              <w:rPr>
                <w:szCs w:val="24"/>
              </w:rPr>
              <w:t>1.50E+07</w:t>
            </w:r>
          </w:p>
        </w:tc>
        <w:tc>
          <w:tcPr>
            <w:tcW w:w="2551" w:type="dxa"/>
            <w:vAlign w:val="center"/>
          </w:tcPr>
          <w:p w:rsidR="00D52E79" w:rsidRPr="00B013ED" w:rsidRDefault="00D52E79" w:rsidP="00D52E79">
            <w:pPr>
              <w:jc w:val="center"/>
              <w:rPr>
                <w:szCs w:val="24"/>
              </w:rPr>
            </w:pPr>
            <w:r w:rsidRPr="00B013ED">
              <w:rPr>
                <w:szCs w:val="24"/>
              </w:rPr>
              <w:t>0.093</w:t>
            </w:r>
          </w:p>
        </w:tc>
      </w:tr>
      <w:tr w:rsidR="00D52E79" w:rsidRPr="00B013ED" w:rsidTr="00D52E79">
        <w:trPr>
          <w:trHeight w:val="567"/>
        </w:trPr>
        <w:tc>
          <w:tcPr>
            <w:tcW w:w="2551" w:type="dxa"/>
            <w:shd w:val="clear" w:color="auto" w:fill="FDE9D9" w:themeFill="accent6" w:themeFillTint="33"/>
            <w:vAlign w:val="center"/>
          </w:tcPr>
          <w:p w:rsidR="00D52E79" w:rsidRPr="00B013ED" w:rsidRDefault="00D52E79" w:rsidP="00D52E79">
            <w:pPr>
              <w:spacing w:after="120"/>
              <w:jc w:val="center"/>
              <w:rPr>
                <w:bCs/>
              </w:rPr>
            </w:pPr>
            <w:r w:rsidRPr="00B013ED">
              <w:rPr>
                <w:bCs/>
              </w:rPr>
              <w:t>1.64</w:t>
            </w:r>
          </w:p>
        </w:tc>
        <w:tc>
          <w:tcPr>
            <w:tcW w:w="2551" w:type="dxa"/>
            <w:vAlign w:val="center"/>
          </w:tcPr>
          <w:p w:rsidR="00D52E79" w:rsidRPr="00B013ED" w:rsidRDefault="00D52E79" w:rsidP="00D52E79">
            <w:pPr>
              <w:jc w:val="center"/>
              <w:rPr>
                <w:szCs w:val="24"/>
              </w:rPr>
            </w:pPr>
            <w:r w:rsidRPr="00B013ED">
              <w:rPr>
                <w:szCs w:val="24"/>
              </w:rPr>
              <w:t>7.50E+06</w:t>
            </w:r>
          </w:p>
        </w:tc>
        <w:tc>
          <w:tcPr>
            <w:tcW w:w="2551" w:type="dxa"/>
            <w:vAlign w:val="center"/>
          </w:tcPr>
          <w:p w:rsidR="00D52E79" w:rsidRPr="00B013ED" w:rsidRDefault="00D52E79" w:rsidP="00D52E79">
            <w:pPr>
              <w:jc w:val="center"/>
              <w:rPr>
                <w:szCs w:val="24"/>
              </w:rPr>
            </w:pPr>
            <w:r w:rsidRPr="00B013ED">
              <w:rPr>
                <w:szCs w:val="24"/>
              </w:rPr>
              <w:t>0.054</w:t>
            </w:r>
          </w:p>
        </w:tc>
      </w:tr>
    </w:tbl>
    <w:p w:rsidR="001F2B80" w:rsidRDefault="001F2B80" w:rsidP="001F2B80">
      <w:pPr>
        <w:spacing w:after="120" w:line="480" w:lineRule="auto"/>
        <w:jc w:val="both"/>
        <w:rPr>
          <w:rFonts w:eastAsia="Times New Roman"/>
          <w:b/>
          <w:color w:val="000000"/>
          <w:sz w:val="20"/>
          <w:szCs w:val="20"/>
          <w:lang w:eastAsia="en-GB"/>
        </w:rPr>
      </w:pPr>
    </w:p>
    <w:p w:rsidR="001F2B80" w:rsidRPr="001F2B80" w:rsidRDefault="001F2B80" w:rsidP="001F2B80">
      <w:pPr>
        <w:spacing w:after="120" w:line="480" w:lineRule="auto"/>
        <w:jc w:val="both"/>
        <w:rPr>
          <w:rFonts w:eastAsia="Times New Roman" w:cstheme="minorBidi"/>
          <w:b/>
          <w:bCs/>
          <w:color w:val="000000"/>
          <w:sz w:val="20"/>
          <w:szCs w:val="20"/>
          <w:vertAlign w:val="superscript"/>
          <w:lang w:eastAsia="en-GB"/>
        </w:rPr>
      </w:pPr>
    </w:p>
    <w:p w:rsidR="00C11AD9" w:rsidRPr="00B013ED" w:rsidRDefault="00C11AD9" w:rsidP="00EC38E2">
      <w:pPr>
        <w:spacing w:after="120" w:line="480" w:lineRule="auto"/>
        <w:jc w:val="both"/>
        <w:rPr>
          <w:rFonts w:eastAsia="Times New Roman"/>
          <w:bCs/>
          <w:color w:val="000000"/>
          <w:sz w:val="20"/>
          <w:szCs w:val="20"/>
          <w:lang w:eastAsia="en-GB"/>
        </w:rPr>
      </w:pPr>
    </w:p>
    <w:p w:rsidR="00C11AD9" w:rsidRPr="00B013ED" w:rsidRDefault="00C11AD9" w:rsidP="00EC38E2">
      <w:pPr>
        <w:spacing w:after="120" w:line="480" w:lineRule="auto"/>
        <w:jc w:val="both"/>
        <w:rPr>
          <w:rFonts w:eastAsia="Times New Roman"/>
          <w:bCs/>
          <w:color w:val="000000"/>
          <w:sz w:val="20"/>
          <w:szCs w:val="20"/>
          <w:lang w:eastAsia="en-GB"/>
        </w:rPr>
      </w:pPr>
    </w:p>
    <w:p w:rsidR="00C11AD9" w:rsidRPr="00B013ED" w:rsidRDefault="00C11AD9" w:rsidP="00EC38E2">
      <w:pPr>
        <w:spacing w:after="120" w:line="480" w:lineRule="auto"/>
        <w:jc w:val="both"/>
        <w:rPr>
          <w:rFonts w:eastAsia="Times New Roman"/>
          <w:bCs/>
          <w:color w:val="000000"/>
          <w:sz w:val="20"/>
          <w:szCs w:val="20"/>
          <w:lang w:eastAsia="en-GB"/>
        </w:rPr>
      </w:pPr>
    </w:p>
    <w:p w:rsidR="00C11AD9" w:rsidRPr="00B013ED" w:rsidRDefault="00C11AD9" w:rsidP="00EC38E2">
      <w:pPr>
        <w:spacing w:after="120" w:line="480" w:lineRule="auto"/>
        <w:jc w:val="both"/>
        <w:rPr>
          <w:rFonts w:eastAsia="Times New Roman"/>
          <w:bCs/>
          <w:color w:val="000000"/>
          <w:sz w:val="20"/>
          <w:szCs w:val="20"/>
          <w:lang w:eastAsia="en-GB"/>
        </w:rPr>
      </w:pPr>
    </w:p>
    <w:p w:rsidR="00C11AD9" w:rsidRPr="00B013ED" w:rsidRDefault="00C11AD9" w:rsidP="00EC38E2">
      <w:pPr>
        <w:spacing w:after="120" w:line="480" w:lineRule="auto"/>
        <w:jc w:val="both"/>
        <w:rPr>
          <w:rFonts w:eastAsia="Times New Roman"/>
          <w:bCs/>
          <w:color w:val="000000"/>
          <w:sz w:val="20"/>
          <w:szCs w:val="20"/>
          <w:lang w:eastAsia="en-GB"/>
        </w:rPr>
      </w:pPr>
    </w:p>
    <w:p w:rsidR="001F2B80" w:rsidRDefault="001F2B80" w:rsidP="00EC38E2">
      <w:pPr>
        <w:spacing w:after="120" w:line="480" w:lineRule="auto"/>
        <w:jc w:val="both"/>
        <w:rPr>
          <w:b/>
          <w:sz w:val="20"/>
          <w:szCs w:val="20"/>
        </w:rPr>
      </w:pPr>
    </w:p>
    <w:p w:rsidR="00EC38E2" w:rsidRPr="006A2CE4" w:rsidRDefault="00C67C41" w:rsidP="00D83CC7">
      <w:pPr>
        <w:spacing w:after="120" w:line="240" w:lineRule="auto"/>
        <w:jc w:val="both"/>
        <w:rPr>
          <w:rFonts w:eastAsia="Times New Roman" w:cstheme="minorBidi"/>
          <w:b/>
          <w:color w:val="000000"/>
          <w:sz w:val="20"/>
          <w:szCs w:val="20"/>
          <w:lang w:eastAsia="en-GB"/>
        </w:rPr>
      </w:pPr>
      <w:bookmarkStart w:id="543" w:name="_Ref360521815"/>
      <w:bookmarkStart w:id="544" w:name="_Toc361733622"/>
      <w:bookmarkStart w:id="545" w:name="_Toc361734265"/>
      <w:r>
        <w:rPr>
          <w:rFonts w:cstheme="minorBidi"/>
          <w:b/>
          <w:sz w:val="20"/>
          <w:szCs w:val="20"/>
        </w:rPr>
        <w:t>Figure</w:t>
      </w:r>
      <w:r w:rsidR="001F2B80" w:rsidRPr="006A2CE4">
        <w:rPr>
          <w:rFonts w:cstheme="minorBidi"/>
          <w:b/>
          <w:sz w:val="20"/>
          <w:szCs w:val="20"/>
        </w:rPr>
        <w:t xml:space="preserve"> </w:t>
      </w:r>
      <w:r w:rsidR="00DF37B0">
        <w:rPr>
          <w:rFonts w:cstheme="minorBidi"/>
          <w:b/>
          <w:sz w:val="20"/>
          <w:szCs w:val="20"/>
        </w:rPr>
        <w:fldChar w:fldCharType="begin"/>
      </w:r>
      <w:r w:rsidR="00DF37B0">
        <w:rPr>
          <w:rFonts w:cstheme="minorBidi"/>
          <w:b/>
          <w:sz w:val="20"/>
          <w:szCs w:val="20"/>
        </w:rPr>
        <w:instrText xml:space="preserve"> STYLEREF 1 \s </w:instrText>
      </w:r>
      <w:r w:rsidR="00DF37B0">
        <w:rPr>
          <w:rFonts w:cstheme="minorBidi"/>
          <w:b/>
          <w:sz w:val="20"/>
          <w:szCs w:val="20"/>
        </w:rPr>
        <w:fldChar w:fldCharType="separate"/>
      </w:r>
      <w:r w:rsidR="00374B77">
        <w:rPr>
          <w:rFonts w:cstheme="minorBidi"/>
          <w:b/>
          <w:noProof/>
          <w:sz w:val="20"/>
          <w:szCs w:val="20"/>
          <w:cs/>
        </w:rPr>
        <w:t>‎</w:t>
      </w:r>
      <w:r w:rsidR="00374B77">
        <w:rPr>
          <w:rFonts w:cstheme="minorBidi"/>
          <w:b/>
          <w:noProof/>
          <w:sz w:val="20"/>
          <w:szCs w:val="20"/>
        </w:rPr>
        <w:t>3</w:t>
      </w:r>
      <w:r w:rsidR="00DF37B0">
        <w:rPr>
          <w:rFonts w:cstheme="minorBidi"/>
          <w:b/>
          <w:sz w:val="20"/>
          <w:szCs w:val="20"/>
        </w:rPr>
        <w:fldChar w:fldCharType="end"/>
      </w:r>
      <w:r w:rsidR="00DF37B0">
        <w:rPr>
          <w:rFonts w:cstheme="minorBidi"/>
          <w:b/>
          <w:sz w:val="20"/>
          <w:szCs w:val="20"/>
        </w:rPr>
        <w:t>.</w:t>
      </w:r>
      <w:r w:rsidR="00DF37B0">
        <w:rPr>
          <w:rFonts w:cstheme="minorBidi"/>
          <w:b/>
          <w:sz w:val="20"/>
          <w:szCs w:val="20"/>
        </w:rPr>
        <w:fldChar w:fldCharType="begin"/>
      </w:r>
      <w:r w:rsidR="00DF37B0">
        <w:rPr>
          <w:rFonts w:cstheme="minorBidi"/>
          <w:b/>
          <w:sz w:val="20"/>
          <w:szCs w:val="20"/>
        </w:rPr>
        <w:instrText xml:space="preserve"> SEQ Figure \* ARABIC \s 1 </w:instrText>
      </w:r>
      <w:r w:rsidR="00DF37B0">
        <w:rPr>
          <w:rFonts w:cstheme="minorBidi"/>
          <w:b/>
          <w:sz w:val="20"/>
          <w:szCs w:val="20"/>
        </w:rPr>
        <w:fldChar w:fldCharType="separate"/>
      </w:r>
      <w:proofErr w:type="gramStart"/>
      <w:r w:rsidR="00374B77">
        <w:rPr>
          <w:rFonts w:cstheme="minorBidi"/>
          <w:b/>
          <w:noProof/>
          <w:sz w:val="20"/>
          <w:szCs w:val="20"/>
        </w:rPr>
        <w:t>8</w:t>
      </w:r>
      <w:r w:rsidR="00DF37B0">
        <w:rPr>
          <w:rFonts w:cstheme="minorBidi"/>
          <w:b/>
          <w:sz w:val="20"/>
          <w:szCs w:val="20"/>
        </w:rPr>
        <w:fldChar w:fldCharType="end"/>
      </w:r>
      <w:bookmarkEnd w:id="543"/>
      <w:r w:rsidR="001F2B80" w:rsidRPr="006A2CE4">
        <w:rPr>
          <w:rFonts w:cstheme="minorBidi"/>
          <w:b/>
          <w:sz w:val="20"/>
          <w:szCs w:val="20"/>
        </w:rPr>
        <w:t xml:space="preserve"> </w:t>
      </w:r>
      <w:r w:rsidR="001F2B80" w:rsidRPr="006A2CE4">
        <w:rPr>
          <w:rFonts w:eastAsia="Times New Roman" w:cstheme="minorBidi"/>
          <w:b/>
          <w:color w:val="000000"/>
          <w:sz w:val="20"/>
          <w:szCs w:val="20"/>
          <w:lang w:eastAsia="en-GB"/>
        </w:rPr>
        <w:t>Standard growth curve</w:t>
      </w:r>
      <w:proofErr w:type="gramEnd"/>
      <w:r w:rsidR="001F2B80" w:rsidRPr="006A2CE4">
        <w:rPr>
          <w:rFonts w:eastAsia="Times New Roman" w:cstheme="minorBidi"/>
          <w:b/>
          <w:color w:val="000000"/>
          <w:sz w:val="20"/>
          <w:szCs w:val="20"/>
          <w:lang w:eastAsia="en-GB"/>
        </w:rPr>
        <w:t xml:space="preserve"> </w:t>
      </w:r>
      <w:r w:rsidR="001F2B80" w:rsidRPr="006A2CE4">
        <w:rPr>
          <w:rFonts w:eastAsia="Times New Roman" w:cstheme="minorBidi"/>
          <w:b/>
          <w:iCs/>
          <w:color w:val="000000"/>
          <w:sz w:val="20"/>
          <w:szCs w:val="20"/>
          <w:lang w:eastAsia="en-GB"/>
        </w:rPr>
        <w:t>for</w:t>
      </w:r>
      <w:r w:rsidR="001F2B80" w:rsidRPr="006A2CE4">
        <w:rPr>
          <w:rFonts w:eastAsia="Times New Roman" w:cstheme="minorBidi"/>
          <w:b/>
          <w:color w:val="000000"/>
          <w:sz w:val="20"/>
          <w:szCs w:val="20"/>
          <w:lang w:eastAsia="en-GB"/>
        </w:rPr>
        <w:t xml:space="preserve"> </w:t>
      </w:r>
      <w:r w:rsidR="00EC38E2" w:rsidRPr="006A2CE4">
        <w:rPr>
          <w:rFonts w:eastAsia="Times New Roman" w:cstheme="minorBidi"/>
          <w:b/>
          <w:i/>
          <w:iCs/>
          <w:color w:val="000000"/>
          <w:sz w:val="20"/>
          <w:szCs w:val="20"/>
          <w:lang w:eastAsia="en-GB"/>
        </w:rPr>
        <w:t>E faecalis</w:t>
      </w:r>
      <w:r w:rsidR="00EC38E2" w:rsidRPr="006A2CE4">
        <w:rPr>
          <w:rFonts w:eastAsia="Times New Roman" w:cstheme="minorBidi"/>
          <w:b/>
          <w:color w:val="000000"/>
          <w:sz w:val="20"/>
          <w:szCs w:val="20"/>
          <w:lang w:eastAsia="en-GB"/>
        </w:rPr>
        <w:t xml:space="preserve"> (NCTC 755) OD</w:t>
      </w:r>
      <w:r w:rsidR="00EC38E2" w:rsidRPr="006A2CE4">
        <w:rPr>
          <w:rFonts w:eastAsia="Times New Roman" w:cstheme="minorBidi"/>
          <w:b/>
          <w:color w:val="000000"/>
          <w:sz w:val="20"/>
          <w:szCs w:val="20"/>
          <w:vertAlign w:val="subscript"/>
          <w:lang w:eastAsia="en-GB"/>
        </w:rPr>
        <w:t>450</w:t>
      </w:r>
      <w:r w:rsidR="00EC38E2" w:rsidRPr="006A2CE4">
        <w:rPr>
          <w:rFonts w:eastAsia="Times New Roman" w:cstheme="minorBidi"/>
          <w:b/>
          <w:color w:val="000000"/>
          <w:sz w:val="20"/>
          <w:szCs w:val="20"/>
          <w:lang w:eastAsia="en-GB"/>
        </w:rPr>
        <w:t xml:space="preserve"> against number of colony forming units (CFU/ml)</w:t>
      </w:r>
      <w:bookmarkEnd w:id="544"/>
      <w:bookmarkEnd w:id="545"/>
    </w:p>
    <w:p w:rsidR="00EC38E2" w:rsidRPr="00B013ED" w:rsidRDefault="007F0CD5" w:rsidP="00EC38E2">
      <w:pPr>
        <w:spacing w:after="120" w:line="480" w:lineRule="auto"/>
        <w:jc w:val="both"/>
        <w:rPr>
          <w:rFonts w:eastAsia="Times New Roman"/>
          <w:b/>
          <w:color w:val="000000"/>
          <w:lang w:eastAsia="en-GB"/>
        </w:rPr>
      </w:pPr>
      <w:r w:rsidRPr="00B013ED">
        <w:rPr>
          <w:noProof/>
          <w:lang w:eastAsia="en-GB"/>
        </w:rPr>
        <w:drawing>
          <wp:anchor distT="0" distB="0" distL="114300" distR="114300" simplePos="0" relativeHeight="251721728" behindDoc="0" locked="0" layoutInCell="1" allowOverlap="1" wp14:anchorId="7B7CA41F" wp14:editId="77B13A6F">
            <wp:simplePos x="0" y="0"/>
            <wp:positionH relativeFrom="column">
              <wp:posOffset>561975</wp:posOffset>
            </wp:positionH>
            <wp:positionV relativeFrom="paragraph">
              <wp:posOffset>95885</wp:posOffset>
            </wp:positionV>
            <wp:extent cx="4643755" cy="2627630"/>
            <wp:effectExtent l="0" t="0" r="23495" b="20320"/>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1F2B80" w:rsidRDefault="001F2B80" w:rsidP="007F0CD5">
      <w:pPr>
        <w:spacing w:after="0" w:line="240" w:lineRule="auto"/>
        <w:jc w:val="both"/>
        <w:rPr>
          <w:rFonts w:eastAsia="Times New Roman"/>
          <w:b/>
          <w:color w:val="000000"/>
          <w:lang w:eastAsia="en-GB"/>
        </w:rPr>
      </w:pPr>
    </w:p>
    <w:p w:rsidR="00D52E79" w:rsidRDefault="00D52E79" w:rsidP="007F0CD5">
      <w:pPr>
        <w:spacing w:after="0" w:line="240" w:lineRule="auto"/>
        <w:jc w:val="both"/>
        <w:rPr>
          <w:rFonts w:eastAsia="Times New Roman" w:cstheme="minorBidi"/>
          <w:color w:val="000000"/>
          <w:sz w:val="20"/>
          <w:szCs w:val="20"/>
        </w:rPr>
      </w:pPr>
    </w:p>
    <w:p w:rsidR="001F2B80" w:rsidRDefault="001F2B80" w:rsidP="007F0CD5">
      <w:pPr>
        <w:spacing w:after="0" w:line="240" w:lineRule="auto"/>
        <w:jc w:val="both"/>
        <w:rPr>
          <w:rFonts w:eastAsia="Times New Roman" w:cstheme="minorBidi"/>
          <w:color w:val="000000"/>
          <w:sz w:val="20"/>
          <w:szCs w:val="20"/>
        </w:rPr>
      </w:pPr>
    </w:p>
    <w:p w:rsidR="001F2B80" w:rsidRDefault="001F2B80" w:rsidP="007F0CD5">
      <w:pPr>
        <w:spacing w:after="0" w:line="240" w:lineRule="auto"/>
        <w:jc w:val="both"/>
        <w:rPr>
          <w:rFonts w:eastAsia="Times New Roman" w:cstheme="minorBidi"/>
          <w:color w:val="000000"/>
          <w:sz w:val="20"/>
          <w:szCs w:val="20"/>
        </w:rPr>
      </w:pPr>
    </w:p>
    <w:p w:rsidR="001F2B80" w:rsidRDefault="001F2B80" w:rsidP="007F0CD5">
      <w:pPr>
        <w:spacing w:after="0" w:line="240" w:lineRule="auto"/>
        <w:jc w:val="both"/>
        <w:rPr>
          <w:rFonts w:eastAsia="Times New Roman" w:cstheme="minorBidi"/>
          <w:color w:val="000000"/>
          <w:sz w:val="20"/>
          <w:szCs w:val="20"/>
        </w:rPr>
      </w:pPr>
    </w:p>
    <w:p w:rsidR="007F0CD5" w:rsidRPr="00B013ED" w:rsidRDefault="007F0CD5" w:rsidP="007F0CD5">
      <w:pPr>
        <w:spacing w:after="0" w:line="240" w:lineRule="auto"/>
        <w:jc w:val="both"/>
        <w:rPr>
          <w:rFonts w:eastAsia="Times New Roman" w:cstheme="minorBidi"/>
          <w:color w:val="000000"/>
          <w:sz w:val="20"/>
          <w:szCs w:val="20"/>
        </w:rPr>
      </w:pPr>
      <w:r w:rsidRPr="00B013ED">
        <w:rPr>
          <w:rFonts w:eastAsia="Times New Roman" w:cstheme="minorBidi"/>
          <w:color w:val="000000"/>
          <w:sz w:val="20"/>
          <w:szCs w:val="20"/>
        </w:rPr>
        <w:t>Colony forming units (CFU)</w:t>
      </w:r>
    </w:p>
    <w:p w:rsidR="007F0CD5" w:rsidRPr="00B013ED" w:rsidRDefault="007F0CD5" w:rsidP="007F0CD5">
      <w:pPr>
        <w:spacing w:after="0" w:line="240" w:lineRule="auto"/>
        <w:jc w:val="both"/>
        <w:rPr>
          <w:rFonts w:eastAsia="Times New Roman" w:cstheme="minorBidi"/>
          <w:color w:val="000000"/>
          <w:sz w:val="20"/>
          <w:szCs w:val="20"/>
        </w:rPr>
      </w:pPr>
      <w:r w:rsidRPr="00B013ED">
        <w:rPr>
          <w:rFonts w:eastAsia="Times New Roman" w:cstheme="minorBidi"/>
          <w:bCs/>
          <w:color w:val="000000"/>
          <w:sz w:val="20"/>
          <w:szCs w:val="20"/>
          <w:lang w:eastAsia="en-GB"/>
        </w:rPr>
        <w:t>Optical density</w:t>
      </w:r>
      <w:r w:rsidRPr="00B013ED">
        <w:rPr>
          <w:rFonts w:eastAsia="Times New Roman" w:cstheme="minorBidi"/>
          <w:bCs/>
          <w:color w:val="000000"/>
          <w:sz w:val="20"/>
          <w:szCs w:val="20"/>
          <w:vertAlign w:val="superscript"/>
          <w:lang w:eastAsia="en-GB"/>
        </w:rPr>
        <w:t xml:space="preserve"> </w:t>
      </w:r>
      <w:r w:rsidRPr="00B013ED">
        <w:rPr>
          <w:rFonts w:eastAsia="Times New Roman" w:cstheme="minorBidi"/>
          <w:bCs/>
          <w:color w:val="000000"/>
          <w:sz w:val="20"/>
          <w:szCs w:val="20"/>
          <w:lang w:eastAsia="en-GB"/>
        </w:rPr>
        <w:t>at a wavelength</w:t>
      </w:r>
      <w:r w:rsidRPr="00B013ED">
        <w:rPr>
          <w:rFonts w:eastAsia="Times New Roman" w:cstheme="minorBidi"/>
          <w:bCs/>
          <w:color w:val="000000"/>
          <w:sz w:val="20"/>
          <w:szCs w:val="20"/>
          <w:vertAlign w:val="superscript"/>
          <w:lang w:eastAsia="en-GB"/>
        </w:rPr>
        <w:t xml:space="preserve"> (</w:t>
      </w:r>
      <w:r w:rsidRPr="00B013ED">
        <w:rPr>
          <w:rFonts w:eastAsia="Times New Roman" w:cstheme="minorBidi"/>
          <w:bCs/>
          <w:color w:val="000000"/>
          <w:sz w:val="20"/>
          <w:szCs w:val="20"/>
          <w:lang w:eastAsia="en-GB"/>
        </w:rPr>
        <w:t>OD</w:t>
      </w:r>
      <w:r w:rsidRPr="00B013ED">
        <w:rPr>
          <w:rFonts w:eastAsia="Times New Roman" w:cstheme="minorBidi"/>
          <w:bCs/>
          <w:color w:val="000000"/>
          <w:sz w:val="20"/>
          <w:szCs w:val="20"/>
          <w:vertAlign w:val="subscript"/>
          <w:lang w:eastAsia="en-GB"/>
        </w:rPr>
        <w:t>450)</w:t>
      </w:r>
    </w:p>
    <w:p w:rsidR="00D005DA" w:rsidRPr="00D83CC7" w:rsidRDefault="001F2B80" w:rsidP="00D83CC7">
      <w:pPr>
        <w:rPr>
          <w:rFonts w:eastAsia="Times New Roman"/>
          <w:b/>
          <w:i/>
          <w:iCs/>
          <w:color w:val="000000"/>
          <w:lang w:eastAsia="en-GB"/>
        </w:rPr>
      </w:pPr>
      <w:r>
        <w:rPr>
          <w:rFonts w:eastAsia="Times New Roman"/>
          <w:b/>
          <w:i/>
          <w:iCs/>
          <w:color w:val="000000"/>
          <w:lang w:eastAsia="en-GB"/>
        </w:rPr>
        <w:br w:type="page"/>
      </w:r>
    </w:p>
    <w:p w:rsidR="0013732B" w:rsidRPr="00D83CC7" w:rsidRDefault="00EC38E2" w:rsidP="00D83CC7">
      <w:pPr>
        <w:pStyle w:val="Heading4"/>
        <w:spacing w:line="480" w:lineRule="auto"/>
        <w:rPr>
          <w:lang w:eastAsia="en-GB"/>
        </w:rPr>
      </w:pPr>
      <w:r w:rsidRPr="00D005DA">
        <w:rPr>
          <w:i/>
          <w:iCs w:val="0"/>
          <w:lang w:eastAsia="en-GB"/>
        </w:rPr>
        <w:lastRenderedPageBreak/>
        <w:t>Porphyromonas gingivalis</w:t>
      </w:r>
      <w:r w:rsidRPr="00B013ED">
        <w:rPr>
          <w:lang w:eastAsia="en-GB"/>
        </w:rPr>
        <w:t xml:space="preserve"> </w:t>
      </w:r>
      <w:r w:rsidR="00D005DA">
        <w:rPr>
          <w:lang w:eastAsia="en-GB"/>
        </w:rPr>
        <w:t>(</w:t>
      </w:r>
      <w:r w:rsidR="00D005DA" w:rsidRPr="00D005DA">
        <w:rPr>
          <w:i/>
          <w:iCs w:val="0"/>
          <w:lang w:eastAsia="en-GB"/>
        </w:rPr>
        <w:t>P. gingivalis</w:t>
      </w:r>
      <w:r w:rsidR="00D005DA">
        <w:rPr>
          <w:lang w:eastAsia="en-GB"/>
        </w:rPr>
        <w:t>)</w:t>
      </w:r>
      <w:r w:rsidR="00D005DA" w:rsidRPr="00B013ED">
        <w:rPr>
          <w:lang w:eastAsia="en-GB"/>
        </w:rPr>
        <w:t xml:space="preserve"> </w:t>
      </w:r>
      <w:r w:rsidRPr="00B013ED">
        <w:rPr>
          <w:lang w:eastAsia="en-GB"/>
        </w:rPr>
        <w:t>(W50)</w:t>
      </w:r>
    </w:p>
    <w:p w:rsidR="00C11AD9" w:rsidRPr="00D83CC7" w:rsidRDefault="00F87195" w:rsidP="00D83CC7">
      <w:pPr>
        <w:pStyle w:val="table"/>
        <w:jc w:val="both"/>
        <w:rPr>
          <w:szCs w:val="24"/>
        </w:rPr>
      </w:pPr>
      <w:r w:rsidRPr="00D83CC7">
        <w:rPr>
          <w:szCs w:val="24"/>
        </w:rPr>
        <w:t>T</w:t>
      </w:r>
      <w:r w:rsidR="00EC38E2" w:rsidRPr="00D83CC7">
        <w:rPr>
          <w:szCs w:val="24"/>
        </w:rPr>
        <w:t>he respective serial dilution, CFU and the associated optical OD</w:t>
      </w:r>
      <w:r w:rsidR="00EC38E2" w:rsidRPr="00D83CC7">
        <w:rPr>
          <w:szCs w:val="24"/>
          <w:vertAlign w:val="subscript"/>
        </w:rPr>
        <w:t>540</w:t>
      </w:r>
      <w:r w:rsidR="00EC38E2" w:rsidRPr="00D83CC7">
        <w:rPr>
          <w:szCs w:val="24"/>
        </w:rPr>
        <w:t xml:space="preserve"> are shown in </w:t>
      </w:r>
      <w:r w:rsidR="00741E74" w:rsidRPr="00D83CC7">
        <w:rPr>
          <w:szCs w:val="24"/>
        </w:rPr>
        <w:fldChar w:fldCharType="begin"/>
      </w:r>
      <w:r w:rsidR="00741E74" w:rsidRPr="00D83CC7">
        <w:rPr>
          <w:szCs w:val="24"/>
        </w:rPr>
        <w:instrText xml:space="preserve"> REF _Ref361089657 \h  \* MERGEFORMAT </w:instrText>
      </w:r>
      <w:r w:rsidR="00741E74" w:rsidRPr="00D83CC7">
        <w:rPr>
          <w:szCs w:val="24"/>
        </w:rPr>
      </w:r>
      <w:r w:rsidR="00741E74" w:rsidRPr="00D83CC7">
        <w:rPr>
          <w:szCs w:val="24"/>
        </w:rPr>
        <w:fldChar w:fldCharType="separate"/>
      </w:r>
      <w:r w:rsidR="00374B77" w:rsidRPr="00374B77">
        <w:rPr>
          <w:szCs w:val="24"/>
        </w:rPr>
        <w:t xml:space="preserve">Table </w:t>
      </w:r>
      <w:r w:rsidR="00374B77" w:rsidRPr="00374B77">
        <w:rPr>
          <w:noProof/>
          <w:szCs w:val="24"/>
          <w:cs/>
        </w:rPr>
        <w:t>‎</w:t>
      </w:r>
      <w:r w:rsidR="00374B77">
        <w:rPr>
          <w:b/>
          <w:noProof/>
          <w:sz w:val="20"/>
          <w:szCs w:val="20"/>
        </w:rPr>
        <w:t>3.6</w:t>
      </w:r>
      <w:r w:rsidR="00741E74" w:rsidRPr="00D83CC7">
        <w:rPr>
          <w:szCs w:val="24"/>
        </w:rPr>
        <w:fldChar w:fldCharType="end"/>
      </w:r>
      <w:r w:rsidR="00741E74" w:rsidRPr="00D83CC7">
        <w:rPr>
          <w:szCs w:val="24"/>
        </w:rPr>
        <w:t xml:space="preserve"> </w:t>
      </w:r>
      <w:r w:rsidR="00C11AD9" w:rsidRPr="00D83CC7">
        <w:rPr>
          <w:szCs w:val="24"/>
        </w:rPr>
        <w:t xml:space="preserve">and </w:t>
      </w:r>
      <w:r w:rsidR="00AA6C9C" w:rsidRPr="00D83CC7">
        <w:rPr>
          <w:szCs w:val="24"/>
        </w:rPr>
        <w:t xml:space="preserve">the </w:t>
      </w:r>
      <w:r w:rsidR="00C11AD9" w:rsidRPr="00D83CC7">
        <w:rPr>
          <w:szCs w:val="24"/>
        </w:rPr>
        <w:t xml:space="preserve">standard growth curve for this bacterium </w:t>
      </w:r>
      <w:r w:rsidR="00AA6C9C" w:rsidRPr="00D83CC7">
        <w:rPr>
          <w:szCs w:val="24"/>
        </w:rPr>
        <w:t xml:space="preserve">is </w:t>
      </w:r>
      <w:r w:rsidR="00C11AD9" w:rsidRPr="00D83CC7">
        <w:rPr>
          <w:szCs w:val="24"/>
        </w:rPr>
        <w:t>show</w:t>
      </w:r>
      <w:r w:rsidR="00C11AD9" w:rsidRPr="00D83CC7">
        <w:rPr>
          <w:rFonts w:cstheme="minorBidi"/>
          <w:szCs w:val="24"/>
        </w:rPr>
        <w:t xml:space="preserve">n in </w:t>
      </w:r>
      <w:r w:rsidR="007250AA" w:rsidRPr="00D83CC7">
        <w:rPr>
          <w:rFonts w:cstheme="minorBidi"/>
          <w:szCs w:val="24"/>
        </w:rPr>
        <w:fldChar w:fldCharType="begin"/>
      </w:r>
      <w:r w:rsidR="007250AA" w:rsidRPr="00D83CC7">
        <w:rPr>
          <w:rFonts w:cstheme="minorBidi"/>
          <w:szCs w:val="24"/>
        </w:rPr>
        <w:instrText xml:space="preserve"> REF _Ref360522426 \h  \* MERGEFORMAT </w:instrText>
      </w:r>
      <w:r w:rsidR="007250AA" w:rsidRPr="00D83CC7">
        <w:rPr>
          <w:rFonts w:cstheme="minorBidi"/>
          <w:szCs w:val="24"/>
        </w:rPr>
      </w:r>
      <w:r w:rsidR="007250AA" w:rsidRPr="00D83CC7">
        <w:rPr>
          <w:rFonts w:cstheme="minorBidi"/>
          <w:szCs w:val="24"/>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b/>
          <w:noProof/>
          <w:sz w:val="20"/>
          <w:szCs w:val="20"/>
        </w:rPr>
        <w:t>3.9</w:t>
      </w:r>
      <w:r w:rsidR="007250AA" w:rsidRPr="00D83CC7">
        <w:rPr>
          <w:rFonts w:cstheme="minorBidi"/>
          <w:szCs w:val="24"/>
        </w:rPr>
        <w:fldChar w:fldCharType="end"/>
      </w:r>
      <w:r w:rsidR="00AA6C9C" w:rsidRPr="00D83CC7">
        <w:rPr>
          <w:rFonts w:cstheme="minorBidi"/>
          <w:szCs w:val="24"/>
        </w:rPr>
        <w:t>.</w:t>
      </w:r>
    </w:p>
    <w:p w:rsidR="00741E74" w:rsidRPr="00D83CC7" w:rsidRDefault="00741E74" w:rsidP="00D83CC7">
      <w:pPr>
        <w:spacing w:after="120" w:line="480" w:lineRule="auto"/>
        <w:jc w:val="both"/>
        <w:rPr>
          <w:rFonts w:eastAsia="Times New Roman" w:cstheme="minorBidi"/>
          <w:b/>
          <w:bCs/>
          <w:color w:val="000000"/>
          <w:sz w:val="20"/>
          <w:szCs w:val="20"/>
          <w:lang w:eastAsia="en-GB"/>
        </w:rPr>
      </w:pPr>
      <w:bookmarkStart w:id="546" w:name="_Ref361089657"/>
      <w:bookmarkStart w:id="547" w:name="_Toc370511742"/>
      <w:proofErr w:type="gramStart"/>
      <w:r w:rsidRPr="00741E74">
        <w:rPr>
          <w:b/>
          <w:sz w:val="20"/>
          <w:szCs w:val="20"/>
        </w:rPr>
        <w:t xml:space="preserve">Table </w:t>
      </w:r>
      <w:r w:rsidR="00E7089D">
        <w:rPr>
          <w:b/>
          <w:sz w:val="20"/>
          <w:szCs w:val="20"/>
        </w:rPr>
        <w:fldChar w:fldCharType="begin"/>
      </w:r>
      <w:r w:rsidR="00E7089D">
        <w:rPr>
          <w:b/>
          <w:sz w:val="20"/>
          <w:szCs w:val="20"/>
        </w:rPr>
        <w:instrText xml:space="preserve"> STYLEREF 1 \s </w:instrText>
      </w:r>
      <w:r w:rsidR="00E7089D">
        <w:rPr>
          <w:b/>
          <w:sz w:val="20"/>
          <w:szCs w:val="20"/>
        </w:rPr>
        <w:fldChar w:fldCharType="separate"/>
      </w:r>
      <w:r w:rsidR="00374B77">
        <w:rPr>
          <w:b/>
          <w:noProof/>
          <w:sz w:val="20"/>
          <w:szCs w:val="20"/>
          <w:cs/>
        </w:rPr>
        <w:t>‎</w:t>
      </w:r>
      <w:r w:rsidR="00374B77">
        <w:rPr>
          <w:b/>
          <w:noProof/>
          <w:sz w:val="20"/>
          <w:szCs w:val="20"/>
        </w:rPr>
        <w:t>3</w:t>
      </w:r>
      <w:r w:rsidR="00E7089D">
        <w:rPr>
          <w:b/>
          <w:sz w:val="20"/>
          <w:szCs w:val="20"/>
        </w:rPr>
        <w:fldChar w:fldCharType="end"/>
      </w:r>
      <w:r w:rsidR="00E7089D">
        <w:rPr>
          <w:b/>
          <w:sz w:val="20"/>
          <w:szCs w:val="20"/>
        </w:rPr>
        <w:t>.</w:t>
      </w:r>
      <w:proofErr w:type="gramEnd"/>
      <w:r w:rsidR="00E7089D">
        <w:rPr>
          <w:b/>
          <w:sz w:val="20"/>
          <w:szCs w:val="20"/>
        </w:rPr>
        <w:fldChar w:fldCharType="begin"/>
      </w:r>
      <w:r w:rsidR="00E7089D">
        <w:rPr>
          <w:b/>
          <w:sz w:val="20"/>
          <w:szCs w:val="20"/>
        </w:rPr>
        <w:instrText xml:space="preserve"> SEQ Table \* ARABIC \s 1 </w:instrText>
      </w:r>
      <w:r w:rsidR="00E7089D">
        <w:rPr>
          <w:b/>
          <w:sz w:val="20"/>
          <w:szCs w:val="20"/>
        </w:rPr>
        <w:fldChar w:fldCharType="separate"/>
      </w:r>
      <w:r w:rsidR="00374B77">
        <w:rPr>
          <w:b/>
          <w:noProof/>
          <w:sz w:val="20"/>
          <w:szCs w:val="20"/>
        </w:rPr>
        <w:t>6</w:t>
      </w:r>
      <w:r w:rsidR="00E7089D">
        <w:rPr>
          <w:b/>
          <w:sz w:val="20"/>
          <w:szCs w:val="20"/>
        </w:rPr>
        <w:fldChar w:fldCharType="end"/>
      </w:r>
      <w:bookmarkEnd w:id="546"/>
      <w:r w:rsidRPr="00741E74">
        <w:rPr>
          <w:rFonts w:eastAsia="Times New Roman" w:cstheme="minorBidi"/>
          <w:b/>
          <w:bCs/>
          <w:color w:val="000000"/>
          <w:sz w:val="20"/>
          <w:szCs w:val="20"/>
          <w:lang w:eastAsia="en-GB"/>
        </w:rPr>
        <w:t xml:space="preserve"> Shows </w:t>
      </w:r>
      <w:r w:rsidRPr="00741E74">
        <w:rPr>
          <w:rFonts w:eastAsia="Times New Roman" w:cstheme="minorBidi"/>
          <w:b/>
          <w:bCs/>
          <w:i/>
          <w:iCs/>
          <w:color w:val="000000"/>
          <w:sz w:val="20"/>
          <w:szCs w:val="20"/>
          <w:lang w:eastAsia="en-GB"/>
        </w:rPr>
        <w:t>P. gingivalis</w:t>
      </w:r>
      <w:r w:rsidRPr="00741E74">
        <w:rPr>
          <w:rFonts w:eastAsia="Times New Roman" w:cstheme="minorBidi"/>
          <w:b/>
          <w:bCs/>
          <w:color w:val="000000"/>
          <w:sz w:val="20"/>
          <w:szCs w:val="20"/>
          <w:lang w:eastAsia="en-GB"/>
        </w:rPr>
        <w:t xml:space="preserve"> (W50) </w:t>
      </w:r>
      <w:r w:rsidRPr="00741E74">
        <w:rPr>
          <w:b/>
          <w:bCs/>
          <w:sz w:val="20"/>
          <w:szCs w:val="20"/>
          <w:lang w:eastAsia="en-GB"/>
        </w:rPr>
        <w:t>measured by OD</w:t>
      </w:r>
      <w:r w:rsidRPr="00741E74">
        <w:rPr>
          <w:b/>
          <w:bCs/>
          <w:sz w:val="20"/>
          <w:szCs w:val="20"/>
          <w:vertAlign w:val="subscript"/>
          <w:lang w:eastAsia="en-GB"/>
        </w:rPr>
        <w:t>450</w:t>
      </w:r>
      <w:r w:rsidRPr="00741E74">
        <w:rPr>
          <w:b/>
          <w:bCs/>
          <w:sz w:val="20"/>
          <w:szCs w:val="20"/>
          <w:lang w:eastAsia="en-GB"/>
        </w:rPr>
        <w:t xml:space="preserve"> against (CFU/ml)</w:t>
      </w:r>
      <w:r w:rsidRPr="00741E74">
        <w:rPr>
          <w:b/>
          <w:bCs/>
          <w:sz w:val="20"/>
          <w:szCs w:val="20"/>
        </w:rPr>
        <w:t>.</w:t>
      </w:r>
      <w:bookmarkEnd w:id="547"/>
    </w:p>
    <w:tbl>
      <w:tblPr>
        <w:tblStyle w:val="TableGrid1"/>
        <w:tblpPr w:leftFromText="180" w:rightFromText="180" w:vertAnchor="text" w:horzAnchor="page" w:tblpX="2773" w:tblpY="16"/>
        <w:tblW w:w="0" w:type="auto"/>
        <w:tblLook w:val="04A0" w:firstRow="1" w:lastRow="0" w:firstColumn="1" w:lastColumn="0" w:noHBand="0" w:noVBand="1"/>
      </w:tblPr>
      <w:tblGrid>
        <w:gridCol w:w="2551"/>
        <w:gridCol w:w="2551"/>
        <w:gridCol w:w="2551"/>
      </w:tblGrid>
      <w:tr w:rsidR="005D6E6C" w:rsidRPr="00B013ED" w:rsidTr="00D83CC7">
        <w:trPr>
          <w:trHeight w:val="567"/>
        </w:trPr>
        <w:tc>
          <w:tcPr>
            <w:tcW w:w="2551" w:type="dxa"/>
            <w:shd w:val="clear" w:color="auto" w:fill="17365D" w:themeFill="text2" w:themeFillShade="BF"/>
            <w:vAlign w:val="center"/>
          </w:tcPr>
          <w:p w:rsidR="005D6E6C" w:rsidRPr="00B013ED" w:rsidRDefault="005D6E6C" w:rsidP="00D83CC7">
            <w:pPr>
              <w:jc w:val="center"/>
              <w:rPr>
                <w:b/>
                <w:bCs/>
                <w:szCs w:val="24"/>
              </w:rPr>
            </w:pPr>
            <w:r w:rsidRPr="00B013ED">
              <w:rPr>
                <w:b/>
                <w:bCs/>
                <w:szCs w:val="24"/>
              </w:rPr>
              <w:t>Dilution</w:t>
            </w:r>
          </w:p>
        </w:tc>
        <w:tc>
          <w:tcPr>
            <w:tcW w:w="2551" w:type="dxa"/>
            <w:shd w:val="clear" w:color="auto" w:fill="17365D" w:themeFill="text2" w:themeFillShade="BF"/>
            <w:vAlign w:val="center"/>
          </w:tcPr>
          <w:p w:rsidR="005D6E6C" w:rsidRPr="00B013ED" w:rsidRDefault="005D6E6C" w:rsidP="00D83CC7">
            <w:pPr>
              <w:jc w:val="center"/>
              <w:rPr>
                <w:b/>
                <w:bCs/>
                <w:szCs w:val="24"/>
              </w:rPr>
            </w:pPr>
            <w:r w:rsidRPr="00B013ED">
              <w:rPr>
                <w:b/>
                <w:bCs/>
                <w:szCs w:val="24"/>
              </w:rPr>
              <w:t>CFU ml</w:t>
            </w:r>
            <w:r w:rsidRPr="00B013ED">
              <w:rPr>
                <w:b/>
                <w:bCs/>
                <w:szCs w:val="24"/>
                <w:vertAlign w:val="subscript"/>
              </w:rPr>
              <w:t>-1</w:t>
            </w:r>
          </w:p>
        </w:tc>
        <w:tc>
          <w:tcPr>
            <w:tcW w:w="2551" w:type="dxa"/>
            <w:shd w:val="clear" w:color="auto" w:fill="17365D" w:themeFill="text2" w:themeFillShade="BF"/>
            <w:vAlign w:val="center"/>
          </w:tcPr>
          <w:p w:rsidR="005D6E6C" w:rsidRPr="00B013ED" w:rsidRDefault="005D6E6C" w:rsidP="00D83CC7">
            <w:pPr>
              <w:jc w:val="center"/>
              <w:rPr>
                <w:b/>
                <w:bCs/>
                <w:szCs w:val="24"/>
              </w:rPr>
            </w:pPr>
            <w:r w:rsidRPr="00B013ED">
              <w:rPr>
                <w:b/>
                <w:bCs/>
                <w:szCs w:val="24"/>
              </w:rPr>
              <w:t>PG OD</w:t>
            </w:r>
            <w:r w:rsidRPr="00B013ED">
              <w:rPr>
                <w:b/>
                <w:bCs/>
                <w:szCs w:val="24"/>
                <w:vertAlign w:val="subscript"/>
              </w:rPr>
              <w:t>540</w:t>
            </w:r>
          </w:p>
        </w:tc>
      </w:tr>
      <w:tr w:rsidR="005D6E6C" w:rsidRPr="00B013ED" w:rsidTr="00D83CC7">
        <w:trPr>
          <w:trHeight w:val="567"/>
        </w:trPr>
        <w:tc>
          <w:tcPr>
            <w:tcW w:w="2551" w:type="dxa"/>
            <w:shd w:val="clear" w:color="auto" w:fill="FDE9D9" w:themeFill="accent6" w:themeFillTint="33"/>
            <w:vAlign w:val="center"/>
          </w:tcPr>
          <w:p w:rsidR="005D6E6C" w:rsidRPr="00B013ED" w:rsidRDefault="005D6E6C" w:rsidP="00D83CC7">
            <w:pPr>
              <w:spacing w:after="120"/>
              <w:jc w:val="center"/>
              <w:rPr>
                <w:bCs/>
                <w:color w:val="000000"/>
                <w:szCs w:val="24"/>
              </w:rPr>
            </w:pPr>
            <w:r w:rsidRPr="00B013ED">
              <w:rPr>
                <w:bCs/>
                <w:color w:val="000000"/>
                <w:szCs w:val="24"/>
              </w:rPr>
              <w:t>1:2</w:t>
            </w:r>
          </w:p>
        </w:tc>
        <w:tc>
          <w:tcPr>
            <w:tcW w:w="2551" w:type="dxa"/>
            <w:vAlign w:val="center"/>
          </w:tcPr>
          <w:p w:rsidR="005D6E6C" w:rsidRPr="00B013ED" w:rsidRDefault="005D6E6C" w:rsidP="00D83CC7">
            <w:pPr>
              <w:jc w:val="center"/>
              <w:rPr>
                <w:szCs w:val="24"/>
              </w:rPr>
            </w:pPr>
            <w:r w:rsidRPr="00B013ED">
              <w:rPr>
                <w:szCs w:val="24"/>
              </w:rPr>
              <w:t>4.50E+08</w:t>
            </w:r>
          </w:p>
        </w:tc>
        <w:tc>
          <w:tcPr>
            <w:tcW w:w="2551" w:type="dxa"/>
            <w:vAlign w:val="center"/>
          </w:tcPr>
          <w:p w:rsidR="005D6E6C" w:rsidRPr="00B013ED" w:rsidRDefault="005D6E6C" w:rsidP="00D83CC7">
            <w:pPr>
              <w:jc w:val="center"/>
              <w:rPr>
                <w:szCs w:val="24"/>
              </w:rPr>
            </w:pPr>
            <w:r w:rsidRPr="00B013ED">
              <w:rPr>
                <w:szCs w:val="24"/>
              </w:rPr>
              <w:t>0.925</w:t>
            </w:r>
          </w:p>
        </w:tc>
      </w:tr>
      <w:tr w:rsidR="005D6E6C" w:rsidRPr="00B013ED" w:rsidTr="00D83CC7">
        <w:trPr>
          <w:trHeight w:val="567"/>
        </w:trPr>
        <w:tc>
          <w:tcPr>
            <w:tcW w:w="2551" w:type="dxa"/>
            <w:shd w:val="clear" w:color="auto" w:fill="FDE9D9" w:themeFill="accent6" w:themeFillTint="33"/>
            <w:vAlign w:val="center"/>
          </w:tcPr>
          <w:p w:rsidR="005D6E6C" w:rsidRPr="00B013ED" w:rsidRDefault="005D6E6C" w:rsidP="00D83CC7">
            <w:pPr>
              <w:spacing w:after="120"/>
              <w:jc w:val="center"/>
              <w:rPr>
                <w:bCs/>
                <w:color w:val="000000"/>
                <w:szCs w:val="24"/>
              </w:rPr>
            </w:pPr>
            <w:r w:rsidRPr="00B013ED">
              <w:rPr>
                <w:bCs/>
                <w:color w:val="000000"/>
                <w:szCs w:val="24"/>
              </w:rPr>
              <w:t>1:4</w:t>
            </w:r>
          </w:p>
        </w:tc>
        <w:tc>
          <w:tcPr>
            <w:tcW w:w="2551" w:type="dxa"/>
            <w:vAlign w:val="center"/>
          </w:tcPr>
          <w:p w:rsidR="005D6E6C" w:rsidRPr="00B013ED" w:rsidRDefault="005D6E6C" w:rsidP="00D83CC7">
            <w:pPr>
              <w:jc w:val="center"/>
              <w:rPr>
                <w:szCs w:val="24"/>
              </w:rPr>
            </w:pPr>
            <w:r w:rsidRPr="00B013ED">
              <w:rPr>
                <w:szCs w:val="24"/>
              </w:rPr>
              <w:t>2.20E+08</w:t>
            </w:r>
          </w:p>
        </w:tc>
        <w:tc>
          <w:tcPr>
            <w:tcW w:w="2551" w:type="dxa"/>
            <w:vAlign w:val="center"/>
          </w:tcPr>
          <w:p w:rsidR="005D6E6C" w:rsidRPr="00B013ED" w:rsidRDefault="005D6E6C" w:rsidP="00D83CC7">
            <w:pPr>
              <w:jc w:val="center"/>
              <w:rPr>
                <w:szCs w:val="24"/>
              </w:rPr>
            </w:pPr>
            <w:r w:rsidRPr="00B013ED">
              <w:rPr>
                <w:szCs w:val="24"/>
              </w:rPr>
              <w:t>0.448</w:t>
            </w:r>
          </w:p>
        </w:tc>
      </w:tr>
      <w:tr w:rsidR="005D6E6C" w:rsidRPr="00B013ED" w:rsidTr="00D83CC7">
        <w:trPr>
          <w:trHeight w:val="567"/>
        </w:trPr>
        <w:tc>
          <w:tcPr>
            <w:tcW w:w="2551" w:type="dxa"/>
            <w:shd w:val="clear" w:color="auto" w:fill="FDE9D9" w:themeFill="accent6" w:themeFillTint="33"/>
            <w:vAlign w:val="center"/>
          </w:tcPr>
          <w:p w:rsidR="005D6E6C" w:rsidRPr="00B013ED" w:rsidRDefault="005D6E6C" w:rsidP="00D83CC7">
            <w:pPr>
              <w:spacing w:after="120"/>
              <w:jc w:val="center"/>
              <w:rPr>
                <w:bCs/>
                <w:color w:val="000000"/>
                <w:szCs w:val="24"/>
              </w:rPr>
            </w:pPr>
            <w:r w:rsidRPr="00B013ED">
              <w:rPr>
                <w:bCs/>
                <w:color w:val="000000"/>
                <w:szCs w:val="24"/>
              </w:rPr>
              <w:t>1:8</w:t>
            </w:r>
          </w:p>
        </w:tc>
        <w:tc>
          <w:tcPr>
            <w:tcW w:w="2551" w:type="dxa"/>
            <w:vAlign w:val="center"/>
          </w:tcPr>
          <w:p w:rsidR="005D6E6C" w:rsidRPr="00B013ED" w:rsidRDefault="005D6E6C" w:rsidP="00D83CC7">
            <w:pPr>
              <w:jc w:val="center"/>
              <w:rPr>
                <w:szCs w:val="24"/>
              </w:rPr>
            </w:pPr>
            <w:r w:rsidRPr="00B013ED">
              <w:rPr>
                <w:szCs w:val="24"/>
              </w:rPr>
              <w:t>1.10E+08</w:t>
            </w:r>
          </w:p>
        </w:tc>
        <w:tc>
          <w:tcPr>
            <w:tcW w:w="2551" w:type="dxa"/>
            <w:vAlign w:val="center"/>
          </w:tcPr>
          <w:p w:rsidR="005D6E6C" w:rsidRPr="00B013ED" w:rsidRDefault="005D6E6C" w:rsidP="00D83CC7">
            <w:pPr>
              <w:jc w:val="center"/>
              <w:rPr>
                <w:szCs w:val="24"/>
              </w:rPr>
            </w:pPr>
            <w:r w:rsidRPr="00B013ED">
              <w:rPr>
                <w:szCs w:val="24"/>
              </w:rPr>
              <w:t>0.23</w:t>
            </w:r>
          </w:p>
        </w:tc>
      </w:tr>
      <w:tr w:rsidR="005D6E6C" w:rsidRPr="00B013ED" w:rsidTr="00D83CC7">
        <w:trPr>
          <w:trHeight w:val="567"/>
        </w:trPr>
        <w:tc>
          <w:tcPr>
            <w:tcW w:w="2551" w:type="dxa"/>
            <w:shd w:val="clear" w:color="auto" w:fill="FDE9D9" w:themeFill="accent6" w:themeFillTint="33"/>
            <w:vAlign w:val="center"/>
          </w:tcPr>
          <w:p w:rsidR="005D6E6C" w:rsidRPr="00B013ED" w:rsidRDefault="005D6E6C" w:rsidP="00D83CC7">
            <w:pPr>
              <w:spacing w:after="120"/>
              <w:jc w:val="center"/>
              <w:rPr>
                <w:bCs/>
                <w:color w:val="000000"/>
                <w:szCs w:val="24"/>
              </w:rPr>
            </w:pPr>
            <w:r w:rsidRPr="00B013ED">
              <w:rPr>
                <w:bCs/>
                <w:color w:val="000000"/>
                <w:szCs w:val="24"/>
              </w:rPr>
              <w:t>1:16</w:t>
            </w:r>
          </w:p>
        </w:tc>
        <w:tc>
          <w:tcPr>
            <w:tcW w:w="2551" w:type="dxa"/>
            <w:vAlign w:val="center"/>
          </w:tcPr>
          <w:p w:rsidR="005D6E6C" w:rsidRPr="00B013ED" w:rsidRDefault="005D6E6C" w:rsidP="00D83CC7">
            <w:pPr>
              <w:jc w:val="center"/>
              <w:rPr>
                <w:szCs w:val="24"/>
              </w:rPr>
            </w:pPr>
            <w:r w:rsidRPr="00B013ED">
              <w:rPr>
                <w:szCs w:val="24"/>
              </w:rPr>
              <w:t>5.60E+07</w:t>
            </w:r>
          </w:p>
        </w:tc>
        <w:tc>
          <w:tcPr>
            <w:tcW w:w="2551" w:type="dxa"/>
            <w:vAlign w:val="center"/>
          </w:tcPr>
          <w:p w:rsidR="005D6E6C" w:rsidRPr="00B013ED" w:rsidRDefault="005D6E6C" w:rsidP="00D83CC7">
            <w:pPr>
              <w:jc w:val="center"/>
              <w:rPr>
                <w:szCs w:val="24"/>
              </w:rPr>
            </w:pPr>
            <w:r w:rsidRPr="00B013ED">
              <w:rPr>
                <w:szCs w:val="24"/>
              </w:rPr>
              <w:t>0.121</w:t>
            </w:r>
          </w:p>
        </w:tc>
      </w:tr>
      <w:tr w:rsidR="005D6E6C" w:rsidRPr="00B013ED" w:rsidTr="00D83CC7">
        <w:trPr>
          <w:trHeight w:val="567"/>
        </w:trPr>
        <w:tc>
          <w:tcPr>
            <w:tcW w:w="2551" w:type="dxa"/>
            <w:shd w:val="clear" w:color="auto" w:fill="FDE9D9" w:themeFill="accent6" w:themeFillTint="33"/>
            <w:vAlign w:val="center"/>
          </w:tcPr>
          <w:p w:rsidR="005D6E6C" w:rsidRPr="00B013ED" w:rsidRDefault="005D6E6C" w:rsidP="00D83CC7">
            <w:pPr>
              <w:spacing w:after="120"/>
              <w:jc w:val="center"/>
              <w:rPr>
                <w:bCs/>
                <w:color w:val="000000"/>
                <w:szCs w:val="24"/>
              </w:rPr>
            </w:pPr>
            <w:r w:rsidRPr="00B013ED">
              <w:rPr>
                <w:bCs/>
                <w:color w:val="000000"/>
                <w:szCs w:val="24"/>
              </w:rPr>
              <w:t>1.32</w:t>
            </w:r>
          </w:p>
        </w:tc>
        <w:tc>
          <w:tcPr>
            <w:tcW w:w="2551" w:type="dxa"/>
            <w:vAlign w:val="center"/>
          </w:tcPr>
          <w:p w:rsidR="005D6E6C" w:rsidRPr="00B013ED" w:rsidRDefault="005D6E6C" w:rsidP="00D83CC7">
            <w:pPr>
              <w:jc w:val="center"/>
              <w:rPr>
                <w:szCs w:val="24"/>
              </w:rPr>
            </w:pPr>
            <w:r w:rsidRPr="00B013ED">
              <w:rPr>
                <w:szCs w:val="24"/>
              </w:rPr>
              <w:t>2.80E+07</w:t>
            </w:r>
          </w:p>
        </w:tc>
        <w:tc>
          <w:tcPr>
            <w:tcW w:w="2551" w:type="dxa"/>
            <w:vAlign w:val="center"/>
          </w:tcPr>
          <w:p w:rsidR="005D6E6C" w:rsidRPr="00B013ED" w:rsidRDefault="005D6E6C" w:rsidP="00D83CC7">
            <w:pPr>
              <w:jc w:val="center"/>
              <w:rPr>
                <w:szCs w:val="24"/>
              </w:rPr>
            </w:pPr>
            <w:r w:rsidRPr="00B013ED">
              <w:rPr>
                <w:szCs w:val="24"/>
              </w:rPr>
              <w:t>0.062</w:t>
            </w:r>
          </w:p>
        </w:tc>
      </w:tr>
      <w:tr w:rsidR="005D6E6C" w:rsidRPr="00B013ED" w:rsidTr="00D83CC7">
        <w:trPr>
          <w:trHeight w:val="567"/>
        </w:trPr>
        <w:tc>
          <w:tcPr>
            <w:tcW w:w="2551" w:type="dxa"/>
            <w:shd w:val="clear" w:color="auto" w:fill="FDE9D9" w:themeFill="accent6" w:themeFillTint="33"/>
            <w:vAlign w:val="center"/>
          </w:tcPr>
          <w:p w:rsidR="005D6E6C" w:rsidRPr="00B013ED" w:rsidRDefault="005D6E6C" w:rsidP="00D83CC7">
            <w:pPr>
              <w:spacing w:after="120"/>
              <w:jc w:val="center"/>
              <w:rPr>
                <w:bCs/>
                <w:color w:val="000000"/>
                <w:szCs w:val="24"/>
              </w:rPr>
            </w:pPr>
            <w:r w:rsidRPr="00B013ED">
              <w:rPr>
                <w:bCs/>
                <w:color w:val="000000"/>
                <w:szCs w:val="24"/>
              </w:rPr>
              <w:t>1.64</w:t>
            </w:r>
          </w:p>
        </w:tc>
        <w:tc>
          <w:tcPr>
            <w:tcW w:w="2551" w:type="dxa"/>
            <w:vAlign w:val="center"/>
          </w:tcPr>
          <w:p w:rsidR="005D6E6C" w:rsidRPr="00B013ED" w:rsidRDefault="005D6E6C" w:rsidP="00D83CC7">
            <w:pPr>
              <w:jc w:val="center"/>
              <w:rPr>
                <w:szCs w:val="24"/>
              </w:rPr>
            </w:pPr>
            <w:r w:rsidRPr="00B013ED">
              <w:rPr>
                <w:szCs w:val="24"/>
              </w:rPr>
              <w:t>1.40E+07</w:t>
            </w:r>
          </w:p>
        </w:tc>
        <w:tc>
          <w:tcPr>
            <w:tcW w:w="2551" w:type="dxa"/>
            <w:vAlign w:val="center"/>
          </w:tcPr>
          <w:p w:rsidR="005D6E6C" w:rsidRPr="00B013ED" w:rsidRDefault="005D6E6C" w:rsidP="00D83CC7">
            <w:pPr>
              <w:jc w:val="center"/>
              <w:rPr>
                <w:szCs w:val="24"/>
              </w:rPr>
            </w:pPr>
            <w:r w:rsidRPr="00B013ED">
              <w:rPr>
                <w:szCs w:val="24"/>
              </w:rPr>
              <w:t>0.029</w:t>
            </w:r>
          </w:p>
        </w:tc>
      </w:tr>
      <w:tr w:rsidR="005D6E6C" w:rsidRPr="00B013ED" w:rsidTr="00D83CC7">
        <w:trPr>
          <w:trHeight w:val="567"/>
        </w:trPr>
        <w:tc>
          <w:tcPr>
            <w:tcW w:w="2551" w:type="dxa"/>
            <w:shd w:val="clear" w:color="auto" w:fill="FDE9D9" w:themeFill="accent6" w:themeFillTint="33"/>
            <w:vAlign w:val="center"/>
          </w:tcPr>
          <w:p w:rsidR="005D6E6C" w:rsidRPr="00B013ED" w:rsidRDefault="005D6E6C" w:rsidP="00D83CC7">
            <w:pPr>
              <w:spacing w:after="120"/>
              <w:jc w:val="center"/>
              <w:rPr>
                <w:bCs/>
                <w:color w:val="000000"/>
                <w:szCs w:val="24"/>
              </w:rPr>
            </w:pPr>
            <w:r w:rsidRPr="00B013ED">
              <w:rPr>
                <w:bCs/>
                <w:color w:val="000000"/>
                <w:szCs w:val="24"/>
              </w:rPr>
              <w:t>1.28</w:t>
            </w:r>
          </w:p>
        </w:tc>
        <w:tc>
          <w:tcPr>
            <w:tcW w:w="2551" w:type="dxa"/>
            <w:vAlign w:val="center"/>
          </w:tcPr>
          <w:p w:rsidR="005D6E6C" w:rsidRPr="00B013ED" w:rsidRDefault="005D6E6C" w:rsidP="00D83CC7">
            <w:pPr>
              <w:jc w:val="center"/>
              <w:rPr>
                <w:szCs w:val="24"/>
              </w:rPr>
            </w:pPr>
            <w:r w:rsidRPr="00B013ED">
              <w:rPr>
                <w:szCs w:val="24"/>
              </w:rPr>
              <w:t>7.00E+06</w:t>
            </w:r>
          </w:p>
        </w:tc>
        <w:tc>
          <w:tcPr>
            <w:tcW w:w="2551" w:type="dxa"/>
            <w:vAlign w:val="center"/>
          </w:tcPr>
          <w:p w:rsidR="005D6E6C" w:rsidRPr="00B013ED" w:rsidRDefault="005D6E6C" w:rsidP="00D83CC7">
            <w:pPr>
              <w:jc w:val="center"/>
              <w:rPr>
                <w:szCs w:val="24"/>
              </w:rPr>
            </w:pPr>
            <w:r w:rsidRPr="00B013ED">
              <w:rPr>
                <w:szCs w:val="24"/>
              </w:rPr>
              <w:t>0.007</w:t>
            </w:r>
          </w:p>
        </w:tc>
      </w:tr>
    </w:tbl>
    <w:p w:rsidR="00914F99" w:rsidRDefault="00914F99" w:rsidP="00914F99">
      <w:pPr>
        <w:spacing w:after="120" w:line="480" w:lineRule="auto"/>
        <w:jc w:val="both"/>
        <w:rPr>
          <w:rFonts w:eastAsia="Times New Roman"/>
          <w:bCs/>
          <w:color w:val="000000"/>
          <w:sz w:val="22"/>
          <w:szCs w:val="22"/>
          <w:lang w:eastAsia="en-GB"/>
        </w:rPr>
      </w:pPr>
    </w:p>
    <w:p w:rsidR="00914F99" w:rsidRPr="00B013ED" w:rsidRDefault="00C67C41" w:rsidP="00D83CC7">
      <w:pPr>
        <w:spacing w:after="120" w:line="240" w:lineRule="auto"/>
        <w:jc w:val="both"/>
        <w:rPr>
          <w:rFonts w:eastAsia="Times New Roman"/>
          <w:b/>
          <w:color w:val="000000"/>
          <w:sz w:val="20"/>
          <w:szCs w:val="20"/>
          <w:lang w:eastAsia="en-GB"/>
        </w:rPr>
      </w:pPr>
      <w:bookmarkStart w:id="548" w:name="_Ref360522426"/>
      <w:bookmarkStart w:id="549" w:name="_Toc361733623"/>
      <w:bookmarkStart w:id="550" w:name="_Toc361734266"/>
      <w:r>
        <w:rPr>
          <w:b/>
          <w:sz w:val="20"/>
          <w:szCs w:val="20"/>
        </w:rPr>
        <w:t>Figure</w:t>
      </w:r>
      <w:r w:rsidR="00914F99" w:rsidRPr="001F2B80">
        <w:rPr>
          <w:b/>
          <w:sz w:val="20"/>
          <w:szCs w:val="20"/>
        </w:rPr>
        <w:t xml:space="preserve"> </w:t>
      </w:r>
      <w:r w:rsidR="00DF37B0">
        <w:rPr>
          <w:b/>
          <w:sz w:val="20"/>
          <w:szCs w:val="20"/>
        </w:rPr>
        <w:fldChar w:fldCharType="begin"/>
      </w:r>
      <w:r w:rsidR="00DF37B0">
        <w:rPr>
          <w:b/>
          <w:sz w:val="20"/>
          <w:szCs w:val="20"/>
        </w:rPr>
        <w:instrText xml:space="preserve"> STYLEREF 1 \s </w:instrText>
      </w:r>
      <w:r w:rsidR="00DF37B0">
        <w:rPr>
          <w:b/>
          <w:sz w:val="20"/>
          <w:szCs w:val="20"/>
        </w:rPr>
        <w:fldChar w:fldCharType="separate"/>
      </w:r>
      <w:r w:rsidR="00374B77">
        <w:rPr>
          <w:b/>
          <w:noProof/>
          <w:sz w:val="20"/>
          <w:szCs w:val="20"/>
          <w:cs/>
        </w:rPr>
        <w:t>‎</w:t>
      </w:r>
      <w:r w:rsidR="00374B77">
        <w:rPr>
          <w:b/>
          <w:noProof/>
          <w:sz w:val="20"/>
          <w:szCs w:val="20"/>
        </w:rPr>
        <w:t>3</w:t>
      </w:r>
      <w:r w:rsidR="00DF37B0">
        <w:rPr>
          <w:b/>
          <w:sz w:val="20"/>
          <w:szCs w:val="20"/>
        </w:rPr>
        <w:fldChar w:fldCharType="end"/>
      </w:r>
      <w:r w:rsidR="00DF37B0">
        <w:rPr>
          <w:b/>
          <w:sz w:val="20"/>
          <w:szCs w:val="20"/>
        </w:rPr>
        <w:t>.</w:t>
      </w:r>
      <w:r w:rsidR="00DF37B0">
        <w:rPr>
          <w:b/>
          <w:sz w:val="20"/>
          <w:szCs w:val="20"/>
        </w:rPr>
        <w:fldChar w:fldCharType="begin"/>
      </w:r>
      <w:r w:rsidR="00DF37B0">
        <w:rPr>
          <w:b/>
          <w:sz w:val="20"/>
          <w:szCs w:val="20"/>
        </w:rPr>
        <w:instrText xml:space="preserve"> SEQ Figure \* ARABIC \s 1 </w:instrText>
      </w:r>
      <w:r w:rsidR="00DF37B0">
        <w:rPr>
          <w:b/>
          <w:sz w:val="20"/>
          <w:szCs w:val="20"/>
        </w:rPr>
        <w:fldChar w:fldCharType="separate"/>
      </w:r>
      <w:proofErr w:type="gramStart"/>
      <w:r w:rsidR="00374B77">
        <w:rPr>
          <w:b/>
          <w:noProof/>
          <w:sz w:val="20"/>
          <w:szCs w:val="20"/>
        </w:rPr>
        <w:t>9</w:t>
      </w:r>
      <w:r w:rsidR="00DF37B0">
        <w:rPr>
          <w:b/>
          <w:sz w:val="20"/>
          <w:szCs w:val="20"/>
        </w:rPr>
        <w:fldChar w:fldCharType="end"/>
      </w:r>
      <w:bookmarkEnd w:id="548"/>
      <w:r w:rsidR="00914F99">
        <w:rPr>
          <w:b/>
          <w:noProof/>
          <w:sz w:val="20"/>
          <w:szCs w:val="20"/>
        </w:rPr>
        <w:t xml:space="preserve"> </w:t>
      </w:r>
      <w:r w:rsidR="00914F99">
        <w:rPr>
          <w:rFonts w:eastAsia="Times New Roman"/>
          <w:b/>
          <w:color w:val="000000"/>
          <w:sz w:val="20"/>
          <w:szCs w:val="20"/>
          <w:lang w:eastAsia="en-GB"/>
        </w:rPr>
        <w:t>S</w:t>
      </w:r>
      <w:r w:rsidR="00914F99" w:rsidRPr="001F2B80">
        <w:rPr>
          <w:rFonts w:eastAsia="Times New Roman"/>
          <w:b/>
          <w:color w:val="000000"/>
          <w:sz w:val="20"/>
          <w:szCs w:val="20"/>
          <w:lang w:eastAsia="en-GB"/>
        </w:rPr>
        <w:t>tandard growth curve</w:t>
      </w:r>
      <w:proofErr w:type="gramEnd"/>
      <w:r w:rsidR="00914F99" w:rsidRPr="001F2B80">
        <w:rPr>
          <w:rFonts w:eastAsia="Times New Roman"/>
          <w:b/>
          <w:color w:val="000000"/>
          <w:sz w:val="20"/>
          <w:szCs w:val="20"/>
          <w:lang w:eastAsia="en-GB"/>
        </w:rPr>
        <w:t xml:space="preserve"> </w:t>
      </w:r>
      <w:r w:rsidR="00914F99" w:rsidRPr="001F2B80">
        <w:rPr>
          <w:rFonts w:eastAsia="Times New Roman"/>
          <w:b/>
          <w:iCs/>
          <w:color w:val="000000"/>
          <w:sz w:val="20"/>
          <w:szCs w:val="20"/>
          <w:lang w:eastAsia="en-GB"/>
        </w:rPr>
        <w:t>for</w:t>
      </w:r>
      <w:r w:rsidR="00914F99" w:rsidRPr="001F2B80">
        <w:rPr>
          <w:rFonts w:eastAsia="Times New Roman"/>
          <w:b/>
          <w:color w:val="000000"/>
          <w:sz w:val="20"/>
          <w:szCs w:val="20"/>
          <w:lang w:eastAsia="en-GB"/>
        </w:rPr>
        <w:t xml:space="preserve"> </w:t>
      </w:r>
      <w:r w:rsidR="00914F99" w:rsidRPr="00B013ED">
        <w:rPr>
          <w:rFonts w:eastAsia="Times New Roman"/>
          <w:b/>
          <w:i/>
          <w:iCs/>
          <w:color w:val="000000"/>
          <w:sz w:val="20"/>
          <w:szCs w:val="20"/>
          <w:lang w:eastAsia="en-GB"/>
        </w:rPr>
        <w:t>P. gingivalis</w:t>
      </w:r>
      <w:r w:rsidR="00914F99" w:rsidRPr="00B013ED">
        <w:rPr>
          <w:rFonts w:eastAsia="Times New Roman"/>
          <w:b/>
          <w:color w:val="000000"/>
          <w:sz w:val="20"/>
          <w:szCs w:val="20"/>
          <w:lang w:eastAsia="en-GB"/>
        </w:rPr>
        <w:t xml:space="preserve"> (W50) OD</w:t>
      </w:r>
      <w:r w:rsidR="00914F99" w:rsidRPr="00B013ED">
        <w:rPr>
          <w:rFonts w:eastAsia="Times New Roman"/>
          <w:b/>
          <w:color w:val="000000"/>
          <w:sz w:val="20"/>
          <w:szCs w:val="20"/>
          <w:vertAlign w:val="subscript"/>
          <w:lang w:eastAsia="en-GB"/>
        </w:rPr>
        <w:t>450</w:t>
      </w:r>
      <w:r w:rsidR="00914F99" w:rsidRPr="00B013ED">
        <w:rPr>
          <w:rFonts w:eastAsia="Times New Roman"/>
          <w:b/>
          <w:color w:val="000000"/>
          <w:sz w:val="20"/>
          <w:szCs w:val="20"/>
          <w:lang w:eastAsia="en-GB"/>
        </w:rPr>
        <w:t xml:space="preserve"> against number of colony forming units (CFU/ml)</w:t>
      </w:r>
      <w:bookmarkEnd w:id="549"/>
      <w:bookmarkEnd w:id="550"/>
    </w:p>
    <w:p w:rsidR="0030300F" w:rsidRDefault="0030300F" w:rsidP="0030300F">
      <w:pPr>
        <w:spacing w:after="120" w:line="240" w:lineRule="auto"/>
        <w:jc w:val="both"/>
        <w:rPr>
          <w:rFonts w:eastAsia="Times New Roman" w:cstheme="minorBidi"/>
          <w:color w:val="000000"/>
          <w:sz w:val="20"/>
          <w:szCs w:val="20"/>
        </w:rPr>
      </w:pPr>
      <w:r w:rsidRPr="00B013ED">
        <w:rPr>
          <w:noProof/>
          <w:lang w:eastAsia="en-GB"/>
        </w:rPr>
        <w:drawing>
          <wp:anchor distT="0" distB="0" distL="114300" distR="114300" simplePos="0" relativeHeight="251722752" behindDoc="0" locked="0" layoutInCell="1" allowOverlap="1" wp14:anchorId="651BBA38" wp14:editId="73C3E6F5">
            <wp:simplePos x="0" y="0"/>
            <wp:positionH relativeFrom="column">
              <wp:posOffset>302895</wp:posOffset>
            </wp:positionH>
            <wp:positionV relativeFrom="paragraph">
              <wp:posOffset>176530</wp:posOffset>
            </wp:positionV>
            <wp:extent cx="4676775" cy="2524125"/>
            <wp:effectExtent l="0" t="0" r="9525" b="9525"/>
            <wp:wrapSquare wrapText="bothSides"/>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rsidR="00FF0E3E" w:rsidRPr="0030300F" w:rsidRDefault="00FF0E3E" w:rsidP="0030300F">
      <w:pPr>
        <w:spacing w:after="120" w:line="240" w:lineRule="auto"/>
        <w:jc w:val="both"/>
        <w:rPr>
          <w:rFonts w:eastAsia="Times New Roman"/>
          <w:bCs/>
          <w:color w:val="000000"/>
          <w:lang w:eastAsia="en-GB"/>
        </w:rPr>
      </w:pPr>
      <w:r w:rsidRPr="00B013ED">
        <w:rPr>
          <w:rFonts w:eastAsia="Times New Roman" w:cstheme="minorBidi"/>
          <w:color w:val="000000"/>
          <w:sz w:val="20"/>
          <w:szCs w:val="20"/>
        </w:rPr>
        <w:t>Colony forming units (CFU)</w:t>
      </w:r>
    </w:p>
    <w:p w:rsidR="00D005DA" w:rsidRPr="00DD0000" w:rsidRDefault="00FF0E3E" w:rsidP="0030300F">
      <w:pPr>
        <w:spacing w:after="0" w:line="240" w:lineRule="auto"/>
        <w:jc w:val="both"/>
        <w:rPr>
          <w:rFonts w:eastAsia="Times New Roman" w:cstheme="minorBidi"/>
          <w:color w:val="000000"/>
          <w:sz w:val="20"/>
          <w:szCs w:val="20"/>
        </w:rPr>
      </w:pPr>
      <w:r w:rsidRPr="00B013ED">
        <w:rPr>
          <w:rFonts w:eastAsia="Times New Roman" w:cstheme="minorBidi"/>
          <w:bCs/>
          <w:color w:val="000000"/>
          <w:sz w:val="20"/>
          <w:szCs w:val="20"/>
          <w:lang w:eastAsia="en-GB"/>
        </w:rPr>
        <w:t>Optical density</w:t>
      </w:r>
      <w:r w:rsidRPr="00B013ED">
        <w:rPr>
          <w:rFonts w:eastAsia="Times New Roman" w:cstheme="minorBidi"/>
          <w:bCs/>
          <w:color w:val="000000"/>
          <w:sz w:val="20"/>
          <w:szCs w:val="20"/>
          <w:vertAlign w:val="superscript"/>
          <w:lang w:eastAsia="en-GB"/>
        </w:rPr>
        <w:t xml:space="preserve"> </w:t>
      </w:r>
      <w:r w:rsidRPr="00B013ED">
        <w:rPr>
          <w:rFonts w:eastAsia="Times New Roman" w:cstheme="minorBidi"/>
          <w:bCs/>
          <w:color w:val="000000"/>
          <w:sz w:val="20"/>
          <w:szCs w:val="20"/>
          <w:lang w:eastAsia="en-GB"/>
        </w:rPr>
        <w:t>at a wavelength</w:t>
      </w:r>
      <w:r w:rsidRPr="00B013ED">
        <w:rPr>
          <w:rFonts w:eastAsia="Times New Roman" w:cstheme="minorBidi"/>
          <w:bCs/>
          <w:color w:val="000000"/>
          <w:sz w:val="20"/>
          <w:szCs w:val="20"/>
          <w:vertAlign w:val="superscript"/>
          <w:lang w:eastAsia="en-GB"/>
        </w:rPr>
        <w:t xml:space="preserve"> (</w:t>
      </w:r>
      <w:r w:rsidRPr="00B013ED">
        <w:rPr>
          <w:rFonts w:eastAsia="Times New Roman" w:cstheme="minorBidi"/>
          <w:bCs/>
          <w:color w:val="000000"/>
          <w:sz w:val="20"/>
          <w:szCs w:val="20"/>
          <w:lang w:eastAsia="en-GB"/>
        </w:rPr>
        <w:t>OD</w:t>
      </w:r>
      <w:r w:rsidRPr="00B013ED">
        <w:rPr>
          <w:rFonts w:eastAsia="Times New Roman" w:cstheme="minorBidi"/>
          <w:bCs/>
          <w:color w:val="000000"/>
          <w:sz w:val="20"/>
          <w:szCs w:val="20"/>
          <w:vertAlign w:val="subscript"/>
          <w:lang w:eastAsia="en-GB"/>
        </w:rPr>
        <w:t>450)</w:t>
      </w:r>
      <w:r w:rsidR="00D97737">
        <w:rPr>
          <w:rFonts w:eastAsia="Times New Roman"/>
          <w:bCs/>
          <w:color w:val="000000"/>
          <w:lang w:eastAsia="en-GB"/>
        </w:rPr>
        <w:br w:type="page"/>
      </w:r>
    </w:p>
    <w:p w:rsidR="00964874" w:rsidRPr="00DD0000" w:rsidRDefault="00EC38E2" w:rsidP="00DD0000">
      <w:pPr>
        <w:pStyle w:val="Heading4"/>
        <w:spacing w:line="480" w:lineRule="auto"/>
        <w:rPr>
          <w:lang w:eastAsia="en-GB"/>
        </w:rPr>
      </w:pPr>
      <w:r w:rsidRPr="00D005DA">
        <w:rPr>
          <w:i/>
          <w:iCs w:val="0"/>
          <w:lang w:eastAsia="en-GB"/>
        </w:rPr>
        <w:lastRenderedPageBreak/>
        <w:t>Fusobacterium nucleatum</w:t>
      </w:r>
      <w:r w:rsidRPr="00B013ED">
        <w:rPr>
          <w:lang w:eastAsia="en-GB"/>
        </w:rPr>
        <w:t xml:space="preserve"> </w:t>
      </w:r>
      <w:r w:rsidR="00D005DA">
        <w:rPr>
          <w:lang w:eastAsia="en-GB"/>
        </w:rPr>
        <w:t>(</w:t>
      </w:r>
      <w:r w:rsidR="00D005DA" w:rsidRPr="00D005DA">
        <w:rPr>
          <w:i/>
          <w:iCs w:val="0"/>
          <w:lang w:eastAsia="en-GB"/>
        </w:rPr>
        <w:t xml:space="preserve">F. </w:t>
      </w:r>
      <w:r w:rsidR="00D005DA" w:rsidRPr="007250AA">
        <w:rPr>
          <w:i/>
          <w:iCs w:val="0"/>
          <w:lang w:eastAsia="en-GB"/>
        </w:rPr>
        <w:t>nucleatum</w:t>
      </w:r>
      <w:r w:rsidR="00D005DA">
        <w:rPr>
          <w:lang w:eastAsia="en-GB"/>
        </w:rPr>
        <w:t xml:space="preserve">) </w:t>
      </w:r>
      <w:r w:rsidRPr="00B013ED">
        <w:rPr>
          <w:lang w:eastAsia="en-GB"/>
        </w:rPr>
        <w:t>(ACTC 10953)</w:t>
      </w:r>
    </w:p>
    <w:p w:rsidR="00964874" w:rsidRPr="001C1F39" w:rsidRDefault="00F87195" w:rsidP="001C1F39">
      <w:pPr>
        <w:pStyle w:val="table"/>
        <w:jc w:val="both"/>
        <w:rPr>
          <w:rFonts w:ascii="Arial" w:hAnsi="Arial"/>
          <w:noProof/>
          <w:szCs w:val="24"/>
        </w:rPr>
      </w:pPr>
      <w:r w:rsidRPr="001C1F39">
        <w:rPr>
          <w:szCs w:val="24"/>
        </w:rPr>
        <w:t>T</w:t>
      </w:r>
      <w:r w:rsidR="00D00DE3" w:rsidRPr="001C1F39">
        <w:rPr>
          <w:szCs w:val="24"/>
        </w:rPr>
        <w:t>he</w:t>
      </w:r>
      <w:r w:rsidR="007250AA" w:rsidRPr="001C1F39">
        <w:rPr>
          <w:szCs w:val="24"/>
        </w:rPr>
        <w:t xml:space="preserve"> respective serial dilution, CFU and the associated optical OD</w:t>
      </w:r>
      <w:r w:rsidR="007250AA" w:rsidRPr="001C1F39">
        <w:rPr>
          <w:szCs w:val="24"/>
          <w:vertAlign w:val="subscript"/>
        </w:rPr>
        <w:t>540</w:t>
      </w:r>
      <w:r w:rsidR="007250AA" w:rsidRPr="001C1F39">
        <w:rPr>
          <w:szCs w:val="24"/>
        </w:rPr>
        <w:t xml:space="preserve"> are shown in </w:t>
      </w:r>
      <w:r w:rsidR="001C1F39" w:rsidRPr="001C1F39">
        <w:rPr>
          <w:rFonts w:ascii="Arial" w:hAnsi="Arial"/>
          <w:szCs w:val="24"/>
        </w:rPr>
        <w:fldChar w:fldCharType="begin"/>
      </w:r>
      <w:r w:rsidR="001C1F39" w:rsidRPr="001C1F39">
        <w:rPr>
          <w:rFonts w:ascii="Arial" w:hAnsi="Arial"/>
          <w:szCs w:val="24"/>
        </w:rPr>
        <w:instrText xml:space="preserve"> PRINT  \* MERGEFORMAT </w:instrText>
      </w:r>
      <w:r w:rsidR="001C1F39" w:rsidRPr="001C1F39">
        <w:rPr>
          <w:rFonts w:ascii="Arial" w:hAnsi="Arial"/>
          <w:szCs w:val="24"/>
        </w:rPr>
        <w:fldChar w:fldCharType="end"/>
      </w:r>
      <w:r w:rsidR="001C1F39" w:rsidRPr="001C1F39">
        <w:rPr>
          <w:szCs w:val="24"/>
        </w:rPr>
        <w:fldChar w:fldCharType="begin"/>
      </w:r>
      <w:r w:rsidR="001C1F39" w:rsidRPr="001C1F39">
        <w:rPr>
          <w:szCs w:val="24"/>
        </w:rPr>
        <w:instrText xml:space="preserve"> REF _Ref361726114 \h  \* MERGEFORMAT </w:instrText>
      </w:r>
      <w:r w:rsidR="001C1F39" w:rsidRPr="001C1F39">
        <w:rPr>
          <w:szCs w:val="24"/>
        </w:rPr>
      </w:r>
      <w:r w:rsidR="001C1F39" w:rsidRPr="001C1F39">
        <w:rPr>
          <w:szCs w:val="24"/>
        </w:rPr>
        <w:fldChar w:fldCharType="separate"/>
      </w:r>
      <w:r w:rsidR="00374B77" w:rsidRPr="00374B77">
        <w:rPr>
          <w:szCs w:val="24"/>
        </w:rPr>
        <w:t xml:space="preserve">Table </w:t>
      </w:r>
      <w:r w:rsidR="00374B77" w:rsidRPr="00374B77">
        <w:rPr>
          <w:szCs w:val="24"/>
          <w:cs/>
        </w:rPr>
        <w:t>‎</w:t>
      </w:r>
      <w:r w:rsidR="00374B77">
        <w:rPr>
          <w:rFonts w:cstheme="minorBidi"/>
          <w:b/>
          <w:bCs w:val="0"/>
          <w:noProof/>
          <w:sz w:val="20"/>
          <w:szCs w:val="20"/>
        </w:rPr>
        <w:t>3.7</w:t>
      </w:r>
      <w:r w:rsidR="001C1F39" w:rsidRPr="001C1F39">
        <w:rPr>
          <w:szCs w:val="24"/>
        </w:rPr>
        <w:fldChar w:fldCharType="end"/>
      </w:r>
      <w:r w:rsidR="007250AA" w:rsidRPr="001C1F39">
        <w:rPr>
          <w:szCs w:val="24"/>
        </w:rPr>
        <w:t xml:space="preserve"> and </w:t>
      </w:r>
      <w:r w:rsidR="00AA6C9C" w:rsidRPr="001C1F39">
        <w:rPr>
          <w:szCs w:val="24"/>
        </w:rPr>
        <w:t xml:space="preserve">the </w:t>
      </w:r>
      <w:r w:rsidR="007250AA" w:rsidRPr="001C1F39">
        <w:rPr>
          <w:szCs w:val="24"/>
        </w:rPr>
        <w:t xml:space="preserve">standard growth curve for this bacterium </w:t>
      </w:r>
      <w:r w:rsidR="00AA6C9C" w:rsidRPr="001C1F39">
        <w:rPr>
          <w:szCs w:val="24"/>
        </w:rPr>
        <w:t xml:space="preserve">is </w:t>
      </w:r>
      <w:r w:rsidR="007250AA" w:rsidRPr="001C1F39">
        <w:rPr>
          <w:szCs w:val="24"/>
        </w:rPr>
        <w:t>shown in</w:t>
      </w:r>
      <w:r w:rsidR="00367148" w:rsidRPr="001C1F39">
        <w:rPr>
          <w:szCs w:val="24"/>
        </w:rPr>
        <w:t xml:space="preserve"> </w:t>
      </w:r>
      <w:r w:rsidR="001C1F39" w:rsidRPr="001C1F39">
        <w:rPr>
          <w:rFonts w:ascii="Arial" w:hAnsi="Arial"/>
          <w:szCs w:val="24"/>
        </w:rPr>
        <w:fldChar w:fldCharType="begin"/>
      </w:r>
      <w:r w:rsidR="001C1F39" w:rsidRPr="001C1F39">
        <w:rPr>
          <w:rFonts w:ascii="Arial" w:hAnsi="Arial"/>
          <w:szCs w:val="24"/>
        </w:rPr>
        <w:instrText xml:space="preserve"> PRINT  \* MERGEFORMAT </w:instrText>
      </w:r>
      <w:r w:rsidR="001C1F39" w:rsidRPr="001C1F39">
        <w:rPr>
          <w:rFonts w:ascii="Arial" w:hAnsi="Arial"/>
          <w:szCs w:val="24"/>
        </w:rPr>
        <w:fldChar w:fldCharType="end"/>
      </w:r>
      <w:r w:rsidR="001C1F39" w:rsidRPr="001C1F39">
        <w:rPr>
          <w:szCs w:val="24"/>
        </w:rPr>
        <w:fldChar w:fldCharType="begin"/>
      </w:r>
      <w:r w:rsidR="001C1F39" w:rsidRPr="001C1F39">
        <w:rPr>
          <w:szCs w:val="24"/>
        </w:rPr>
        <w:instrText xml:space="preserve"> REF _Ref361726192 \h  \* MERGEFORMAT </w:instrText>
      </w:r>
      <w:r w:rsidR="001C1F39" w:rsidRPr="001C1F39">
        <w:rPr>
          <w:szCs w:val="24"/>
        </w:rPr>
      </w:r>
      <w:r w:rsidR="001C1F39" w:rsidRPr="001C1F39">
        <w:rPr>
          <w:szCs w:val="24"/>
        </w:rPr>
        <w:fldChar w:fldCharType="separate"/>
      </w:r>
      <w:r w:rsidR="00374B77" w:rsidRPr="00374B77">
        <w:rPr>
          <w:szCs w:val="24"/>
        </w:rPr>
        <w:t xml:space="preserve">Figure </w:t>
      </w:r>
      <w:r w:rsidR="00374B77" w:rsidRPr="00374B77">
        <w:rPr>
          <w:szCs w:val="24"/>
          <w:cs/>
        </w:rPr>
        <w:t>‎</w:t>
      </w:r>
      <w:r w:rsidR="00374B77">
        <w:rPr>
          <w:b/>
          <w:noProof/>
          <w:sz w:val="20"/>
          <w:szCs w:val="20"/>
        </w:rPr>
        <w:t>3.10</w:t>
      </w:r>
      <w:r w:rsidR="001C1F39" w:rsidRPr="001C1F39">
        <w:rPr>
          <w:szCs w:val="24"/>
        </w:rPr>
        <w:fldChar w:fldCharType="end"/>
      </w:r>
      <w:bookmarkStart w:id="551" w:name="_Ref361090185"/>
      <w:r w:rsidR="001C1F39" w:rsidRPr="001C1F39">
        <w:rPr>
          <w:szCs w:val="24"/>
        </w:rPr>
        <w:t>.</w:t>
      </w:r>
    </w:p>
    <w:p w:rsidR="00A97FFE" w:rsidRPr="00FF0D73" w:rsidRDefault="00A97FFE" w:rsidP="00DD0000">
      <w:pPr>
        <w:spacing w:after="0" w:line="240" w:lineRule="auto"/>
        <w:rPr>
          <w:rFonts w:cstheme="minorBidi"/>
          <w:b/>
          <w:bCs/>
          <w:sz w:val="20"/>
          <w:szCs w:val="20"/>
        </w:rPr>
      </w:pPr>
      <w:bookmarkStart w:id="552" w:name="_Ref361726114"/>
      <w:bookmarkStart w:id="553" w:name="_Toc370511743"/>
      <w:proofErr w:type="gramStart"/>
      <w:r w:rsidRPr="00FF0D73">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7</w:t>
      </w:r>
      <w:r w:rsidR="00E7089D">
        <w:rPr>
          <w:rFonts w:cstheme="minorBidi"/>
          <w:b/>
          <w:bCs/>
          <w:sz w:val="20"/>
          <w:szCs w:val="20"/>
        </w:rPr>
        <w:fldChar w:fldCharType="end"/>
      </w:r>
      <w:bookmarkEnd w:id="551"/>
      <w:bookmarkEnd w:id="552"/>
      <w:r w:rsidR="00BF4BEF">
        <w:rPr>
          <w:rFonts w:cstheme="minorBidi"/>
          <w:b/>
          <w:bCs/>
          <w:i/>
          <w:iCs/>
          <w:color w:val="000000"/>
          <w:sz w:val="20"/>
          <w:szCs w:val="20"/>
        </w:rPr>
        <w:t xml:space="preserve"> F. </w:t>
      </w:r>
      <w:r w:rsidRPr="00FF0D73">
        <w:rPr>
          <w:rFonts w:cstheme="minorBidi"/>
          <w:b/>
          <w:bCs/>
          <w:i/>
          <w:iCs/>
          <w:color w:val="000000"/>
          <w:sz w:val="20"/>
          <w:szCs w:val="20"/>
        </w:rPr>
        <w:t>nucleatum</w:t>
      </w:r>
      <w:r w:rsidRPr="00FF0D73">
        <w:rPr>
          <w:rFonts w:cstheme="minorBidi"/>
          <w:b/>
          <w:bCs/>
          <w:color w:val="000000"/>
          <w:sz w:val="20"/>
          <w:szCs w:val="20"/>
        </w:rPr>
        <w:t xml:space="preserve"> (ACTC 10953) </w:t>
      </w:r>
      <w:r w:rsidRPr="00FF0D73">
        <w:rPr>
          <w:rFonts w:cstheme="minorBidi"/>
          <w:b/>
          <w:bCs/>
          <w:sz w:val="20"/>
          <w:szCs w:val="20"/>
        </w:rPr>
        <w:t>measured by OD</w:t>
      </w:r>
      <w:r w:rsidRPr="00FF0D73">
        <w:rPr>
          <w:rFonts w:cstheme="minorBidi"/>
          <w:b/>
          <w:bCs/>
          <w:sz w:val="20"/>
          <w:szCs w:val="20"/>
          <w:vertAlign w:val="subscript"/>
        </w:rPr>
        <w:t>450</w:t>
      </w:r>
      <w:r w:rsidRPr="00FF0D73">
        <w:rPr>
          <w:rFonts w:cstheme="minorBidi"/>
          <w:b/>
          <w:bCs/>
          <w:sz w:val="20"/>
          <w:szCs w:val="20"/>
        </w:rPr>
        <w:t xml:space="preserve"> against (CFU/ml).</w:t>
      </w:r>
      <w:bookmarkEnd w:id="553"/>
    </w:p>
    <w:tbl>
      <w:tblPr>
        <w:tblStyle w:val="TableGrid11"/>
        <w:tblpPr w:leftFromText="180" w:rightFromText="180" w:vertAnchor="text" w:horzAnchor="margin" w:tblpY="567"/>
        <w:tblW w:w="0" w:type="auto"/>
        <w:tblLook w:val="04A0" w:firstRow="1" w:lastRow="0" w:firstColumn="1" w:lastColumn="0" w:noHBand="0" w:noVBand="1"/>
      </w:tblPr>
      <w:tblGrid>
        <w:gridCol w:w="2551"/>
        <w:gridCol w:w="2551"/>
        <w:gridCol w:w="2551"/>
      </w:tblGrid>
      <w:tr w:rsidR="006A2CE4" w:rsidRPr="00B013ED" w:rsidTr="00DD0000">
        <w:trPr>
          <w:trHeight w:val="567"/>
        </w:trPr>
        <w:tc>
          <w:tcPr>
            <w:tcW w:w="2551" w:type="dxa"/>
            <w:shd w:val="clear" w:color="auto" w:fill="17365D" w:themeFill="text2" w:themeFillShade="BF"/>
            <w:vAlign w:val="center"/>
          </w:tcPr>
          <w:p w:rsidR="006A2CE4" w:rsidRPr="00B013ED" w:rsidRDefault="006A2CE4" w:rsidP="00DD0000">
            <w:pPr>
              <w:jc w:val="center"/>
              <w:rPr>
                <w:rFonts w:eastAsiaTheme="minorEastAsia"/>
                <w:b/>
                <w:bCs/>
                <w:szCs w:val="24"/>
                <w:lang w:eastAsia="zh-CN"/>
              </w:rPr>
            </w:pPr>
            <w:r w:rsidRPr="00B013ED">
              <w:rPr>
                <w:rFonts w:eastAsiaTheme="minorEastAsia"/>
                <w:b/>
                <w:bCs/>
                <w:szCs w:val="24"/>
                <w:lang w:eastAsia="zh-CN"/>
              </w:rPr>
              <w:t>Dilution</w:t>
            </w:r>
          </w:p>
        </w:tc>
        <w:tc>
          <w:tcPr>
            <w:tcW w:w="2551" w:type="dxa"/>
            <w:shd w:val="clear" w:color="auto" w:fill="17365D" w:themeFill="text2" w:themeFillShade="BF"/>
            <w:vAlign w:val="center"/>
          </w:tcPr>
          <w:p w:rsidR="006A2CE4" w:rsidRPr="00B013ED" w:rsidRDefault="006A2CE4" w:rsidP="00DD0000">
            <w:pPr>
              <w:jc w:val="center"/>
              <w:rPr>
                <w:rFonts w:eastAsiaTheme="minorEastAsia"/>
                <w:b/>
                <w:bCs/>
                <w:szCs w:val="24"/>
                <w:lang w:eastAsia="zh-CN"/>
              </w:rPr>
            </w:pPr>
            <w:r w:rsidRPr="00B013ED">
              <w:rPr>
                <w:rFonts w:eastAsiaTheme="minorEastAsia"/>
                <w:b/>
                <w:bCs/>
                <w:szCs w:val="24"/>
                <w:lang w:eastAsia="zh-CN"/>
              </w:rPr>
              <w:t>CFU ml-1</w:t>
            </w:r>
          </w:p>
        </w:tc>
        <w:tc>
          <w:tcPr>
            <w:tcW w:w="2551" w:type="dxa"/>
            <w:shd w:val="clear" w:color="auto" w:fill="17365D" w:themeFill="text2" w:themeFillShade="BF"/>
            <w:vAlign w:val="center"/>
          </w:tcPr>
          <w:p w:rsidR="006A2CE4" w:rsidRPr="00B013ED" w:rsidRDefault="006A2CE4" w:rsidP="00DD0000">
            <w:pPr>
              <w:jc w:val="center"/>
              <w:rPr>
                <w:rFonts w:eastAsiaTheme="minorEastAsia"/>
                <w:b/>
                <w:bCs/>
                <w:szCs w:val="24"/>
                <w:lang w:eastAsia="zh-CN"/>
              </w:rPr>
            </w:pPr>
            <w:r w:rsidRPr="00B013ED">
              <w:rPr>
                <w:rFonts w:eastAsiaTheme="minorEastAsia"/>
                <w:b/>
                <w:bCs/>
                <w:szCs w:val="24"/>
                <w:lang w:eastAsia="zh-CN"/>
              </w:rPr>
              <w:t>FN OD</w:t>
            </w:r>
            <w:r w:rsidRPr="00B013ED">
              <w:rPr>
                <w:rFonts w:eastAsiaTheme="minorEastAsia"/>
                <w:b/>
                <w:bCs/>
                <w:szCs w:val="24"/>
                <w:vertAlign w:val="subscript"/>
                <w:lang w:eastAsia="zh-CN"/>
              </w:rPr>
              <w:t>540</w:t>
            </w:r>
          </w:p>
        </w:tc>
      </w:tr>
      <w:tr w:rsidR="006A2CE4" w:rsidRPr="00B013ED" w:rsidTr="00DD0000">
        <w:trPr>
          <w:trHeight w:val="567"/>
        </w:trPr>
        <w:tc>
          <w:tcPr>
            <w:tcW w:w="2551" w:type="dxa"/>
            <w:shd w:val="clear" w:color="auto" w:fill="FDE9D9" w:themeFill="accent6" w:themeFillTint="33"/>
            <w:vAlign w:val="center"/>
          </w:tcPr>
          <w:p w:rsidR="006A2CE4" w:rsidRPr="00B013ED" w:rsidRDefault="006A2CE4" w:rsidP="00DD0000">
            <w:pPr>
              <w:spacing w:after="120"/>
              <w:jc w:val="center"/>
              <w:rPr>
                <w:rFonts w:eastAsiaTheme="minorEastAsia"/>
                <w:color w:val="000000"/>
                <w:szCs w:val="24"/>
                <w:lang w:eastAsia="zh-CN"/>
              </w:rPr>
            </w:pPr>
            <w:r w:rsidRPr="00B013ED">
              <w:rPr>
                <w:rFonts w:eastAsiaTheme="minorEastAsia"/>
                <w:color w:val="000000"/>
                <w:szCs w:val="24"/>
                <w:lang w:eastAsia="zh-CN"/>
              </w:rPr>
              <w:t>1:2</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2.20E+08</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0.983</w:t>
            </w:r>
          </w:p>
        </w:tc>
      </w:tr>
      <w:tr w:rsidR="006A2CE4" w:rsidRPr="00B013ED" w:rsidTr="00DD0000">
        <w:trPr>
          <w:trHeight w:val="567"/>
        </w:trPr>
        <w:tc>
          <w:tcPr>
            <w:tcW w:w="2551" w:type="dxa"/>
            <w:shd w:val="clear" w:color="auto" w:fill="FDE9D9" w:themeFill="accent6" w:themeFillTint="33"/>
            <w:vAlign w:val="center"/>
          </w:tcPr>
          <w:p w:rsidR="006A2CE4" w:rsidRPr="00B013ED" w:rsidRDefault="006A2CE4" w:rsidP="00DD0000">
            <w:pPr>
              <w:spacing w:after="120"/>
              <w:jc w:val="center"/>
              <w:rPr>
                <w:rFonts w:eastAsiaTheme="minorEastAsia"/>
                <w:color w:val="000000"/>
                <w:szCs w:val="24"/>
                <w:lang w:eastAsia="zh-CN"/>
              </w:rPr>
            </w:pPr>
            <w:r w:rsidRPr="00B013ED">
              <w:rPr>
                <w:rFonts w:eastAsiaTheme="minorEastAsia"/>
                <w:color w:val="000000"/>
                <w:szCs w:val="24"/>
                <w:lang w:eastAsia="zh-CN"/>
              </w:rPr>
              <w:t>1:4</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1.10E+08</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0.478</w:t>
            </w:r>
          </w:p>
        </w:tc>
      </w:tr>
      <w:tr w:rsidR="006A2CE4" w:rsidRPr="00B013ED" w:rsidTr="00DD0000">
        <w:trPr>
          <w:trHeight w:val="567"/>
        </w:trPr>
        <w:tc>
          <w:tcPr>
            <w:tcW w:w="2551" w:type="dxa"/>
            <w:shd w:val="clear" w:color="auto" w:fill="FDE9D9" w:themeFill="accent6" w:themeFillTint="33"/>
            <w:vAlign w:val="center"/>
          </w:tcPr>
          <w:p w:rsidR="006A2CE4" w:rsidRPr="00B013ED" w:rsidRDefault="006A2CE4" w:rsidP="00DD0000">
            <w:pPr>
              <w:spacing w:after="120"/>
              <w:jc w:val="center"/>
              <w:rPr>
                <w:rFonts w:eastAsiaTheme="minorEastAsia"/>
                <w:color w:val="000000"/>
                <w:szCs w:val="24"/>
                <w:lang w:eastAsia="zh-CN"/>
              </w:rPr>
            </w:pPr>
            <w:r w:rsidRPr="00B013ED">
              <w:rPr>
                <w:rFonts w:eastAsiaTheme="minorEastAsia"/>
                <w:color w:val="000000"/>
                <w:szCs w:val="24"/>
                <w:lang w:eastAsia="zh-CN"/>
              </w:rPr>
              <w:t>1:8</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5.40E+07</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0.264</w:t>
            </w:r>
          </w:p>
        </w:tc>
      </w:tr>
      <w:tr w:rsidR="006A2CE4" w:rsidRPr="00B013ED" w:rsidTr="00DD0000">
        <w:trPr>
          <w:trHeight w:val="567"/>
        </w:trPr>
        <w:tc>
          <w:tcPr>
            <w:tcW w:w="2551" w:type="dxa"/>
            <w:shd w:val="clear" w:color="auto" w:fill="FDE9D9" w:themeFill="accent6" w:themeFillTint="33"/>
            <w:vAlign w:val="center"/>
          </w:tcPr>
          <w:p w:rsidR="006A2CE4" w:rsidRPr="00B013ED" w:rsidRDefault="006A2CE4" w:rsidP="00DD0000">
            <w:pPr>
              <w:spacing w:after="120"/>
              <w:jc w:val="center"/>
              <w:rPr>
                <w:rFonts w:eastAsiaTheme="minorEastAsia"/>
                <w:color w:val="000000"/>
                <w:szCs w:val="24"/>
                <w:lang w:eastAsia="zh-CN"/>
              </w:rPr>
            </w:pPr>
            <w:r w:rsidRPr="00B013ED">
              <w:rPr>
                <w:rFonts w:eastAsiaTheme="minorEastAsia"/>
                <w:color w:val="000000"/>
                <w:szCs w:val="24"/>
                <w:lang w:eastAsia="zh-CN"/>
              </w:rPr>
              <w:t>1:16</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2.70E+07</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0.132</w:t>
            </w:r>
          </w:p>
        </w:tc>
      </w:tr>
      <w:tr w:rsidR="006A2CE4" w:rsidRPr="00B013ED" w:rsidTr="00DD0000">
        <w:trPr>
          <w:trHeight w:val="567"/>
        </w:trPr>
        <w:tc>
          <w:tcPr>
            <w:tcW w:w="2551" w:type="dxa"/>
            <w:shd w:val="clear" w:color="auto" w:fill="FDE9D9" w:themeFill="accent6" w:themeFillTint="33"/>
            <w:vAlign w:val="center"/>
          </w:tcPr>
          <w:p w:rsidR="006A2CE4" w:rsidRPr="00B013ED" w:rsidRDefault="006A2CE4" w:rsidP="00DD0000">
            <w:pPr>
              <w:spacing w:after="120"/>
              <w:jc w:val="center"/>
              <w:rPr>
                <w:rFonts w:eastAsiaTheme="minorEastAsia"/>
                <w:color w:val="000000"/>
                <w:szCs w:val="24"/>
                <w:lang w:eastAsia="zh-CN"/>
              </w:rPr>
            </w:pPr>
            <w:r w:rsidRPr="00B013ED">
              <w:rPr>
                <w:rFonts w:eastAsiaTheme="minorEastAsia"/>
                <w:color w:val="000000"/>
                <w:szCs w:val="24"/>
                <w:lang w:eastAsia="zh-CN"/>
              </w:rPr>
              <w:t>1.32</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1.30E+07</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0.078</w:t>
            </w:r>
          </w:p>
        </w:tc>
      </w:tr>
      <w:tr w:rsidR="006A2CE4" w:rsidRPr="00B013ED" w:rsidTr="00DD0000">
        <w:trPr>
          <w:trHeight w:val="567"/>
        </w:trPr>
        <w:tc>
          <w:tcPr>
            <w:tcW w:w="2551" w:type="dxa"/>
            <w:shd w:val="clear" w:color="auto" w:fill="FDE9D9" w:themeFill="accent6" w:themeFillTint="33"/>
            <w:vAlign w:val="center"/>
          </w:tcPr>
          <w:p w:rsidR="006A2CE4" w:rsidRPr="00B013ED" w:rsidRDefault="006A2CE4" w:rsidP="00DD0000">
            <w:pPr>
              <w:spacing w:after="120"/>
              <w:jc w:val="center"/>
              <w:rPr>
                <w:rFonts w:eastAsiaTheme="minorEastAsia"/>
                <w:color w:val="000000"/>
                <w:szCs w:val="24"/>
                <w:lang w:eastAsia="zh-CN"/>
              </w:rPr>
            </w:pPr>
            <w:r w:rsidRPr="00B013ED">
              <w:rPr>
                <w:rFonts w:eastAsiaTheme="minorEastAsia"/>
                <w:color w:val="000000"/>
                <w:szCs w:val="24"/>
                <w:lang w:eastAsia="zh-CN"/>
              </w:rPr>
              <w:t>1.64</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6.70E+06</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0.028</w:t>
            </w:r>
          </w:p>
        </w:tc>
      </w:tr>
      <w:tr w:rsidR="006A2CE4" w:rsidRPr="00B013ED" w:rsidTr="00DD0000">
        <w:trPr>
          <w:trHeight w:val="567"/>
        </w:trPr>
        <w:tc>
          <w:tcPr>
            <w:tcW w:w="2551" w:type="dxa"/>
            <w:shd w:val="clear" w:color="auto" w:fill="FDE9D9" w:themeFill="accent6" w:themeFillTint="33"/>
            <w:vAlign w:val="center"/>
          </w:tcPr>
          <w:p w:rsidR="006A2CE4" w:rsidRPr="00B013ED" w:rsidRDefault="006A2CE4" w:rsidP="00DD0000">
            <w:pPr>
              <w:spacing w:after="120"/>
              <w:jc w:val="center"/>
              <w:rPr>
                <w:rFonts w:eastAsiaTheme="minorEastAsia"/>
                <w:color w:val="000000"/>
                <w:szCs w:val="24"/>
                <w:lang w:eastAsia="zh-CN"/>
              </w:rPr>
            </w:pPr>
            <w:r w:rsidRPr="00B013ED">
              <w:rPr>
                <w:rFonts w:eastAsiaTheme="minorEastAsia"/>
                <w:color w:val="000000"/>
                <w:szCs w:val="24"/>
                <w:lang w:eastAsia="zh-CN"/>
              </w:rPr>
              <w:t>1.28</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3.40E+06</w:t>
            </w:r>
          </w:p>
        </w:tc>
        <w:tc>
          <w:tcPr>
            <w:tcW w:w="2551" w:type="dxa"/>
            <w:vAlign w:val="center"/>
          </w:tcPr>
          <w:p w:rsidR="006A2CE4" w:rsidRPr="00B013ED" w:rsidRDefault="006A2CE4" w:rsidP="00DD0000">
            <w:pPr>
              <w:jc w:val="center"/>
              <w:rPr>
                <w:rFonts w:eastAsiaTheme="minorEastAsia"/>
                <w:szCs w:val="24"/>
                <w:lang w:eastAsia="zh-CN"/>
              </w:rPr>
            </w:pPr>
            <w:r w:rsidRPr="00B013ED">
              <w:rPr>
                <w:rFonts w:eastAsiaTheme="minorEastAsia"/>
                <w:szCs w:val="24"/>
                <w:lang w:eastAsia="zh-CN"/>
              </w:rPr>
              <w:t>0.015</w:t>
            </w:r>
          </w:p>
        </w:tc>
      </w:tr>
    </w:tbl>
    <w:p w:rsidR="00C11AD9" w:rsidRPr="00B013ED" w:rsidRDefault="00C11AD9" w:rsidP="00C11AD9">
      <w:pPr>
        <w:spacing w:after="120" w:line="480" w:lineRule="auto"/>
        <w:jc w:val="both"/>
        <w:rPr>
          <w:rFonts w:eastAsia="Times New Roman"/>
          <w:b/>
          <w:color w:val="000000"/>
          <w:lang w:eastAsia="en-GB"/>
        </w:rPr>
      </w:pPr>
    </w:p>
    <w:p w:rsidR="00C11AD9" w:rsidRPr="00B013ED" w:rsidRDefault="00C11AD9"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Cs/>
          <w:color w:val="000000"/>
          <w:vertAlign w:val="superscript"/>
          <w:lang w:eastAsia="en-GB"/>
        </w:rPr>
      </w:pPr>
    </w:p>
    <w:p w:rsidR="00964874" w:rsidRDefault="00964874" w:rsidP="00D60EA0">
      <w:pPr>
        <w:spacing w:after="120" w:line="480" w:lineRule="auto"/>
        <w:jc w:val="both"/>
        <w:rPr>
          <w:b/>
          <w:sz w:val="20"/>
          <w:szCs w:val="20"/>
        </w:rPr>
      </w:pPr>
      <w:bookmarkStart w:id="554" w:name="_Ref360523035"/>
    </w:p>
    <w:p w:rsidR="00AB5CB7" w:rsidRDefault="00AB5CB7" w:rsidP="007250AA">
      <w:pPr>
        <w:spacing w:after="120" w:line="480" w:lineRule="auto"/>
        <w:jc w:val="both"/>
        <w:rPr>
          <w:b/>
          <w:sz w:val="20"/>
          <w:szCs w:val="20"/>
        </w:rPr>
      </w:pPr>
    </w:p>
    <w:p w:rsidR="00DD0000" w:rsidRDefault="00DD0000" w:rsidP="007250AA">
      <w:pPr>
        <w:spacing w:after="120" w:line="480" w:lineRule="auto"/>
        <w:jc w:val="both"/>
        <w:rPr>
          <w:b/>
          <w:sz w:val="20"/>
          <w:szCs w:val="20"/>
        </w:rPr>
      </w:pPr>
    </w:p>
    <w:p w:rsidR="00DD0000" w:rsidRDefault="00DD0000" w:rsidP="007250AA">
      <w:pPr>
        <w:spacing w:after="120" w:line="480" w:lineRule="auto"/>
        <w:jc w:val="both"/>
        <w:rPr>
          <w:b/>
          <w:sz w:val="20"/>
          <w:szCs w:val="20"/>
        </w:rPr>
      </w:pPr>
    </w:p>
    <w:p w:rsidR="00DD0000" w:rsidRDefault="00DD0000" w:rsidP="007250AA">
      <w:pPr>
        <w:spacing w:after="120" w:line="480" w:lineRule="auto"/>
        <w:jc w:val="both"/>
        <w:rPr>
          <w:b/>
          <w:sz w:val="20"/>
          <w:szCs w:val="20"/>
        </w:rPr>
      </w:pPr>
    </w:p>
    <w:p w:rsidR="00DD0000" w:rsidRDefault="00DD0000" w:rsidP="007250AA">
      <w:pPr>
        <w:spacing w:after="120" w:line="480" w:lineRule="auto"/>
        <w:jc w:val="both"/>
        <w:rPr>
          <w:b/>
          <w:sz w:val="20"/>
          <w:szCs w:val="20"/>
        </w:rPr>
      </w:pPr>
    </w:p>
    <w:p w:rsidR="00EC38E2" w:rsidRPr="00B013ED" w:rsidRDefault="00C67C41" w:rsidP="00DD0000">
      <w:pPr>
        <w:spacing w:after="120" w:line="240" w:lineRule="auto"/>
        <w:jc w:val="both"/>
        <w:rPr>
          <w:rFonts w:eastAsia="Times New Roman"/>
          <w:b/>
          <w:color w:val="000000"/>
          <w:sz w:val="20"/>
          <w:szCs w:val="20"/>
          <w:lang w:eastAsia="en-GB"/>
        </w:rPr>
      </w:pPr>
      <w:bookmarkStart w:id="555" w:name="_Ref361726192"/>
      <w:bookmarkStart w:id="556" w:name="_Toc361733624"/>
      <w:bookmarkStart w:id="557" w:name="_Toc361734267"/>
      <w:r>
        <w:rPr>
          <w:b/>
          <w:sz w:val="20"/>
          <w:szCs w:val="20"/>
        </w:rPr>
        <w:t>Figure</w:t>
      </w:r>
      <w:r w:rsidR="007250AA" w:rsidRPr="001F2B80">
        <w:rPr>
          <w:b/>
          <w:sz w:val="20"/>
          <w:szCs w:val="20"/>
        </w:rPr>
        <w:t xml:space="preserve"> </w:t>
      </w:r>
      <w:r w:rsidR="00DF37B0">
        <w:rPr>
          <w:b/>
          <w:sz w:val="20"/>
          <w:szCs w:val="20"/>
        </w:rPr>
        <w:fldChar w:fldCharType="begin"/>
      </w:r>
      <w:r w:rsidR="00DF37B0">
        <w:rPr>
          <w:b/>
          <w:sz w:val="20"/>
          <w:szCs w:val="20"/>
        </w:rPr>
        <w:instrText xml:space="preserve"> STYLEREF 1 \s </w:instrText>
      </w:r>
      <w:r w:rsidR="00DF37B0">
        <w:rPr>
          <w:b/>
          <w:sz w:val="20"/>
          <w:szCs w:val="20"/>
        </w:rPr>
        <w:fldChar w:fldCharType="separate"/>
      </w:r>
      <w:r w:rsidR="00374B77">
        <w:rPr>
          <w:b/>
          <w:noProof/>
          <w:sz w:val="20"/>
          <w:szCs w:val="20"/>
          <w:cs/>
        </w:rPr>
        <w:t>‎</w:t>
      </w:r>
      <w:r w:rsidR="00374B77">
        <w:rPr>
          <w:b/>
          <w:noProof/>
          <w:sz w:val="20"/>
          <w:szCs w:val="20"/>
        </w:rPr>
        <w:t>3</w:t>
      </w:r>
      <w:r w:rsidR="00DF37B0">
        <w:rPr>
          <w:b/>
          <w:sz w:val="20"/>
          <w:szCs w:val="20"/>
        </w:rPr>
        <w:fldChar w:fldCharType="end"/>
      </w:r>
      <w:r w:rsidR="00DF37B0">
        <w:rPr>
          <w:b/>
          <w:sz w:val="20"/>
          <w:szCs w:val="20"/>
        </w:rPr>
        <w:t>.</w:t>
      </w:r>
      <w:r w:rsidR="00DF37B0">
        <w:rPr>
          <w:b/>
          <w:sz w:val="20"/>
          <w:szCs w:val="20"/>
        </w:rPr>
        <w:fldChar w:fldCharType="begin"/>
      </w:r>
      <w:r w:rsidR="00DF37B0">
        <w:rPr>
          <w:b/>
          <w:sz w:val="20"/>
          <w:szCs w:val="20"/>
        </w:rPr>
        <w:instrText xml:space="preserve"> SEQ Figure \* ARABIC \s 1 </w:instrText>
      </w:r>
      <w:r w:rsidR="00DF37B0">
        <w:rPr>
          <w:b/>
          <w:sz w:val="20"/>
          <w:szCs w:val="20"/>
        </w:rPr>
        <w:fldChar w:fldCharType="separate"/>
      </w:r>
      <w:proofErr w:type="gramStart"/>
      <w:r w:rsidR="00374B77">
        <w:rPr>
          <w:b/>
          <w:noProof/>
          <w:sz w:val="20"/>
          <w:szCs w:val="20"/>
        </w:rPr>
        <w:t>10</w:t>
      </w:r>
      <w:r w:rsidR="00DF37B0">
        <w:rPr>
          <w:b/>
          <w:sz w:val="20"/>
          <w:szCs w:val="20"/>
        </w:rPr>
        <w:fldChar w:fldCharType="end"/>
      </w:r>
      <w:bookmarkEnd w:id="554"/>
      <w:bookmarkEnd w:id="555"/>
      <w:r w:rsidR="007250AA">
        <w:rPr>
          <w:b/>
          <w:noProof/>
          <w:sz w:val="20"/>
          <w:szCs w:val="20"/>
        </w:rPr>
        <w:t xml:space="preserve"> </w:t>
      </w:r>
      <w:r w:rsidR="006A2CE4">
        <w:rPr>
          <w:rFonts w:eastAsia="Times New Roman"/>
          <w:b/>
          <w:color w:val="000000"/>
          <w:sz w:val="20"/>
          <w:szCs w:val="20"/>
          <w:lang w:eastAsia="en-GB"/>
        </w:rPr>
        <w:t>S</w:t>
      </w:r>
      <w:r w:rsidR="006A2CE4" w:rsidRPr="001F2B80">
        <w:rPr>
          <w:rFonts w:eastAsia="Times New Roman"/>
          <w:b/>
          <w:color w:val="000000"/>
          <w:sz w:val="20"/>
          <w:szCs w:val="20"/>
          <w:lang w:eastAsia="en-GB"/>
        </w:rPr>
        <w:t>tandard growth curve</w:t>
      </w:r>
      <w:proofErr w:type="gramEnd"/>
      <w:r w:rsidR="006A2CE4" w:rsidRPr="001F2B80">
        <w:rPr>
          <w:rFonts w:eastAsia="Times New Roman"/>
          <w:b/>
          <w:color w:val="000000"/>
          <w:sz w:val="20"/>
          <w:szCs w:val="20"/>
          <w:lang w:eastAsia="en-GB"/>
        </w:rPr>
        <w:t xml:space="preserve"> </w:t>
      </w:r>
      <w:r w:rsidR="006A2CE4" w:rsidRPr="001F2B80">
        <w:rPr>
          <w:rFonts w:eastAsia="Times New Roman"/>
          <w:b/>
          <w:iCs/>
          <w:color w:val="000000"/>
          <w:sz w:val="20"/>
          <w:szCs w:val="20"/>
          <w:lang w:eastAsia="en-GB"/>
        </w:rPr>
        <w:t>for</w:t>
      </w:r>
      <w:r w:rsidR="007250AA">
        <w:rPr>
          <w:b/>
          <w:noProof/>
          <w:sz w:val="20"/>
          <w:szCs w:val="20"/>
        </w:rPr>
        <w:t xml:space="preserve"> </w:t>
      </w:r>
      <w:r w:rsidR="00EC38E2" w:rsidRPr="00B013ED">
        <w:rPr>
          <w:rFonts w:eastAsia="Times New Roman"/>
          <w:b/>
          <w:i/>
          <w:iCs/>
          <w:color w:val="000000"/>
          <w:sz w:val="20"/>
          <w:szCs w:val="20"/>
          <w:lang w:eastAsia="en-GB"/>
        </w:rPr>
        <w:t xml:space="preserve">F.  </w:t>
      </w:r>
      <w:proofErr w:type="gramStart"/>
      <w:r w:rsidR="00EC38E2" w:rsidRPr="00B013ED">
        <w:rPr>
          <w:rFonts w:eastAsia="Times New Roman"/>
          <w:b/>
          <w:i/>
          <w:iCs/>
          <w:color w:val="000000"/>
          <w:sz w:val="20"/>
          <w:szCs w:val="20"/>
          <w:lang w:eastAsia="en-GB"/>
        </w:rPr>
        <w:t>nucleatum</w:t>
      </w:r>
      <w:proofErr w:type="gramEnd"/>
      <w:r w:rsidR="00EC38E2" w:rsidRPr="00B013ED">
        <w:rPr>
          <w:rFonts w:eastAsia="Times New Roman"/>
          <w:b/>
          <w:color w:val="000000"/>
          <w:sz w:val="20"/>
          <w:szCs w:val="20"/>
          <w:lang w:eastAsia="en-GB"/>
        </w:rPr>
        <w:t xml:space="preserve"> (ACTC 10953) OD450 against number of colony forming units (CFU/ml)</w:t>
      </w:r>
      <w:bookmarkEnd w:id="556"/>
      <w:bookmarkEnd w:id="557"/>
    </w:p>
    <w:p w:rsidR="00EC38E2" w:rsidRPr="00B013ED" w:rsidRDefault="00BF4BEF" w:rsidP="00EC38E2">
      <w:pPr>
        <w:spacing w:after="120" w:line="480" w:lineRule="auto"/>
        <w:jc w:val="both"/>
        <w:rPr>
          <w:rFonts w:eastAsia="Times New Roman"/>
          <w:bCs/>
          <w:color w:val="000000"/>
          <w:lang w:eastAsia="en-GB"/>
        </w:rPr>
      </w:pPr>
      <w:r w:rsidRPr="00B013ED">
        <w:rPr>
          <w:b/>
          <w:noProof/>
          <w:lang w:eastAsia="en-GB"/>
        </w:rPr>
        <w:drawing>
          <wp:anchor distT="0" distB="0" distL="114300" distR="114300" simplePos="0" relativeHeight="251724800" behindDoc="0" locked="0" layoutInCell="1" allowOverlap="1" wp14:anchorId="3D80456E" wp14:editId="7CF47389">
            <wp:simplePos x="0" y="0"/>
            <wp:positionH relativeFrom="column">
              <wp:posOffset>17145</wp:posOffset>
            </wp:positionH>
            <wp:positionV relativeFrom="paragraph">
              <wp:posOffset>13335</wp:posOffset>
            </wp:positionV>
            <wp:extent cx="4695825" cy="2524125"/>
            <wp:effectExtent l="0" t="0" r="9525" b="9525"/>
            <wp:wrapSquare wrapText="bothSides"/>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964874" w:rsidRDefault="00964874" w:rsidP="00FF0E3E">
      <w:pPr>
        <w:spacing w:after="0" w:line="240" w:lineRule="auto"/>
        <w:jc w:val="both"/>
        <w:rPr>
          <w:rFonts w:eastAsia="Times New Roman" w:cstheme="minorBidi"/>
          <w:color w:val="000000"/>
          <w:sz w:val="20"/>
          <w:szCs w:val="20"/>
        </w:rPr>
      </w:pPr>
    </w:p>
    <w:p w:rsidR="00DD0000" w:rsidRDefault="00DD0000" w:rsidP="00FF0E3E">
      <w:pPr>
        <w:spacing w:after="0" w:line="240" w:lineRule="auto"/>
        <w:jc w:val="both"/>
        <w:rPr>
          <w:rFonts w:eastAsia="Times New Roman" w:cstheme="minorBidi"/>
          <w:color w:val="000000"/>
          <w:sz w:val="20"/>
          <w:szCs w:val="20"/>
        </w:rPr>
      </w:pPr>
    </w:p>
    <w:p w:rsidR="00DD0000" w:rsidRDefault="00DD0000" w:rsidP="00FF0E3E">
      <w:pPr>
        <w:spacing w:after="0" w:line="240" w:lineRule="auto"/>
        <w:jc w:val="both"/>
        <w:rPr>
          <w:rFonts w:eastAsia="Times New Roman" w:cstheme="minorBidi"/>
          <w:color w:val="000000"/>
          <w:sz w:val="20"/>
          <w:szCs w:val="20"/>
        </w:rPr>
      </w:pPr>
    </w:p>
    <w:p w:rsidR="00DD0000" w:rsidRDefault="00DD0000" w:rsidP="00FF0E3E">
      <w:pPr>
        <w:spacing w:after="0" w:line="240" w:lineRule="auto"/>
        <w:jc w:val="both"/>
        <w:rPr>
          <w:rFonts w:eastAsia="Times New Roman" w:cstheme="minorBidi"/>
          <w:color w:val="000000"/>
          <w:sz w:val="20"/>
          <w:szCs w:val="20"/>
        </w:rPr>
      </w:pPr>
    </w:p>
    <w:p w:rsidR="00DD0000" w:rsidRDefault="00DD0000" w:rsidP="00FF0E3E">
      <w:pPr>
        <w:spacing w:after="0" w:line="240" w:lineRule="auto"/>
        <w:jc w:val="both"/>
        <w:rPr>
          <w:rFonts w:eastAsia="Times New Roman" w:cstheme="minorBidi"/>
          <w:color w:val="000000"/>
          <w:sz w:val="20"/>
          <w:szCs w:val="20"/>
        </w:rPr>
      </w:pPr>
    </w:p>
    <w:p w:rsidR="00DD0000" w:rsidRDefault="00DD0000" w:rsidP="00FF0E3E">
      <w:pPr>
        <w:spacing w:after="0" w:line="240" w:lineRule="auto"/>
        <w:jc w:val="both"/>
        <w:rPr>
          <w:rFonts w:eastAsia="Times New Roman" w:cstheme="minorBidi"/>
          <w:color w:val="000000"/>
          <w:sz w:val="20"/>
          <w:szCs w:val="20"/>
        </w:rPr>
      </w:pPr>
    </w:p>
    <w:p w:rsidR="00FF0E3E" w:rsidRPr="00B013ED" w:rsidRDefault="00FF0E3E" w:rsidP="00FF0E3E">
      <w:pPr>
        <w:spacing w:after="0" w:line="240" w:lineRule="auto"/>
        <w:jc w:val="both"/>
        <w:rPr>
          <w:rFonts w:eastAsia="Times New Roman" w:cstheme="minorBidi"/>
          <w:color w:val="000000"/>
          <w:sz w:val="20"/>
          <w:szCs w:val="20"/>
        </w:rPr>
      </w:pPr>
      <w:r w:rsidRPr="00B013ED">
        <w:rPr>
          <w:rFonts w:eastAsia="Times New Roman" w:cstheme="minorBidi"/>
          <w:color w:val="000000"/>
          <w:sz w:val="20"/>
          <w:szCs w:val="20"/>
        </w:rPr>
        <w:t>Colony forming units (CFU)</w:t>
      </w:r>
    </w:p>
    <w:p w:rsidR="00D97737" w:rsidRDefault="00FF0E3E" w:rsidP="00D97737">
      <w:pPr>
        <w:spacing w:after="0" w:line="240" w:lineRule="auto"/>
        <w:jc w:val="both"/>
        <w:rPr>
          <w:rFonts w:eastAsia="Times New Roman" w:cstheme="minorBidi"/>
          <w:color w:val="000000"/>
          <w:sz w:val="20"/>
          <w:szCs w:val="20"/>
        </w:rPr>
      </w:pPr>
      <w:r w:rsidRPr="00B013ED">
        <w:rPr>
          <w:rFonts w:eastAsia="Times New Roman" w:cstheme="minorBidi"/>
          <w:bCs/>
          <w:color w:val="000000"/>
          <w:sz w:val="20"/>
          <w:szCs w:val="20"/>
          <w:lang w:eastAsia="en-GB"/>
        </w:rPr>
        <w:t>Optical density</w:t>
      </w:r>
      <w:r w:rsidRPr="00B013ED">
        <w:rPr>
          <w:rFonts w:eastAsia="Times New Roman" w:cstheme="minorBidi"/>
          <w:bCs/>
          <w:color w:val="000000"/>
          <w:sz w:val="20"/>
          <w:szCs w:val="20"/>
          <w:vertAlign w:val="superscript"/>
          <w:lang w:eastAsia="en-GB"/>
        </w:rPr>
        <w:t xml:space="preserve"> </w:t>
      </w:r>
      <w:r w:rsidRPr="00B013ED">
        <w:rPr>
          <w:rFonts w:eastAsia="Times New Roman" w:cstheme="minorBidi"/>
          <w:bCs/>
          <w:color w:val="000000"/>
          <w:sz w:val="20"/>
          <w:szCs w:val="20"/>
          <w:lang w:eastAsia="en-GB"/>
        </w:rPr>
        <w:t>at a wavelength</w:t>
      </w:r>
      <w:r w:rsidRPr="00B013ED">
        <w:rPr>
          <w:rFonts w:eastAsia="Times New Roman" w:cstheme="minorBidi"/>
          <w:bCs/>
          <w:color w:val="000000"/>
          <w:sz w:val="20"/>
          <w:szCs w:val="20"/>
          <w:vertAlign w:val="superscript"/>
          <w:lang w:eastAsia="en-GB"/>
        </w:rPr>
        <w:t xml:space="preserve"> (</w:t>
      </w:r>
      <w:r w:rsidRPr="00B013ED">
        <w:rPr>
          <w:rFonts w:eastAsia="Times New Roman" w:cstheme="minorBidi"/>
          <w:bCs/>
          <w:color w:val="000000"/>
          <w:sz w:val="20"/>
          <w:szCs w:val="20"/>
          <w:lang w:eastAsia="en-GB"/>
        </w:rPr>
        <w:t>OD</w:t>
      </w:r>
      <w:r w:rsidRPr="00B013ED">
        <w:rPr>
          <w:rFonts w:eastAsia="Times New Roman" w:cstheme="minorBidi"/>
          <w:bCs/>
          <w:color w:val="000000"/>
          <w:sz w:val="20"/>
          <w:szCs w:val="20"/>
          <w:vertAlign w:val="subscript"/>
          <w:lang w:eastAsia="en-GB"/>
        </w:rPr>
        <w:t>450)</w:t>
      </w:r>
      <w:r w:rsidR="00D97737">
        <w:rPr>
          <w:rFonts w:eastAsia="Times New Roman" w:cstheme="minorBidi"/>
          <w:color w:val="000000"/>
          <w:sz w:val="20"/>
          <w:szCs w:val="20"/>
        </w:rPr>
        <w:br w:type="page"/>
      </w:r>
    </w:p>
    <w:p w:rsidR="00D005DA" w:rsidRPr="00DD0000" w:rsidRDefault="00EC38E2" w:rsidP="00DD0000">
      <w:pPr>
        <w:pStyle w:val="Heading4"/>
        <w:spacing w:line="480" w:lineRule="auto"/>
        <w:rPr>
          <w:lang w:eastAsia="en-GB"/>
        </w:rPr>
      </w:pPr>
      <w:r w:rsidRPr="00D005DA">
        <w:rPr>
          <w:i/>
          <w:iCs w:val="0"/>
          <w:lang w:eastAsia="en-GB"/>
        </w:rPr>
        <w:lastRenderedPageBreak/>
        <w:t>Actinomyces odontolyticus</w:t>
      </w:r>
      <w:r w:rsidR="00D005DA">
        <w:rPr>
          <w:lang w:eastAsia="en-GB"/>
        </w:rPr>
        <w:t xml:space="preserve"> (</w:t>
      </w:r>
      <w:r w:rsidR="00D005DA" w:rsidRPr="00D97737">
        <w:rPr>
          <w:rFonts w:eastAsia="Times New Roman"/>
          <w:bCs w:val="0"/>
          <w:i/>
          <w:color w:val="000000"/>
          <w:lang w:eastAsia="en-GB"/>
        </w:rPr>
        <w:t>A odontolyticus</w:t>
      </w:r>
      <w:r w:rsidR="00D005DA">
        <w:rPr>
          <w:lang w:eastAsia="en-GB"/>
        </w:rPr>
        <w:t>)</w:t>
      </w:r>
      <w:r w:rsidR="00D97737">
        <w:rPr>
          <w:lang w:eastAsia="en-GB"/>
        </w:rPr>
        <w:t xml:space="preserve"> </w:t>
      </w:r>
      <w:r w:rsidRPr="00B013ED">
        <w:rPr>
          <w:lang w:eastAsia="en-GB"/>
        </w:rPr>
        <w:t>(NCTC 9335)</w:t>
      </w:r>
    </w:p>
    <w:p w:rsidR="006A2CE4" w:rsidRPr="00390770" w:rsidRDefault="00FF0E3E" w:rsidP="00390770">
      <w:pPr>
        <w:pStyle w:val="table"/>
        <w:jc w:val="both"/>
        <w:rPr>
          <w:szCs w:val="24"/>
        </w:rPr>
      </w:pPr>
      <w:r w:rsidRPr="00390770">
        <w:rPr>
          <w:szCs w:val="24"/>
        </w:rPr>
        <w:t xml:space="preserve">The respective serial dilution, CFU and the associated optical OD540 are shown in </w:t>
      </w:r>
      <w:r w:rsidR="00964874" w:rsidRPr="00390770">
        <w:rPr>
          <w:szCs w:val="24"/>
        </w:rPr>
        <w:fldChar w:fldCharType="begin"/>
      </w:r>
      <w:r w:rsidR="00964874" w:rsidRPr="00390770">
        <w:rPr>
          <w:szCs w:val="24"/>
        </w:rPr>
        <w:instrText xml:space="preserve"> REF _Ref361090599 \h  \* MERGEFORMAT </w:instrText>
      </w:r>
      <w:r w:rsidR="00964874" w:rsidRPr="00390770">
        <w:rPr>
          <w:szCs w:val="24"/>
        </w:rPr>
      </w:r>
      <w:r w:rsidR="00964874" w:rsidRPr="00390770">
        <w:rPr>
          <w:szCs w:val="24"/>
        </w:rPr>
        <w:fldChar w:fldCharType="separate"/>
      </w:r>
      <w:r w:rsidR="00374B77" w:rsidRPr="00374B77">
        <w:rPr>
          <w:szCs w:val="24"/>
        </w:rPr>
        <w:t xml:space="preserve">Table </w:t>
      </w:r>
      <w:r w:rsidR="00374B77" w:rsidRPr="00374B77">
        <w:rPr>
          <w:szCs w:val="24"/>
          <w:cs/>
        </w:rPr>
        <w:t>‎</w:t>
      </w:r>
      <w:r w:rsidR="00374B77">
        <w:rPr>
          <w:b/>
          <w:noProof/>
          <w:sz w:val="20"/>
          <w:szCs w:val="20"/>
        </w:rPr>
        <w:t>3.8</w:t>
      </w:r>
      <w:r w:rsidR="00964874" w:rsidRPr="00390770">
        <w:rPr>
          <w:szCs w:val="24"/>
        </w:rPr>
        <w:fldChar w:fldCharType="end"/>
      </w:r>
      <w:r w:rsidR="00964874" w:rsidRPr="00390770">
        <w:rPr>
          <w:szCs w:val="24"/>
        </w:rPr>
        <w:t xml:space="preserve"> </w:t>
      </w:r>
      <w:r w:rsidRPr="00390770">
        <w:rPr>
          <w:szCs w:val="24"/>
        </w:rPr>
        <w:t xml:space="preserve">and </w:t>
      </w:r>
      <w:r w:rsidR="00FF0D73" w:rsidRPr="00390770">
        <w:rPr>
          <w:szCs w:val="24"/>
        </w:rPr>
        <w:t xml:space="preserve">the </w:t>
      </w:r>
      <w:r w:rsidRPr="00390770">
        <w:rPr>
          <w:szCs w:val="24"/>
        </w:rPr>
        <w:t xml:space="preserve">standard growth curve for this bacterium </w:t>
      </w:r>
      <w:r w:rsidR="00FF0D73" w:rsidRPr="00390770">
        <w:rPr>
          <w:szCs w:val="24"/>
        </w:rPr>
        <w:t xml:space="preserve">is </w:t>
      </w:r>
      <w:r w:rsidRPr="00390770">
        <w:rPr>
          <w:szCs w:val="24"/>
        </w:rPr>
        <w:t xml:space="preserve">shown in </w:t>
      </w:r>
      <w:r w:rsidR="00390770" w:rsidRPr="00390770">
        <w:rPr>
          <w:szCs w:val="24"/>
        </w:rPr>
        <w:fldChar w:fldCharType="begin"/>
      </w:r>
      <w:r w:rsidR="00390770" w:rsidRPr="00390770">
        <w:rPr>
          <w:szCs w:val="24"/>
        </w:rPr>
        <w:instrText xml:space="preserve"> PRINT  \* MERGEFORMAT </w:instrText>
      </w:r>
      <w:r w:rsidR="00390770" w:rsidRPr="00390770">
        <w:rPr>
          <w:szCs w:val="24"/>
        </w:rPr>
        <w:fldChar w:fldCharType="end"/>
      </w:r>
      <w:r w:rsidR="00390770" w:rsidRPr="00390770">
        <w:rPr>
          <w:szCs w:val="24"/>
        </w:rPr>
        <w:fldChar w:fldCharType="begin"/>
      </w:r>
      <w:r w:rsidR="00390770" w:rsidRPr="00390770">
        <w:rPr>
          <w:szCs w:val="24"/>
        </w:rPr>
        <w:instrText xml:space="preserve"> REF _Ref361726949 \h  \* MERGEFORMAT </w:instrText>
      </w:r>
      <w:r w:rsidR="00390770" w:rsidRPr="00390770">
        <w:rPr>
          <w:szCs w:val="24"/>
        </w:rPr>
      </w:r>
      <w:r w:rsidR="00390770" w:rsidRPr="00390770">
        <w:rPr>
          <w:szCs w:val="24"/>
        </w:rPr>
        <w:fldChar w:fldCharType="separate"/>
      </w:r>
      <w:r w:rsidR="00374B77" w:rsidRPr="00374B77">
        <w:rPr>
          <w:szCs w:val="24"/>
        </w:rPr>
        <w:t xml:space="preserve">Figure </w:t>
      </w:r>
      <w:r w:rsidR="00374B77" w:rsidRPr="00374B77">
        <w:rPr>
          <w:szCs w:val="24"/>
          <w:cs/>
        </w:rPr>
        <w:t>‎</w:t>
      </w:r>
      <w:r w:rsidR="00374B77">
        <w:rPr>
          <w:rFonts w:cstheme="minorBidi"/>
          <w:b/>
          <w:noProof/>
          <w:sz w:val="20"/>
          <w:szCs w:val="20"/>
        </w:rPr>
        <w:t>3.11</w:t>
      </w:r>
      <w:r w:rsidR="00390770" w:rsidRPr="00390770">
        <w:rPr>
          <w:szCs w:val="24"/>
        </w:rPr>
        <w:fldChar w:fldCharType="end"/>
      </w:r>
      <w:r w:rsidR="00D00DE3" w:rsidRPr="00390770">
        <w:rPr>
          <w:szCs w:val="24"/>
        </w:rPr>
        <w:t xml:space="preserve"> </w:t>
      </w:r>
      <w:r w:rsidRPr="00390770">
        <w:rPr>
          <w:szCs w:val="24"/>
        </w:rPr>
        <w:t xml:space="preserve">for </w:t>
      </w:r>
      <w:proofErr w:type="gramStart"/>
      <w:r w:rsidRPr="00390770">
        <w:rPr>
          <w:szCs w:val="24"/>
        </w:rPr>
        <w:t>A</w:t>
      </w:r>
      <w:proofErr w:type="gramEnd"/>
      <w:r w:rsidRPr="00390770">
        <w:rPr>
          <w:szCs w:val="24"/>
        </w:rPr>
        <w:t xml:space="preserve"> odontolyticus.</w:t>
      </w:r>
    </w:p>
    <w:p w:rsidR="00964874" w:rsidRPr="00DD0000" w:rsidRDefault="00964874" w:rsidP="00DD0000">
      <w:pPr>
        <w:spacing w:after="120" w:line="480" w:lineRule="auto"/>
        <w:jc w:val="both"/>
        <w:rPr>
          <w:rFonts w:cstheme="minorBidi"/>
          <w:b/>
          <w:bCs/>
          <w:sz w:val="20"/>
          <w:szCs w:val="20"/>
        </w:rPr>
      </w:pPr>
      <w:bookmarkStart w:id="558" w:name="_Ref361090599"/>
      <w:bookmarkStart w:id="559" w:name="_Toc370511744"/>
      <w:proofErr w:type="gramStart"/>
      <w:r w:rsidRPr="00964874">
        <w:rPr>
          <w:b/>
          <w:sz w:val="20"/>
          <w:szCs w:val="20"/>
        </w:rPr>
        <w:t xml:space="preserve">Table </w:t>
      </w:r>
      <w:r w:rsidR="00E7089D">
        <w:rPr>
          <w:b/>
          <w:sz w:val="20"/>
          <w:szCs w:val="20"/>
        </w:rPr>
        <w:fldChar w:fldCharType="begin"/>
      </w:r>
      <w:r w:rsidR="00E7089D">
        <w:rPr>
          <w:b/>
          <w:sz w:val="20"/>
          <w:szCs w:val="20"/>
        </w:rPr>
        <w:instrText xml:space="preserve"> STYLEREF 1 \s </w:instrText>
      </w:r>
      <w:r w:rsidR="00E7089D">
        <w:rPr>
          <w:b/>
          <w:sz w:val="20"/>
          <w:szCs w:val="20"/>
        </w:rPr>
        <w:fldChar w:fldCharType="separate"/>
      </w:r>
      <w:r w:rsidR="00374B77">
        <w:rPr>
          <w:b/>
          <w:noProof/>
          <w:sz w:val="20"/>
          <w:szCs w:val="20"/>
          <w:cs/>
        </w:rPr>
        <w:t>‎</w:t>
      </w:r>
      <w:r w:rsidR="00374B77">
        <w:rPr>
          <w:b/>
          <w:noProof/>
          <w:sz w:val="20"/>
          <w:szCs w:val="20"/>
        </w:rPr>
        <w:t>3</w:t>
      </w:r>
      <w:r w:rsidR="00E7089D">
        <w:rPr>
          <w:b/>
          <w:sz w:val="20"/>
          <w:szCs w:val="20"/>
        </w:rPr>
        <w:fldChar w:fldCharType="end"/>
      </w:r>
      <w:r w:rsidR="00E7089D">
        <w:rPr>
          <w:b/>
          <w:sz w:val="20"/>
          <w:szCs w:val="20"/>
        </w:rPr>
        <w:t>.</w:t>
      </w:r>
      <w:proofErr w:type="gramEnd"/>
      <w:r w:rsidR="00E7089D">
        <w:rPr>
          <w:b/>
          <w:sz w:val="20"/>
          <w:szCs w:val="20"/>
        </w:rPr>
        <w:fldChar w:fldCharType="begin"/>
      </w:r>
      <w:r w:rsidR="00E7089D">
        <w:rPr>
          <w:b/>
          <w:sz w:val="20"/>
          <w:szCs w:val="20"/>
        </w:rPr>
        <w:instrText xml:space="preserve"> SEQ Table \* ARABIC \s 1 </w:instrText>
      </w:r>
      <w:r w:rsidR="00E7089D">
        <w:rPr>
          <w:b/>
          <w:sz w:val="20"/>
          <w:szCs w:val="20"/>
        </w:rPr>
        <w:fldChar w:fldCharType="separate"/>
      </w:r>
      <w:r w:rsidR="00374B77">
        <w:rPr>
          <w:b/>
          <w:noProof/>
          <w:sz w:val="20"/>
          <w:szCs w:val="20"/>
        </w:rPr>
        <w:t>8</w:t>
      </w:r>
      <w:r w:rsidR="00E7089D">
        <w:rPr>
          <w:b/>
          <w:sz w:val="20"/>
          <w:szCs w:val="20"/>
        </w:rPr>
        <w:fldChar w:fldCharType="end"/>
      </w:r>
      <w:bookmarkEnd w:id="558"/>
      <w:r w:rsidRPr="00964874">
        <w:rPr>
          <w:rFonts w:eastAsia="Times New Roman" w:cstheme="minorBidi"/>
          <w:b/>
          <w:bCs/>
          <w:color w:val="000000"/>
          <w:sz w:val="20"/>
          <w:szCs w:val="20"/>
          <w:lang w:eastAsia="en-GB"/>
        </w:rPr>
        <w:t xml:space="preserve"> Shows </w:t>
      </w:r>
      <w:r w:rsidRPr="00964874">
        <w:rPr>
          <w:rFonts w:eastAsia="Times New Roman" w:cstheme="minorBidi"/>
          <w:b/>
          <w:bCs/>
          <w:i/>
          <w:iCs/>
          <w:color w:val="000000"/>
          <w:sz w:val="20"/>
          <w:szCs w:val="20"/>
          <w:lang w:eastAsia="en-GB"/>
        </w:rPr>
        <w:t>A. odontolyticus</w:t>
      </w:r>
      <w:r w:rsidRPr="00964874">
        <w:rPr>
          <w:rFonts w:eastAsia="Times New Roman" w:cstheme="minorBidi"/>
          <w:b/>
          <w:bCs/>
          <w:color w:val="000000"/>
          <w:sz w:val="20"/>
          <w:szCs w:val="20"/>
          <w:lang w:eastAsia="en-GB"/>
        </w:rPr>
        <w:t xml:space="preserve"> (NCTC 9335) </w:t>
      </w:r>
      <w:r w:rsidRPr="00964874">
        <w:rPr>
          <w:rFonts w:cstheme="minorBidi"/>
          <w:b/>
          <w:bCs/>
          <w:sz w:val="20"/>
          <w:szCs w:val="20"/>
          <w:lang w:eastAsia="en-GB"/>
        </w:rPr>
        <w:t>measured by OD</w:t>
      </w:r>
      <w:r w:rsidRPr="00964874">
        <w:rPr>
          <w:rFonts w:cstheme="minorBidi"/>
          <w:b/>
          <w:bCs/>
          <w:sz w:val="20"/>
          <w:szCs w:val="20"/>
          <w:vertAlign w:val="subscript"/>
          <w:lang w:eastAsia="en-GB"/>
        </w:rPr>
        <w:t>450</w:t>
      </w:r>
      <w:r w:rsidRPr="00964874">
        <w:rPr>
          <w:rFonts w:cstheme="minorBidi"/>
          <w:b/>
          <w:bCs/>
          <w:sz w:val="20"/>
          <w:szCs w:val="20"/>
          <w:lang w:eastAsia="en-GB"/>
        </w:rPr>
        <w:t xml:space="preserve"> against (CFU/ml)</w:t>
      </w:r>
      <w:r w:rsidRPr="00964874">
        <w:rPr>
          <w:rFonts w:cstheme="minorBidi"/>
          <w:b/>
          <w:bCs/>
          <w:sz w:val="20"/>
          <w:szCs w:val="20"/>
        </w:rPr>
        <w:t>.</w:t>
      </w:r>
      <w:bookmarkEnd w:id="559"/>
    </w:p>
    <w:tbl>
      <w:tblPr>
        <w:tblStyle w:val="TableGrid1"/>
        <w:tblpPr w:leftFromText="180" w:rightFromText="180" w:vertAnchor="text" w:horzAnchor="page" w:tblpX="2608" w:tblpY="4"/>
        <w:tblW w:w="7653" w:type="dxa"/>
        <w:tblLook w:val="04A0" w:firstRow="1" w:lastRow="0" w:firstColumn="1" w:lastColumn="0" w:noHBand="0" w:noVBand="1"/>
      </w:tblPr>
      <w:tblGrid>
        <w:gridCol w:w="2551"/>
        <w:gridCol w:w="2551"/>
        <w:gridCol w:w="2551"/>
      </w:tblGrid>
      <w:tr w:rsidR="00FF0E3E" w:rsidRPr="00B013ED" w:rsidTr="00DD0000">
        <w:trPr>
          <w:trHeight w:val="567"/>
        </w:trPr>
        <w:tc>
          <w:tcPr>
            <w:tcW w:w="2551" w:type="dxa"/>
            <w:shd w:val="clear" w:color="auto" w:fill="17365D" w:themeFill="text2" w:themeFillShade="BF"/>
            <w:vAlign w:val="center"/>
          </w:tcPr>
          <w:p w:rsidR="00FF0E3E" w:rsidRPr="00B013ED" w:rsidRDefault="00FF0E3E" w:rsidP="007E37A2">
            <w:pPr>
              <w:jc w:val="center"/>
              <w:rPr>
                <w:b/>
                <w:bCs/>
                <w:szCs w:val="24"/>
              </w:rPr>
            </w:pPr>
            <w:r w:rsidRPr="00B013ED">
              <w:rPr>
                <w:b/>
                <w:bCs/>
                <w:szCs w:val="24"/>
              </w:rPr>
              <w:t>Dilution</w:t>
            </w:r>
          </w:p>
        </w:tc>
        <w:tc>
          <w:tcPr>
            <w:tcW w:w="2551" w:type="dxa"/>
            <w:shd w:val="clear" w:color="auto" w:fill="17365D" w:themeFill="text2" w:themeFillShade="BF"/>
            <w:vAlign w:val="center"/>
          </w:tcPr>
          <w:p w:rsidR="00FF0E3E" w:rsidRPr="00B013ED" w:rsidRDefault="00FF0E3E" w:rsidP="007E37A2">
            <w:pPr>
              <w:jc w:val="center"/>
              <w:rPr>
                <w:b/>
                <w:bCs/>
                <w:szCs w:val="24"/>
              </w:rPr>
            </w:pPr>
            <w:r w:rsidRPr="00B013ED">
              <w:rPr>
                <w:b/>
                <w:bCs/>
                <w:szCs w:val="24"/>
              </w:rPr>
              <w:t>CFU ml</w:t>
            </w:r>
            <w:r w:rsidRPr="00B013ED">
              <w:rPr>
                <w:b/>
                <w:bCs/>
                <w:szCs w:val="24"/>
                <w:vertAlign w:val="subscript"/>
              </w:rPr>
              <w:t>-1</w:t>
            </w:r>
          </w:p>
        </w:tc>
        <w:tc>
          <w:tcPr>
            <w:tcW w:w="2551" w:type="dxa"/>
            <w:shd w:val="clear" w:color="auto" w:fill="17365D" w:themeFill="text2" w:themeFillShade="BF"/>
            <w:vAlign w:val="center"/>
          </w:tcPr>
          <w:p w:rsidR="00FF0E3E" w:rsidRPr="00B013ED" w:rsidRDefault="00FF0E3E" w:rsidP="007E37A2">
            <w:pPr>
              <w:jc w:val="center"/>
              <w:rPr>
                <w:b/>
                <w:bCs/>
                <w:szCs w:val="24"/>
              </w:rPr>
            </w:pPr>
            <w:r w:rsidRPr="00B013ED">
              <w:rPr>
                <w:b/>
                <w:bCs/>
                <w:szCs w:val="24"/>
              </w:rPr>
              <w:t>AO OD</w:t>
            </w:r>
            <w:r w:rsidRPr="00B013ED">
              <w:rPr>
                <w:b/>
                <w:bCs/>
                <w:szCs w:val="24"/>
                <w:vertAlign w:val="subscript"/>
              </w:rPr>
              <w:t>540</w:t>
            </w:r>
          </w:p>
        </w:tc>
      </w:tr>
      <w:tr w:rsidR="00FF0E3E" w:rsidRPr="00B013ED" w:rsidTr="00DD0000">
        <w:trPr>
          <w:trHeight w:val="567"/>
        </w:trPr>
        <w:tc>
          <w:tcPr>
            <w:tcW w:w="2551" w:type="dxa"/>
            <w:shd w:val="clear" w:color="auto" w:fill="FDE9D9" w:themeFill="accent6" w:themeFillTint="33"/>
            <w:vAlign w:val="center"/>
          </w:tcPr>
          <w:p w:rsidR="00FF0E3E" w:rsidRPr="00B013ED" w:rsidRDefault="00FF0E3E" w:rsidP="007E37A2">
            <w:pPr>
              <w:spacing w:after="120"/>
              <w:jc w:val="center"/>
              <w:rPr>
                <w:color w:val="000000"/>
                <w:szCs w:val="24"/>
              </w:rPr>
            </w:pPr>
            <w:r w:rsidRPr="00B013ED">
              <w:rPr>
                <w:color w:val="000000"/>
                <w:szCs w:val="24"/>
              </w:rPr>
              <w:t>1:2</w:t>
            </w:r>
          </w:p>
        </w:tc>
        <w:tc>
          <w:tcPr>
            <w:tcW w:w="2551" w:type="dxa"/>
            <w:vAlign w:val="center"/>
          </w:tcPr>
          <w:p w:rsidR="00FF0E3E" w:rsidRPr="00B013ED" w:rsidRDefault="00FF0E3E" w:rsidP="007E37A2">
            <w:pPr>
              <w:jc w:val="center"/>
              <w:rPr>
                <w:szCs w:val="24"/>
              </w:rPr>
            </w:pPr>
            <w:r w:rsidRPr="00B013ED">
              <w:rPr>
                <w:szCs w:val="24"/>
              </w:rPr>
              <w:t>1.60E+05</w:t>
            </w:r>
          </w:p>
        </w:tc>
        <w:tc>
          <w:tcPr>
            <w:tcW w:w="2551" w:type="dxa"/>
            <w:vAlign w:val="center"/>
          </w:tcPr>
          <w:p w:rsidR="00FF0E3E" w:rsidRPr="00B013ED" w:rsidRDefault="00FF0E3E" w:rsidP="007E37A2">
            <w:pPr>
              <w:jc w:val="center"/>
              <w:rPr>
                <w:szCs w:val="24"/>
              </w:rPr>
            </w:pPr>
            <w:r w:rsidRPr="00B013ED">
              <w:rPr>
                <w:szCs w:val="24"/>
              </w:rPr>
              <w:t>0.758</w:t>
            </w:r>
          </w:p>
        </w:tc>
      </w:tr>
      <w:tr w:rsidR="00FF0E3E" w:rsidRPr="00B013ED" w:rsidTr="00DD0000">
        <w:trPr>
          <w:trHeight w:val="567"/>
        </w:trPr>
        <w:tc>
          <w:tcPr>
            <w:tcW w:w="2551" w:type="dxa"/>
            <w:shd w:val="clear" w:color="auto" w:fill="FDE9D9" w:themeFill="accent6" w:themeFillTint="33"/>
            <w:vAlign w:val="center"/>
          </w:tcPr>
          <w:p w:rsidR="00FF0E3E" w:rsidRPr="00B013ED" w:rsidRDefault="00FF0E3E" w:rsidP="007E37A2">
            <w:pPr>
              <w:spacing w:after="120"/>
              <w:jc w:val="center"/>
              <w:rPr>
                <w:color w:val="000000"/>
                <w:szCs w:val="24"/>
              </w:rPr>
            </w:pPr>
            <w:r w:rsidRPr="00B013ED">
              <w:rPr>
                <w:color w:val="000000"/>
                <w:szCs w:val="24"/>
              </w:rPr>
              <w:t>1:4</w:t>
            </w:r>
          </w:p>
        </w:tc>
        <w:tc>
          <w:tcPr>
            <w:tcW w:w="2551" w:type="dxa"/>
            <w:vAlign w:val="center"/>
          </w:tcPr>
          <w:p w:rsidR="00FF0E3E" w:rsidRPr="00B013ED" w:rsidRDefault="00FF0E3E" w:rsidP="007E37A2">
            <w:pPr>
              <w:jc w:val="center"/>
              <w:rPr>
                <w:szCs w:val="24"/>
              </w:rPr>
            </w:pPr>
            <w:r w:rsidRPr="00B013ED">
              <w:rPr>
                <w:szCs w:val="24"/>
              </w:rPr>
              <w:t>8.00E+04</w:t>
            </w:r>
          </w:p>
        </w:tc>
        <w:tc>
          <w:tcPr>
            <w:tcW w:w="2551" w:type="dxa"/>
            <w:vAlign w:val="center"/>
          </w:tcPr>
          <w:p w:rsidR="00FF0E3E" w:rsidRPr="00B013ED" w:rsidRDefault="00FF0E3E" w:rsidP="007E37A2">
            <w:pPr>
              <w:jc w:val="center"/>
              <w:rPr>
                <w:szCs w:val="24"/>
              </w:rPr>
            </w:pPr>
            <w:r w:rsidRPr="00B013ED">
              <w:rPr>
                <w:szCs w:val="24"/>
              </w:rPr>
              <w:t>0.398</w:t>
            </w:r>
          </w:p>
        </w:tc>
      </w:tr>
      <w:tr w:rsidR="00FF0E3E" w:rsidRPr="00B013ED" w:rsidTr="00DD0000">
        <w:trPr>
          <w:trHeight w:val="567"/>
        </w:trPr>
        <w:tc>
          <w:tcPr>
            <w:tcW w:w="2551" w:type="dxa"/>
            <w:shd w:val="clear" w:color="auto" w:fill="FDE9D9" w:themeFill="accent6" w:themeFillTint="33"/>
            <w:vAlign w:val="center"/>
          </w:tcPr>
          <w:p w:rsidR="00FF0E3E" w:rsidRPr="00B013ED" w:rsidRDefault="00FF0E3E" w:rsidP="007E37A2">
            <w:pPr>
              <w:spacing w:after="120"/>
              <w:jc w:val="center"/>
              <w:rPr>
                <w:color w:val="000000"/>
                <w:szCs w:val="24"/>
              </w:rPr>
            </w:pPr>
            <w:r w:rsidRPr="00B013ED">
              <w:rPr>
                <w:color w:val="000000"/>
                <w:szCs w:val="24"/>
              </w:rPr>
              <w:t>1:8</w:t>
            </w:r>
          </w:p>
        </w:tc>
        <w:tc>
          <w:tcPr>
            <w:tcW w:w="2551" w:type="dxa"/>
            <w:vAlign w:val="center"/>
          </w:tcPr>
          <w:p w:rsidR="00FF0E3E" w:rsidRPr="00B013ED" w:rsidRDefault="00FF0E3E" w:rsidP="007E37A2">
            <w:pPr>
              <w:jc w:val="center"/>
              <w:rPr>
                <w:szCs w:val="24"/>
              </w:rPr>
            </w:pPr>
            <w:r w:rsidRPr="00B013ED">
              <w:rPr>
                <w:szCs w:val="24"/>
              </w:rPr>
              <w:t>4.00E+04</w:t>
            </w:r>
          </w:p>
        </w:tc>
        <w:tc>
          <w:tcPr>
            <w:tcW w:w="2551" w:type="dxa"/>
            <w:vAlign w:val="center"/>
          </w:tcPr>
          <w:p w:rsidR="00FF0E3E" w:rsidRPr="00B013ED" w:rsidRDefault="00FF0E3E" w:rsidP="007E37A2">
            <w:pPr>
              <w:jc w:val="center"/>
              <w:rPr>
                <w:szCs w:val="24"/>
              </w:rPr>
            </w:pPr>
            <w:r w:rsidRPr="00B013ED">
              <w:rPr>
                <w:szCs w:val="24"/>
              </w:rPr>
              <w:t>0.194</w:t>
            </w:r>
          </w:p>
        </w:tc>
      </w:tr>
      <w:tr w:rsidR="00FF0E3E" w:rsidRPr="00B013ED" w:rsidTr="00DD0000">
        <w:trPr>
          <w:trHeight w:val="567"/>
        </w:trPr>
        <w:tc>
          <w:tcPr>
            <w:tcW w:w="2551" w:type="dxa"/>
            <w:shd w:val="clear" w:color="auto" w:fill="FDE9D9" w:themeFill="accent6" w:themeFillTint="33"/>
            <w:vAlign w:val="center"/>
          </w:tcPr>
          <w:p w:rsidR="00FF0E3E" w:rsidRPr="00B013ED" w:rsidRDefault="00FF0E3E" w:rsidP="007E37A2">
            <w:pPr>
              <w:spacing w:after="120"/>
              <w:jc w:val="center"/>
              <w:rPr>
                <w:color w:val="000000"/>
                <w:szCs w:val="24"/>
              </w:rPr>
            </w:pPr>
            <w:r w:rsidRPr="00B013ED">
              <w:rPr>
                <w:color w:val="000000"/>
                <w:szCs w:val="24"/>
              </w:rPr>
              <w:t>1:16</w:t>
            </w:r>
          </w:p>
        </w:tc>
        <w:tc>
          <w:tcPr>
            <w:tcW w:w="2551" w:type="dxa"/>
            <w:vAlign w:val="center"/>
          </w:tcPr>
          <w:p w:rsidR="00FF0E3E" w:rsidRPr="00B013ED" w:rsidRDefault="00FF0E3E" w:rsidP="007E37A2">
            <w:pPr>
              <w:jc w:val="center"/>
              <w:rPr>
                <w:szCs w:val="24"/>
              </w:rPr>
            </w:pPr>
            <w:r w:rsidRPr="00B013ED">
              <w:rPr>
                <w:szCs w:val="24"/>
              </w:rPr>
              <w:t>2.00E+04</w:t>
            </w:r>
          </w:p>
        </w:tc>
        <w:tc>
          <w:tcPr>
            <w:tcW w:w="2551" w:type="dxa"/>
            <w:vAlign w:val="center"/>
          </w:tcPr>
          <w:p w:rsidR="00FF0E3E" w:rsidRPr="00B013ED" w:rsidRDefault="00FF0E3E" w:rsidP="007E37A2">
            <w:pPr>
              <w:jc w:val="center"/>
              <w:rPr>
                <w:szCs w:val="24"/>
              </w:rPr>
            </w:pPr>
            <w:r w:rsidRPr="00B013ED">
              <w:rPr>
                <w:szCs w:val="24"/>
              </w:rPr>
              <w:t>0.095</w:t>
            </w:r>
          </w:p>
        </w:tc>
      </w:tr>
      <w:tr w:rsidR="00FF0E3E" w:rsidRPr="00B013ED" w:rsidTr="00DD0000">
        <w:trPr>
          <w:trHeight w:val="567"/>
        </w:trPr>
        <w:tc>
          <w:tcPr>
            <w:tcW w:w="2551" w:type="dxa"/>
            <w:shd w:val="clear" w:color="auto" w:fill="FDE9D9" w:themeFill="accent6" w:themeFillTint="33"/>
            <w:vAlign w:val="center"/>
          </w:tcPr>
          <w:p w:rsidR="00FF0E3E" w:rsidRPr="00B013ED" w:rsidRDefault="00FF0E3E" w:rsidP="007E37A2">
            <w:pPr>
              <w:spacing w:after="120"/>
              <w:jc w:val="center"/>
              <w:rPr>
                <w:color w:val="000000"/>
                <w:szCs w:val="24"/>
              </w:rPr>
            </w:pPr>
            <w:r w:rsidRPr="00B013ED">
              <w:rPr>
                <w:color w:val="000000"/>
                <w:szCs w:val="24"/>
              </w:rPr>
              <w:t>1.32</w:t>
            </w:r>
          </w:p>
        </w:tc>
        <w:tc>
          <w:tcPr>
            <w:tcW w:w="2551" w:type="dxa"/>
            <w:vAlign w:val="center"/>
          </w:tcPr>
          <w:p w:rsidR="00FF0E3E" w:rsidRPr="00B013ED" w:rsidRDefault="00FF0E3E" w:rsidP="007E37A2">
            <w:pPr>
              <w:jc w:val="center"/>
              <w:rPr>
                <w:szCs w:val="24"/>
              </w:rPr>
            </w:pPr>
            <w:r w:rsidRPr="00B013ED">
              <w:rPr>
                <w:szCs w:val="24"/>
              </w:rPr>
              <w:t>1.00E+04</w:t>
            </w:r>
          </w:p>
        </w:tc>
        <w:tc>
          <w:tcPr>
            <w:tcW w:w="2551" w:type="dxa"/>
            <w:vAlign w:val="center"/>
          </w:tcPr>
          <w:p w:rsidR="00FF0E3E" w:rsidRPr="00B013ED" w:rsidRDefault="00FF0E3E" w:rsidP="007E37A2">
            <w:pPr>
              <w:jc w:val="center"/>
              <w:rPr>
                <w:szCs w:val="24"/>
              </w:rPr>
            </w:pPr>
            <w:r w:rsidRPr="00B013ED">
              <w:rPr>
                <w:szCs w:val="24"/>
              </w:rPr>
              <w:t>0.048</w:t>
            </w:r>
          </w:p>
        </w:tc>
      </w:tr>
      <w:tr w:rsidR="00FF0E3E" w:rsidRPr="00B013ED" w:rsidTr="00DD0000">
        <w:trPr>
          <w:trHeight w:val="567"/>
        </w:trPr>
        <w:tc>
          <w:tcPr>
            <w:tcW w:w="2551" w:type="dxa"/>
            <w:shd w:val="clear" w:color="auto" w:fill="FDE9D9" w:themeFill="accent6" w:themeFillTint="33"/>
            <w:vAlign w:val="center"/>
          </w:tcPr>
          <w:p w:rsidR="00FF0E3E" w:rsidRPr="00B013ED" w:rsidRDefault="00FF0E3E" w:rsidP="007E37A2">
            <w:pPr>
              <w:spacing w:after="120"/>
              <w:jc w:val="center"/>
              <w:rPr>
                <w:color w:val="000000"/>
                <w:szCs w:val="24"/>
              </w:rPr>
            </w:pPr>
            <w:r w:rsidRPr="00B013ED">
              <w:rPr>
                <w:color w:val="000000"/>
                <w:szCs w:val="24"/>
              </w:rPr>
              <w:t>1.64</w:t>
            </w:r>
          </w:p>
        </w:tc>
        <w:tc>
          <w:tcPr>
            <w:tcW w:w="2551" w:type="dxa"/>
            <w:vAlign w:val="center"/>
          </w:tcPr>
          <w:p w:rsidR="00FF0E3E" w:rsidRPr="00B013ED" w:rsidRDefault="00FF0E3E" w:rsidP="007E37A2">
            <w:pPr>
              <w:jc w:val="center"/>
              <w:rPr>
                <w:szCs w:val="24"/>
              </w:rPr>
            </w:pPr>
            <w:r w:rsidRPr="00B013ED">
              <w:rPr>
                <w:szCs w:val="24"/>
              </w:rPr>
              <w:t>5.00E+03</w:t>
            </w:r>
          </w:p>
        </w:tc>
        <w:tc>
          <w:tcPr>
            <w:tcW w:w="2551" w:type="dxa"/>
            <w:vAlign w:val="center"/>
          </w:tcPr>
          <w:p w:rsidR="00FF0E3E" w:rsidRPr="00B013ED" w:rsidRDefault="00FF0E3E" w:rsidP="007E37A2">
            <w:pPr>
              <w:jc w:val="center"/>
              <w:rPr>
                <w:szCs w:val="24"/>
              </w:rPr>
            </w:pPr>
            <w:r w:rsidRPr="00B013ED">
              <w:rPr>
                <w:szCs w:val="24"/>
              </w:rPr>
              <w:t>0.011</w:t>
            </w:r>
          </w:p>
        </w:tc>
      </w:tr>
    </w:tbl>
    <w:p w:rsidR="00DD0000" w:rsidRDefault="00DD0000" w:rsidP="008F5F0E">
      <w:pPr>
        <w:spacing w:after="120" w:line="240" w:lineRule="auto"/>
        <w:jc w:val="both"/>
        <w:rPr>
          <w:rFonts w:cstheme="minorBidi"/>
          <w:b/>
          <w:sz w:val="20"/>
          <w:szCs w:val="20"/>
        </w:rPr>
      </w:pPr>
      <w:bookmarkStart w:id="560" w:name="_Ref360523342"/>
    </w:p>
    <w:p w:rsidR="00EC38E2" w:rsidRPr="006A2CE4" w:rsidRDefault="00C67C41" w:rsidP="008F5F0E">
      <w:pPr>
        <w:spacing w:after="120" w:line="240" w:lineRule="auto"/>
        <w:jc w:val="both"/>
        <w:rPr>
          <w:rFonts w:eastAsia="Times New Roman" w:cstheme="minorBidi"/>
          <w:b/>
          <w:color w:val="000000"/>
          <w:lang w:eastAsia="en-GB"/>
        </w:rPr>
      </w:pPr>
      <w:bookmarkStart w:id="561" w:name="_Ref361726949"/>
      <w:bookmarkStart w:id="562" w:name="_Toc361733625"/>
      <w:bookmarkStart w:id="563" w:name="_Toc361734268"/>
      <w:r>
        <w:rPr>
          <w:rFonts w:cstheme="minorBidi"/>
          <w:b/>
          <w:sz w:val="20"/>
          <w:szCs w:val="20"/>
        </w:rPr>
        <w:t>Figure</w:t>
      </w:r>
      <w:r w:rsidR="007250AA" w:rsidRPr="006A2CE4">
        <w:rPr>
          <w:rFonts w:cstheme="minorBidi"/>
          <w:b/>
          <w:sz w:val="20"/>
          <w:szCs w:val="20"/>
        </w:rPr>
        <w:t xml:space="preserve"> </w:t>
      </w:r>
      <w:r w:rsidR="00DF37B0">
        <w:rPr>
          <w:rFonts w:cstheme="minorBidi"/>
          <w:b/>
          <w:sz w:val="20"/>
          <w:szCs w:val="20"/>
        </w:rPr>
        <w:fldChar w:fldCharType="begin"/>
      </w:r>
      <w:r w:rsidR="00DF37B0">
        <w:rPr>
          <w:rFonts w:cstheme="minorBidi"/>
          <w:b/>
          <w:sz w:val="20"/>
          <w:szCs w:val="20"/>
        </w:rPr>
        <w:instrText xml:space="preserve"> STYLEREF 1 \s </w:instrText>
      </w:r>
      <w:r w:rsidR="00DF37B0">
        <w:rPr>
          <w:rFonts w:cstheme="minorBidi"/>
          <w:b/>
          <w:sz w:val="20"/>
          <w:szCs w:val="20"/>
        </w:rPr>
        <w:fldChar w:fldCharType="separate"/>
      </w:r>
      <w:r w:rsidR="00374B77">
        <w:rPr>
          <w:rFonts w:cstheme="minorBidi"/>
          <w:b/>
          <w:noProof/>
          <w:sz w:val="20"/>
          <w:szCs w:val="20"/>
          <w:cs/>
        </w:rPr>
        <w:t>‎</w:t>
      </w:r>
      <w:r w:rsidR="00374B77">
        <w:rPr>
          <w:rFonts w:cstheme="minorBidi"/>
          <w:b/>
          <w:noProof/>
          <w:sz w:val="20"/>
          <w:szCs w:val="20"/>
        </w:rPr>
        <w:t>3</w:t>
      </w:r>
      <w:r w:rsidR="00DF37B0">
        <w:rPr>
          <w:rFonts w:cstheme="minorBidi"/>
          <w:b/>
          <w:sz w:val="20"/>
          <w:szCs w:val="20"/>
        </w:rPr>
        <w:fldChar w:fldCharType="end"/>
      </w:r>
      <w:r w:rsidR="00DF37B0">
        <w:rPr>
          <w:rFonts w:cstheme="minorBidi"/>
          <w:b/>
          <w:sz w:val="20"/>
          <w:szCs w:val="20"/>
        </w:rPr>
        <w:t>.</w:t>
      </w:r>
      <w:r w:rsidR="00DF37B0">
        <w:rPr>
          <w:rFonts w:cstheme="minorBidi"/>
          <w:b/>
          <w:sz w:val="20"/>
          <w:szCs w:val="20"/>
        </w:rPr>
        <w:fldChar w:fldCharType="begin"/>
      </w:r>
      <w:r w:rsidR="00DF37B0">
        <w:rPr>
          <w:rFonts w:cstheme="minorBidi"/>
          <w:b/>
          <w:sz w:val="20"/>
          <w:szCs w:val="20"/>
        </w:rPr>
        <w:instrText xml:space="preserve"> SEQ Figure \* ARABIC \s 1 </w:instrText>
      </w:r>
      <w:r w:rsidR="00DF37B0">
        <w:rPr>
          <w:rFonts w:cstheme="minorBidi"/>
          <w:b/>
          <w:sz w:val="20"/>
          <w:szCs w:val="20"/>
        </w:rPr>
        <w:fldChar w:fldCharType="separate"/>
      </w:r>
      <w:r w:rsidR="00374B77">
        <w:rPr>
          <w:rFonts w:cstheme="minorBidi"/>
          <w:b/>
          <w:noProof/>
          <w:sz w:val="20"/>
          <w:szCs w:val="20"/>
        </w:rPr>
        <w:t>11</w:t>
      </w:r>
      <w:r w:rsidR="00DF37B0">
        <w:rPr>
          <w:rFonts w:cstheme="minorBidi"/>
          <w:b/>
          <w:sz w:val="20"/>
          <w:szCs w:val="20"/>
        </w:rPr>
        <w:fldChar w:fldCharType="end"/>
      </w:r>
      <w:bookmarkEnd w:id="560"/>
      <w:bookmarkEnd w:id="561"/>
      <w:r w:rsidR="007250AA" w:rsidRPr="006A2CE4">
        <w:rPr>
          <w:rFonts w:cstheme="minorBidi"/>
          <w:b/>
          <w:noProof/>
          <w:sz w:val="20"/>
          <w:szCs w:val="20"/>
        </w:rPr>
        <w:t xml:space="preserve"> </w:t>
      </w:r>
      <w:r w:rsidR="00EC38E2" w:rsidRPr="006A2CE4">
        <w:rPr>
          <w:rFonts w:eastAsia="Times New Roman" w:cstheme="minorBidi"/>
          <w:b/>
          <w:color w:val="000000"/>
          <w:sz w:val="20"/>
          <w:szCs w:val="20"/>
          <w:lang w:eastAsia="en-GB"/>
        </w:rPr>
        <w:t xml:space="preserve"> </w:t>
      </w:r>
      <w:r w:rsidR="006A2CE4">
        <w:rPr>
          <w:rFonts w:eastAsia="Times New Roman"/>
          <w:b/>
          <w:color w:val="000000"/>
          <w:sz w:val="20"/>
          <w:szCs w:val="20"/>
          <w:lang w:eastAsia="en-GB"/>
        </w:rPr>
        <w:t>S</w:t>
      </w:r>
      <w:r w:rsidR="006A2CE4" w:rsidRPr="001F2B80">
        <w:rPr>
          <w:rFonts w:eastAsia="Times New Roman"/>
          <w:b/>
          <w:color w:val="000000"/>
          <w:sz w:val="20"/>
          <w:szCs w:val="20"/>
          <w:lang w:eastAsia="en-GB"/>
        </w:rPr>
        <w:t xml:space="preserve">tandard growth curve </w:t>
      </w:r>
      <w:r w:rsidR="006A2CE4" w:rsidRPr="001F2B80">
        <w:rPr>
          <w:rFonts w:eastAsia="Times New Roman"/>
          <w:b/>
          <w:iCs/>
          <w:color w:val="000000"/>
          <w:sz w:val="20"/>
          <w:szCs w:val="20"/>
          <w:lang w:eastAsia="en-GB"/>
        </w:rPr>
        <w:t>for</w:t>
      </w:r>
      <w:r w:rsidR="00EC38E2" w:rsidRPr="006A2CE4">
        <w:rPr>
          <w:rFonts w:eastAsia="Times New Roman" w:cstheme="minorBidi"/>
          <w:b/>
          <w:color w:val="000000"/>
          <w:sz w:val="20"/>
          <w:szCs w:val="20"/>
          <w:lang w:eastAsia="en-GB"/>
        </w:rPr>
        <w:t xml:space="preserve"> </w:t>
      </w:r>
      <w:r w:rsidR="00EC38E2" w:rsidRPr="006A2CE4">
        <w:rPr>
          <w:rFonts w:eastAsia="Times New Roman" w:cstheme="minorBidi"/>
          <w:b/>
          <w:i/>
          <w:iCs/>
          <w:color w:val="000000"/>
          <w:sz w:val="20"/>
          <w:szCs w:val="20"/>
          <w:lang w:eastAsia="en-GB"/>
        </w:rPr>
        <w:t>A. odontolyticus</w:t>
      </w:r>
      <w:r w:rsidR="006A2CE4">
        <w:rPr>
          <w:rFonts w:eastAsia="Times New Roman" w:cstheme="minorBidi"/>
          <w:b/>
          <w:color w:val="000000"/>
          <w:sz w:val="20"/>
          <w:szCs w:val="20"/>
          <w:lang w:eastAsia="en-GB"/>
        </w:rPr>
        <w:t xml:space="preserve"> </w:t>
      </w:r>
      <w:r w:rsidR="00EC38E2" w:rsidRPr="006A2CE4">
        <w:rPr>
          <w:rFonts w:eastAsia="Times New Roman" w:cstheme="minorBidi"/>
          <w:b/>
          <w:color w:val="000000"/>
          <w:sz w:val="20"/>
          <w:szCs w:val="20"/>
          <w:lang w:eastAsia="en-GB"/>
        </w:rPr>
        <w:t>(NCTC 9335) OD</w:t>
      </w:r>
      <w:r w:rsidR="00EC38E2" w:rsidRPr="006A2CE4">
        <w:rPr>
          <w:rFonts w:eastAsia="Times New Roman" w:cstheme="minorBidi"/>
          <w:b/>
          <w:color w:val="000000"/>
          <w:sz w:val="20"/>
          <w:szCs w:val="20"/>
          <w:vertAlign w:val="subscript"/>
          <w:lang w:eastAsia="en-GB"/>
        </w:rPr>
        <w:t>450</w:t>
      </w:r>
      <w:r w:rsidR="00EC38E2" w:rsidRPr="006A2CE4">
        <w:rPr>
          <w:rFonts w:eastAsia="Times New Roman" w:cstheme="minorBidi"/>
          <w:b/>
          <w:color w:val="000000"/>
          <w:sz w:val="20"/>
          <w:szCs w:val="20"/>
          <w:lang w:eastAsia="en-GB"/>
        </w:rPr>
        <w:t xml:space="preserve"> against number of colony forming units (CFU/ml)</w:t>
      </w:r>
      <w:bookmarkEnd w:id="562"/>
      <w:bookmarkEnd w:id="563"/>
    </w:p>
    <w:p w:rsidR="006A2CE4" w:rsidRPr="00BF4BEF" w:rsidRDefault="006A2CE4" w:rsidP="00BF4BEF">
      <w:pPr>
        <w:spacing w:after="120" w:line="480" w:lineRule="auto"/>
        <w:jc w:val="both"/>
        <w:rPr>
          <w:rFonts w:eastAsia="Times New Roman"/>
          <w:bCs/>
          <w:color w:val="000000"/>
          <w:vertAlign w:val="superscript"/>
          <w:lang w:eastAsia="en-GB"/>
        </w:rPr>
      </w:pPr>
      <w:r w:rsidRPr="006A2CE4">
        <w:rPr>
          <w:rFonts w:cstheme="minorBidi"/>
          <w:b/>
          <w:noProof/>
          <w:lang w:eastAsia="en-GB"/>
        </w:rPr>
        <w:drawing>
          <wp:anchor distT="0" distB="0" distL="114300" distR="114300" simplePos="0" relativeHeight="251723776" behindDoc="0" locked="0" layoutInCell="1" allowOverlap="1" wp14:anchorId="49014229" wp14:editId="5053EE3E">
            <wp:simplePos x="0" y="0"/>
            <wp:positionH relativeFrom="column">
              <wp:posOffset>219075</wp:posOffset>
            </wp:positionH>
            <wp:positionV relativeFrom="paragraph">
              <wp:posOffset>311150</wp:posOffset>
            </wp:positionV>
            <wp:extent cx="4644000" cy="2520000"/>
            <wp:effectExtent l="0" t="0" r="23495" b="13970"/>
            <wp:wrapSquare wrapText="bothSides"/>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DD0000" w:rsidRDefault="00DD0000" w:rsidP="003B6180">
      <w:pPr>
        <w:spacing w:after="0" w:line="240" w:lineRule="auto"/>
        <w:jc w:val="both"/>
        <w:rPr>
          <w:rFonts w:eastAsia="Times New Roman" w:cstheme="minorBidi"/>
          <w:color w:val="000000"/>
          <w:sz w:val="20"/>
          <w:szCs w:val="20"/>
        </w:rPr>
      </w:pPr>
    </w:p>
    <w:p w:rsidR="003B6180" w:rsidRPr="00B013ED" w:rsidRDefault="003B6180" w:rsidP="003B6180">
      <w:pPr>
        <w:spacing w:after="0" w:line="240" w:lineRule="auto"/>
        <w:jc w:val="both"/>
        <w:rPr>
          <w:rFonts w:eastAsia="Times New Roman" w:cstheme="minorBidi"/>
          <w:color w:val="000000"/>
          <w:sz w:val="20"/>
          <w:szCs w:val="20"/>
        </w:rPr>
      </w:pPr>
      <w:r w:rsidRPr="00B013ED">
        <w:rPr>
          <w:rFonts w:eastAsia="Times New Roman" w:cstheme="minorBidi"/>
          <w:color w:val="000000"/>
          <w:sz w:val="20"/>
          <w:szCs w:val="20"/>
        </w:rPr>
        <w:t>Colony forming units (CFU)</w:t>
      </w:r>
    </w:p>
    <w:p w:rsidR="003B6180" w:rsidRPr="00B013ED" w:rsidRDefault="003B6180" w:rsidP="003B6180">
      <w:pPr>
        <w:spacing w:after="0" w:line="240" w:lineRule="auto"/>
        <w:jc w:val="both"/>
        <w:rPr>
          <w:rFonts w:eastAsia="Times New Roman" w:cstheme="minorBidi"/>
          <w:color w:val="000000"/>
          <w:sz w:val="20"/>
          <w:szCs w:val="20"/>
        </w:rPr>
      </w:pPr>
      <w:r w:rsidRPr="00B013ED">
        <w:rPr>
          <w:rFonts w:eastAsia="Times New Roman" w:cstheme="minorBidi"/>
          <w:bCs/>
          <w:color w:val="000000"/>
          <w:sz w:val="20"/>
          <w:szCs w:val="20"/>
          <w:lang w:eastAsia="en-GB"/>
        </w:rPr>
        <w:t>Optical density</w:t>
      </w:r>
      <w:r w:rsidRPr="00B013ED">
        <w:rPr>
          <w:rFonts w:eastAsia="Times New Roman" w:cstheme="minorBidi"/>
          <w:bCs/>
          <w:color w:val="000000"/>
          <w:sz w:val="20"/>
          <w:szCs w:val="20"/>
          <w:vertAlign w:val="superscript"/>
          <w:lang w:eastAsia="en-GB"/>
        </w:rPr>
        <w:t xml:space="preserve"> </w:t>
      </w:r>
      <w:r w:rsidRPr="00B013ED">
        <w:rPr>
          <w:rFonts w:eastAsia="Times New Roman" w:cstheme="minorBidi"/>
          <w:bCs/>
          <w:color w:val="000000"/>
          <w:sz w:val="20"/>
          <w:szCs w:val="20"/>
          <w:lang w:eastAsia="en-GB"/>
        </w:rPr>
        <w:t>at a wavelength</w:t>
      </w:r>
      <w:r w:rsidRPr="00B013ED">
        <w:rPr>
          <w:rFonts w:eastAsia="Times New Roman" w:cstheme="minorBidi"/>
          <w:bCs/>
          <w:color w:val="000000"/>
          <w:sz w:val="20"/>
          <w:szCs w:val="20"/>
          <w:vertAlign w:val="superscript"/>
          <w:lang w:eastAsia="en-GB"/>
        </w:rPr>
        <w:t xml:space="preserve"> (</w:t>
      </w:r>
      <w:r w:rsidRPr="00B013ED">
        <w:rPr>
          <w:rFonts w:eastAsia="Times New Roman" w:cstheme="minorBidi"/>
          <w:bCs/>
          <w:color w:val="000000"/>
          <w:sz w:val="20"/>
          <w:szCs w:val="20"/>
          <w:lang w:eastAsia="en-GB"/>
        </w:rPr>
        <w:t>OD</w:t>
      </w:r>
      <w:r w:rsidRPr="00B013ED">
        <w:rPr>
          <w:rFonts w:eastAsia="Times New Roman" w:cstheme="minorBidi"/>
          <w:bCs/>
          <w:color w:val="000000"/>
          <w:sz w:val="20"/>
          <w:szCs w:val="20"/>
          <w:vertAlign w:val="subscript"/>
          <w:lang w:eastAsia="en-GB"/>
        </w:rPr>
        <w:t>450)</w:t>
      </w:r>
    </w:p>
    <w:p w:rsidR="00D97737" w:rsidRDefault="00D97737">
      <w:pPr>
        <w:rPr>
          <w:rFonts w:eastAsia="Times New Roman"/>
          <w:b/>
          <w:color w:val="000000"/>
          <w:lang w:eastAsia="en-GB"/>
        </w:rPr>
      </w:pPr>
      <w:r>
        <w:rPr>
          <w:rFonts w:eastAsia="Times New Roman"/>
          <w:b/>
          <w:color w:val="000000"/>
          <w:lang w:eastAsia="en-GB"/>
        </w:rPr>
        <w:br w:type="page"/>
      </w:r>
    </w:p>
    <w:p w:rsidR="00914E4E" w:rsidRPr="002B54A2" w:rsidRDefault="00914E4E" w:rsidP="00F177FE">
      <w:pPr>
        <w:pStyle w:val="Heading2"/>
        <w:numPr>
          <w:ilvl w:val="1"/>
          <w:numId w:val="79"/>
        </w:numPr>
        <w:rPr>
          <w:lang w:val="en-US"/>
        </w:rPr>
      </w:pPr>
      <w:bookmarkStart w:id="564" w:name="_Toc370819297"/>
      <w:r w:rsidRPr="00D97737">
        <w:lastRenderedPageBreak/>
        <w:t>Statistical Analysis of the data</w:t>
      </w:r>
      <w:bookmarkEnd w:id="564"/>
    </w:p>
    <w:p w:rsidR="00914E4E" w:rsidRPr="00D97737" w:rsidRDefault="00F87195" w:rsidP="00914E4E">
      <w:pPr>
        <w:rPr>
          <w:b/>
          <w:bCs/>
          <w:lang w:val="en-US"/>
        </w:rPr>
      </w:pPr>
      <w:r>
        <w:rPr>
          <w:b/>
          <w:bCs/>
          <w:lang w:val="en-US"/>
        </w:rPr>
        <w:t>The test for normality</w:t>
      </w:r>
    </w:p>
    <w:p w:rsidR="00914E4E" w:rsidRDefault="00914E4E" w:rsidP="00914E4E">
      <w:pPr>
        <w:autoSpaceDE w:val="0"/>
        <w:autoSpaceDN w:val="0"/>
        <w:adjustRightInd w:val="0"/>
        <w:spacing w:after="0" w:line="240" w:lineRule="auto"/>
        <w:rPr>
          <w:rFonts w:ascii="Times New Roman" w:hAnsi="Times New Roman" w:cs="Times New Roman"/>
          <w:szCs w:val="24"/>
          <w:lang w:val="en-US"/>
        </w:rPr>
      </w:pPr>
    </w:p>
    <w:p w:rsidR="005A4550" w:rsidRPr="00973E03" w:rsidRDefault="00F87195" w:rsidP="00973E03">
      <w:pPr>
        <w:pStyle w:val="table"/>
        <w:jc w:val="both"/>
        <w:rPr>
          <w:szCs w:val="24"/>
        </w:rPr>
      </w:pPr>
      <w:r w:rsidRPr="00973E03">
        <w:rPr>
          <w:szCs w:val="24"/>
        </w:rPr>
        <w:t>Shapiro –Wilk test could not confirm the distribution of our data set (</w:t>
      </w:r>
      <w:r w:rsidR="00743440" w:rsidRPr="00973E03">
        <w:rPr>
          <w:szCs w:val="24"/>
        </w:rPr>
        <w:fldChar w:fldCharType="begin"/>
      </w:r>
      <w:r w:rsidR="00743440" w:rsidRPr="00973E03">
        <w:rPr>
          <w:szCs w:val="24"/>
        </w:rPr>
        <w:instrText xml:space="preserve"> REF _Ref361090635 \h  \* MERGEFORMAT </w:instrText>
      </w:r>
      <w:r w:rsidR="00743440" w:rsidRPr="00973E03">
        <w:rPr>
          <w:szCs w:val="24"/>
        </w:rPr>
      </w:r>
      <w:r w:rsidR="00743440" w:rsidRPr="00973E03">
        <w:rPr>
          <w:szCs w:val="24"/>
        </w:rPr>
        <w:fldChar w:fldCharType="separate"/>
      </w:r>
      <w:r w:rsidR="00374B77" w:rsidRPr="00374B77">
        <w:rPr>
          <w:szCs w:val="24"/>
        </w:rPr>
        <w:t xml:space="preserve">Table </w:t>
      </w:r>
      <w:r w:rsidR="00374B77" w:rsidRPr="00374B77">
        <w:rPr>
          <w:szCs w:val="24"/>
          <w:cs/>
        </w:rPr>
        <w:t>‎</w:t>
      </w:r>
      <w:r w:rsidR="00374B77">
        <w:rPr>
          <w:b/>
          <w:noProof/>
          <w:sz w:val="20"/>
          <w:szCs w:val="20"/>
        </w:rPr>
        <w:t>3.9</w:t>
      </w:r>
      <w:r w:rsidR="00743440" w:rsidRPr="00973E03">
        <w:rPr>
          <w:szCs w:val="24"/>
        </w:rPr>
        <w:fldChar w:fldCharType="end"/>
      </w:r>
      <w:r w:rsidR="00743440" w:rsidRPr="00973E03">
        <w:rPr>
          <w:szCs w:val="24"/>
        </w:rPr>
        <w:t xml:space="preserve">) </w:t>
      </w:r>
      <w:r w:rsidRPr="00973E03">
        <w:rPr>
          <w:szCs w:val="24"/>
        </w:rPr>
        <w:t xml:space="preserve">Therefore, a graph was plotted using standard </w:t>
      </w:r>
      <w:r w:rsidR="00743440" w:rsidRPr="00973E03">
        <w:rPr>
          <w:szCs w:val="24"/>
        </w:rPr>
        <w:t>residual</w:t>
      </w:r>
      <w:r w:rsidRPr="00973E03">
        <w:rPr>
          <w:szCs w:val="24"/>
        </w:rPr>
        <w:t xml:space="preserve"> means which confirmed that the data was indeed normally distributed (</w:t>
      </w:r>
      <w:r w:rsidR="00973E03" w:rsidRPr="00973E03">
        <w:rPr>
          <w:szCs w:val="24"/>
        </w:rPr>
        <w:fldChar w:fldCharType="begin"/>
      </w:r>
      <w:r w:rsidR="00973E03" w:rsidRPr="00973E03">
        <w:rPr>
          <w:szCs w:val="24"/>
        </w:rPr>
        <w:instrText xml:space="preserve"> PRINT  \* MERGEFORMAT </w:instrText>
      </w:r>
      <w:r w:rsidR="00973E03" w:rsidRPr="00973E03">
        <w:rPr>
          <w:szCs w:val="24"/>
        </w:rPr>
        <w:fldChar w:fldCharType="end"/>
      </w:r>
      <w:r w:rsidR="00973E03" w:rsidRPr="00973E03">
        <w:rPr>
          <w:szCs w:val="24"/>
        </w:rPr>
        <w:fldChar w:fldCharType="begin"/>
      </w:r>
      <w:r w:rsidR="00973E03" w:rsidRPr="00973E03">
        <w:rPr>
          <w:szCs w:val="24"/>
        </w:rPr>
        <w:instrText xml:space="preserve"> REF _Ref361733165 \h  \* MERGEFORMAT </w:instrText>
      </w:r>
      <w:r w:rsidR="00973E03" w:rsidRPr="00973E03">
        <w:rPr>
          <w:szCs w:val="24"/>
        </w:rPr>
      </w:r>
      <w:r w:rsidR="00973E03" w:rsidRPr="00973E03">
        <w:rPr>
          <w:szCs w:val="24"/>
        </w:rPr>
        <w:fldChar w:fldCharType="separate"/>
      </w:r>
      <w:r w:rsidR="00374B77" w:rsidRPr="00374B77">
        <w:rPr>
          <w:szCs w:val="24"/>
        </w:rPr>
        <w:t xml:space="preserve">Figure </w:t>
      </w:r>
      <w:r w:rsidR="00374B77" w:rsidRPr="00374B77">
        <w:rPr>
          <w:szCs w:val="24"/>
          <w:cs/>
        </w:rPr>
        <w:t>‎</w:t>
      </w:r>
      <w:r w:rsidR="00374B77">
        <w:rPr>
          <w:rFonts w:cstheme="minorBidi"/>
          <w:b/>
          <w:bCs w:val="0"/>
          <w:noProof/>
          <w:sz w:val="20"/>
          <w:szCs w:val="20"/>
        </w:rPr>
        <w:t>3</w:t>
      </w:r>
      <w:r w:rsidR="00374B77" w:rsidRPr="00BF4BEF">
        <w:rPr>
          <w:rFonts w:cstheme="minorBidi"/>
          <w:b/>
          <w:bCs w:val="0"/>
          <w:noProof/>
          <w:sz w:val="20"/>
          <w:szCs w:val="20"/>
        </w:rPr>
        <w:t>.</w:t>
      </w:r>
      <w:r w:rsidR="00374B77">
        <w:rPr>
          <w:rFonts w:cstheme="minorBidi"/>
          <w:b/>
          <w:bCs w:val="0"/>
          <w:noProof/>
          <w:sz w:val="20"/>
          <w:szCs w:val="20"/>
        </w:rPr>
        <w:t>12</w:t>
      </w:r>
      <w:r w:rsidR="00973E03" w:rsidRPr="00973E03">
        <w:rPr>
          <w:szCs w:val="24"/>
        </w:rPr>
        <w:fldChar w:fldCharType="end"/>
      </w:r>
      <w:r w:rsidRPr="00973E03">
        <w:rPr>
          <w:szCs w:val="24"/>
        </w:rPr>
        <w:t xml:space="preserve">).  </w:t>
      </w:r>
    </w:p>
    <w:p w:rsidR="00C36F28" w:rsidRPr="00C36F28" w:rsidRDefault="009A2F78" w:rsidP="00C36F28">
      <w:pPr>
        <w:autoSpaceDE w:val="0"/>
        <w:autoSpaceDN w:val="0"/>
        <w:adjustRightInd w:val="0"/>
        <w:spacing w:after="0" w:line="320" w:lineRule="atLeast"/>
        <w:ind w:right="60"/>
        <w:rPr>
          <w:b/>
          <w:bCs/>
          <w:sz w:val="20"/>
          <w:szCs w:val="20"/>
        </w:rPr>
      </w:pPr>
      <w:bookmarkStart w:id="565" w:name="_Ref361090635"/>
      <w:bookmarkStart w:id="566" w:name="_Toc370511745"/>
      <w:proofErr w:type="gramStart"/>
      <w:r w:rsidRPr="009A2F78">
        <w:rPr>
          <w:b/>
          <w:sz w:val="20"/>
          <w:szCs w:val="20"/>
        </w:rPr>
        <w:t xml:space="preserve">Table </w:t>
      </w:r>
      <w:r w:rsidR="00E7089D">
        <w:rPr>
          <w:b/>
          <w:sz w:val="20"/>
          <w:szCs w:val="20"/>
        </w:rPr>
        <w:fldChar w:fldCharType="begin"/>
      </w:r>
      <w:r w:rsidR="00E7089D">
        <w:rPr>
          <w:b/>
          <w:sz w:val="20"/>
          <w:szCs w:val="20"/>
        </w:rPr>
        <w:instrText xml:space="preserve"> STYLEREF 1 \s </w:instrText>
      </w:r>
      <w:r w:rsidR="00E7089D">
        <w:rPr>
          <w:b/>
          <w:sz w:val="20"/>
          <w:szCs w:val="20"/>
        </w:rPr>
        <w:fldChar w:fldCharType="separate"/>
      </w:r>
      <w:r w:rsidR="00374B77">
        <w:rPr>
          <w:b/>
          <w:noProof/>
          <w:sz w:val="20"/>
          <w:szCs w:val="20"/>
          <w:cs/>
        </w:rPr>
        <w:t>‎</w:t>
      </w:r>
      <w:r w:rsidR="00374B77">
        <w:rPr>
          <w:b/>
          <w:noProof/>
          <w:sz w:val="20"/>
          <w:szCs w:val="20"/>
        </w:rPr>
        <w:t>3</w:t>
      </w:r>
      <w:r w:rsidR="00E7089D">
        <w:rPr>
          <w:b/>
          <w:sz w:val="20"/>
          <w:szCs w:val="20"/>
        </w:rPr>
        <w:fldChar w:fldCharType="end"/>
      </w:r>
      <w:r w:rsidR="00E7089D">
        <w:rPr>
          <w:b/>
          <w:sz w:val="20"/>
          <w:szCs w:val="20"/>
        </w:rPr>
        <w:t>.</w:t>
      </w:r>
      <w:proofErr w:type="gramEnd"/>
      <w:r w:rsidR="00E7089D">
        <w:rPr>
          <w:b/>
          <w:sz w:val="20"/>
          <w:szCs w:val="20"/>
        </w:rPr>
        <w:fldChar w:fldCharType="begin"/>
      </w:r>
      <w:r w:rsidR="00E7089D">
        <w:rPr>
          <w:b/>
          <w:sz w:val="20"/>
          <w:szCs w:val="20"/>
        </w:rPr>
        <w:instrText xml:space="preserve"> SEQ Table \* ARABIC \s 1 </w:instrText>
      </w:r>
      <w:r w:rsidR="00E7089D">
        <w:rPr>
          <w:b/>
          <w:sz w:val="20"/>
          <w:szCs w:val="20"/>
        </w:rPr>
        <w:fldChar w:fldCharType="separate"/>
      </w:r>
      <w:proofErr w:type="gramStart"/>
      <w:r w:rsidR="00374B77">
        <w:rPr>
          <w:b/>
          <w:noProof/>
          <w:sz w:val="20"/>
          <w:szCs w:val="20"/>
        </w:rPr>
        <w:t>9</w:t>
      </w:r>
      <w:r w:rsidR="00E7089D">
        <w:rPr>
          <w:b/>
          <w:sz w:val="20"/>
          <w:szCs w:val="20"/>
        </w:rPr>
        <w:fldChar w:fldCharType="end"/>
      </w:r>
      <w:bookmarkEnd w:id="565"/>
      <w:r w:rsidRPr="009A2F78">
        <w:rPr>
          <w:b/>
          <w:sz w:val="20"/>
          <w:szCs w:val="20"/>
        </w:rPr>
        <w:t xml:space="preserve"> </w:t>
      </w:r>
      <w:r w:rsidR="00C36F28" w:rsidRPr="00C36F28">
        <w:rPr>
          <w:b/>
          <w:sz w:val="20"/>
          <w:szCs w:val="20"/>
        </w:rPr>
        <w:t>Shapiro-Wilk</w:t>
      </w:r>
      <w:r w:rsidR="00C36F28" w:rsidRPr="00C36F28">
        <w:rPr>
          <w:b/>
          <w:bCs/>
          <w:sz w:val="20"/>
          <w:szCs w:val="20"/>
        </w:rPr>
        <w:t xml:space="preserve"> showing the test for normality for all bacteria which was inconclusive with regards to normality of the data</w:t>
      </w:r>
      <w:r w:rsidR="00C36F28">
        <w:rPr>
          <w:b/>
          <w:bCs/>
          <w:sz w:val="20"/>
          <w:szCs w:val="20"/>
        </w:rPr>
        <w:t>.</w:t>
      </w:r>
      <w:bookmarkEnd w:id="566"/>
      <w:proofErr w:type="gramEnd"/>
    </w:p>
    <w:p w:rsidR="009A2F78" w:rsidRDefault="009A2F78" w:rsidP="001D3F19"/>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515"/>
        <w:gridCol w:w="1001"/>
        <w:gridCol w:w="1001"/>
        <w:gridCol w:w="1001"/>
        <w:gridCol w:w="1001"/>
        <w:gridCol w:w="1001"/>
        <w:gridCol w:w="1001"/>
      </w:tblGrid>
      <w:tr w:rsidR="00914E4E" w:rsidRPr="00D97737" w:rsidTr="00FF4512">
        <w:trPr>
          <w:cantSplit/>
        </w:trPr>
        <w:tc>
          <w:tcPr>
            <w:tcW w:w="8247" w:type="dxa"/>
            <w:gridSpan w:val="8"/>
            <w:tcBorders>
              <w:top w:val="nil"/>
              <w:left w:val="nil"/>
              <w:bottom w:val="nil"/>
              <w:right w:val="nil"/>
            </w:tcBorders>
            <w:shd w:val="clear" w:color="auto" w:fill="FFFFFF"/>
          </w:tcPr>
          <w:p w:rsidR="00914E4E" w:rsidRPr="00D97737" w:rsidRDefault="00914E4E" w:rsidP="00FF4512">
            <w:pPr>
              <w:autoSpaceDE w:val="0"/>
              <w:autoSpaceDN w:val="0"/>
              <w:adjustRightInd w:val="0"/>
              <w:spacing w:after="0" w:line="320" w:lineRule="atLeast"/>
              <w:ind w:left="60" w:right="60"/>
              <w:jc w:val="center"/>
              <w:rPr>
                <w:rFonts w:ascii="Arial" w:hAnsi="Arial" w:cs="Arial"/>
                <w:color w:val="000000"/>
                <w:sz w:val="18"/>
                <w:szCs w:val="18"/>
              </w:rPr>
            </w:pPr>
            <w:r w:rsidRPr="00D97737">
              <w:rPr>
                <w:rFonts w:ascii="Arial" w:hAnsi="Arial" w:cs="Arial"/>
                <w:b/>
                <w:bCs/>
                <w:color w:val="000000"/>
                <w:sz w:val="18"/>
                <w:szCs w:val="18"/>
              </w:rPr>
              <w:t>Tests of Normality</w:t>
            </w:r>
          </w:p>
        </w:tc>
      </w:tr>
      <w:tr w:rsidR="00914E4E" w:rsidRPr="00D97737" w:rsidTr="00FF4512">
        <w:trPr>
          <w:cantSplit/>
        </w:trPr>
        <w:tc>
          <w:tcPr>
            <w:tcW w:w="726" w:type="dxa"/>
            <w:vAlign w:val="center"/>
          </w:tcPr>
          <w:p w:rsidR="00914E4E" w:rsidRPr="00D97737" w:rsidRDefault="00914E4E" w:rsidP="00FF4512">
            <w:pPr>
              <w:autoSpaceDE w:val="0"/>
              <w:autoSpaceDN w:val="0"/>
              <w:adjustRightInd w:val="0"/>
              <w:spacing w:after="0" w:line="240" w:lineRule="auto"/>
              <w:rPr>
                <w:rFonts w:ascii="Arial" w:hAnsi="Arial" w:cs="Arial"/>
                <w:color w:val="000000"/>
                <w:sz w:val="18"/>
                <w:szCs w:val="18"/>
              </w:rPr>
            </w:pPr>
          </w:p>
        </w:tc>
        <w:tc>
          <w:tcPr>
            <w:tcW w:w="1515" w:type="dxa"/>
            <w:vMerge w:val="restart"/>
            <w:tcBorders>
              <w:top w:val="single" w:sz="16" w:space="0" w:color="000000"/>
              <w:left w:val="nil"/>
              <w:bottom w:val="nil"/>
              <w:right w:val="single" w:sz="16" w:space="0" w:color="000000"/>
            </w:tcBorders>
            <w:shd w:val="clear" w:color="auto" w:fill="FFFFFF"/>
          </w:tcPr>
          <w:p w:rsidR="00914E4E" w:rsidRPr="00D97737" w:rsidRDefault="00914E4E" w:rsidP="00FF4512">
            <w:pPr>
              <w:autoSpaceDE w:val="0"/>
              <w:autoSpaceDN w:val="0"/>
              <w:adjustRightInd w:val="0"/>
              <w:spacing w:after="0" w:line="320" w:lineRule="atLeast"/>
              <w:ind w:left="60" w:right="60"/>
              <w:rPr>
                <w:rFonts w:ascii="Arial" w:hAnsi="Arial" w:cs="Arial"/>
                <w:color w:val="000000"/>
                <w:sz w:val="18"/>
                <w:szCs w:val="18"/>
              </w:rPr>
            </w:pPr>
            <w:r w:rsidRPr="00D97737">
              <w:rPr>
                <w:rFonts w:ascii="Arial" w:hAnsi="Arial" w:cs="Arial"/>
                <w:color w:val="000000"/>
                <w:sz w:val="18"/>
                <w:szCs w:val="18"/>
              </w:rPr>
              <w:t>Bacteria</w:t>
            </w:r>
          </w:p>
        </w:tc>
        <w:tc>
          <w:tcPr>
            <w:tcW w:w="3003" w:type="dxa"/>
            <w:gridSpan w:val="3"/>
            <w:tcBorders>
              <w:top w:val="single" w:sz="16" w:space="0" w:color="000000"/>
              <w:left w:val="single" w:sz="16" w:space="0" w:color="000000"/>
            </w:tcBorders>
            <w:shd w:val="clear" w:color="auto" w:fill="FFFFFF"/>
          </w:tcPr>
          <w:p w:rsidR="00914E4E" w:rsidRPr="00D97737" w:rsidRDefault="00914E4E" w:rsidP="00FF4512">
            <w:pPr>
              <w:autoSpaceDE w:val="0"/>
              <w:autoSpaceDN w:val="0"/>
              <w:adjustRightInd w:val="0"/>
              <w:spacing w:after="0" w:line="320" w:lineRule="atLeast"/>
              <w:ind w:left="60" w:right="60"/>
              <w:jc w:val="center"/>
              <w:rPr>
                <w:rFonts w:ascii="Arial" w:hAnsi="Arial" w:cs="Arial"/>
                <w:color w:val="000000"/>
                <w:sz w:val="18"/>
                <w:szCs w:val="18"/>
              </w:rPr>
            </w:pPr>
            <w:r w:rsidRPr="00D97737">
              <w:rPr>
                <w:rFonts w:ascii="Arial" w:hAnsi="Arial" w:cs="Arial"/>
                <w:color w:val="000000"/>
                <w:sz w:val="18"/>
                <w:szCs w:val="18"/>
              </w:rPr>
              <w:t>Kolmogorov-Smirnov</w:t>
            </w:r>
            <w:r w:rsidRPr="00D97737">
              <w:rPr>
                <w:rFonts w:ascii="Arial" w:hAnsi="Arial" w:cs="Arial"/>
                <w:color w:val="000000"/>
                <w:sz w:val="18"/>
                <w:szCs w:val="18"/>
                <w:vertAlign w:val="superscript"/>
              </w:rPr>
              <w:t>a</w:t>
            </w:r>
          </w:p>
        </w:tc>
        <w:tc>
          <w:tcPr>
            <w:tcW w:w="3003" w:type="dxa"/>
            <w:gridSpan w:val="3"/>
            <w:tcBorders>
              <w:top w:val="single" w:sz="16" w:space="0" w:color="000000"/>
            </w:tcBorders>
            <w:shd w:val="clear" w:color="auto" w:fill="FFFFFF"/>
          </w:tcPr>
          <w:p w:rsidR="00914E4E" w:rsidRPr="00D97737" w:rsidRDefault="00914E4E" w:rsidP="00FF4512">
            <w:pPr>
              <w:autoSpaceDE w:val="0"/>
              <w:autoSpaceDN w:val="0"/>
              <w:adjustRightInd w:val="0"/>
              <w:spacing w:after="0" w:line="320" w:lineRule="atLeast"/>
              <w:ind w:left="60" w:right="60"/>
              <w:jc w:val="center"/>
              <w:rPr>
                <w:rFonts w:ascii="Arial" w:hAnsi="Arial" w:cs="Arial"/>
                <w:color w:val="000000"/>
                <w:sz w:val="18"/>
                <w:szCs w:val="18"/>
              </w:rPr>
            </w:pPr>
            <w:r w:rsidRPr="00D97737">
              <w:rPr>
                <w:rFonts w:ascii="Arial" w:hAnsi="Arial" w:cs="Arial"/>
                <w:color w:val="000000"/>
                <w:sz w:val="18"/>
                <w:szCs w:val="18"/>
              </w:rPr>
              <w:t>Shapiro-Wilk</w:t>
            </w:r>
          </w:p>
        </w:tc>
      </w:tr>
      <w:tr w:rsidR="00914E4E" w:rsidRPr="00D97737" w:rsidTr="00FF4512">
        <w:trPr>
          <w:cantSplit/>
        </w:trPr>
        <w:tc>
          <w:tcPr>
            <w:tcW w:w="726" w:type="dxa"/>
            <w:vAlign w:val="center"/>
          </w:tcPr>
          <w:p w:rsidR="00914E4E" w:rsidRPr="00D97737" w:rsidRDefault="00914E4E" w:rsidP="00FF4512">
            <w:pPr>
              <w:autoSpaceDE w:val="0"/>
              <w:autoSpaceDN w:val="0"/>
              <w:adjustRightInd w:val="0"/>
              <w:spacing w:after="0" w:line="240" w:lineRule="auto"/>
              <w:rPr>
                <w:rFonts w:ascii="Arial" w:hAnsi="Arial" w:cs="Arial"/>
                <w:color w:val="000000"/>
                <w:sz w:val="18"/>
                <w:szCs w:val="18"/>
              </w:rPr>
            </w:pPr>
          </w:p>
        </w:tc>
        <w:tc>
          <w:tcPr>
            <w:tcW w:w="1515" w:type="dxa"/>
            <w:vMerge/>
            <w:tcBorders>
              <w:top w:val="single" w:sz="16" w:space="0" w:color="000000"/>
              <w:left w:val="nil"/>
              <w:bottom w:val="nil"/>
              <w:right w:val="single" w:sz="16" w:space="0" w:color="000000"/>
            </w:tcBorders>
            <w:shd w:val="clear" w:color="auto" w:fill="FFFFFF"/>
          </w:tcPr>
          <w:p w:rsidR="00914E4E" w:rsidRPr="00D97737" w:rsidRDefault="00914E4E" w:rsidP="00FF4512">
            <w:pPr>
              <w:autoSpaceDE w:val="0"/>
              <w:autoSpaceDN w:val="0"/>
              <w:adjustRightInd w:val="0"/>
              <w:spacing w:after="0" w:line="240" w:lineRule="auto"/>
              <w:rPr>
                <w:rFonts w:ascii="Arial" w:hAnsi="Arial" w:cs="Arial"/>
                <w:color w:val="000000"/>
                <w:sz w:val="18"/>
                <w:szCs w:val="18"/>
              </w:rPr>
            </w:pPr>
          </w:p>
        </w:tc>
        <w:tc>
          <w:tcPr>
            <w:tcW w:w="1001" w:type="dxa"/>
            <w:tcBorders>
              <w:left w:val="single" w:sz="16" w:space="0" w:color="000000"/>
              <w:bottom w:val="single" w:sz="16" w:space="0" w:color="000000"/>
            </w:tcBorders>
            <w:shd w:val="clear" w:color="auto" w:fill="FFFFFF"/>
          </w:tcPr>
          <w:p w:rsidR="00914E4E" w:rsidRPr="00D97737" w:rsidRDefault="00914E4E" w:rsidP="00FF4512">
            <w:pPr>
              <w:autoSpaceDE w:val="0"/>
              <w:autoSpaceDN w:val="0"/>
              <w:adjustRightInd w:val="0"/>
              <w:spacing w:after="0" w:line="320" w:lineRule="atLeast"/>
              <w:ind w:left="60" w:right="60"/>
              <w:jc w:val="center"/>
              <w:rPr>
                <w:rFonts w:ascii="Arial" w:hAnsi="Arial" w:cs="Arial"/>
                <w:color w:val="000000"/>
                <w:sz w:val="18"/>
                <w:szCs w:val="18"/>
              </w:rPr>
            </w:pPr>
            <w:r w:rsidRPr="00D97737">
              <w:rPr>
                <w:rFonts w:ascii="Arial" w:hAnsi="Arial" w:cs="Arial"/>
                <w:color w:val="000000"/>
                <w:sz w:val="18"/>
                <w:szCs w:val="18"/>
              </w:rPr>
              <w:t>Statistic</w:t>
            </w:r>
          </w:p>
        </w:tc>
        <w:tc>
          <w:tcPr>
            <w:tcW w:w="1001" w:type="dxa"/>
            <w:tcBorders>
              <w:bottom w:val="single" w:sz="16" w:space="0" w:color="000000"/>
            </w:tcBorders>
            <w:shd w:val="clear" w:color="auto" w:fill="FFFFFF"/>
          </w:tcPr>
          <w:p w:rsidR="00914E4E" w:rsidRPr="00D97737" w:rsidRDefault="00914E4E" w:rsidP="00FF4512">
            <w:pPr>
              <w:autoSpaceDE w:val="0"/>
              <w:autoSpaceDN w:val="0"/>
              <w:adjustRightInd w:val="0"/>
              <w:spacing w:after="0" w:line="320" w:lineRule="atLeast"/>
              <w:ind w:left="60" w:right="60"/>
              <w:jc w:val="center"/>
              <w:rPr>
                <w:rFonts w:ascii="Arial" w:hAnsi="Arial" w:cs="Arial"/>
                <w:color w:val="000000"/>
                <w:sz w:val="18"/>
                <w:szCs w:val="18"/>
              </w:rPr>
            </w:pPr>
            <w:r w:rsidRPr="00D97737">
              <w:rPr>
                <w:rFonts w:ascii="Arial" w:hAnsi="Arial" w:cs="Arial"/>
                <w:color w:val="000000"/>
                <w:sz w:val="18"/>
                <w:szCs w:val="18"/>
              </w:rPr>
              <w:t>df</w:t>
            </w:r>
          </w:p>
        </w:tc>
        <w:tc>
          <w:tcPr>
            <w:tcW w:w="1001" w:type="dxa"/>
            <w:tcBorders>
              <w:bottom w:val="single" w:sz="16" w:space="0" w:color="000000"/>
            </w:tcBorders>
            <w:shd w:val="clear" w:color="auto" w:fill="FFFFFF"/>
          </w:tcPr>
          <w:p w:rsidR="00914E4E" w:rsidRPr="00D97737" w:rsidRDefault="00914E4E" w:rsidP="00FF4512">
            <w:pPr>
              <w:autoSpaceDE w:val="0"/>
              <w:autoSpaceDN w:val="0"/>
              <w:adjustRightInd w:val="0"/>
              <w:spacing w:after="0" w:line="320" w:lineRule="atLeast"/>
              <w:ind w:left="60" w:right="60"/>
              <w:jc w:val="center"/>
              <w:rPr>
                <w:rFonts w:ascii="Arial" w:hAnsi="Arial" w:cs="Arial"/>
                <w:color w:val="000000"/>
                <w:sz w:val="18"/>
                <w:szCs w:val="18"/>
              </w:rPr>
            </w:pPr>
            <w:r w:rsidRPr="00D97737">
              <w:rPr>
                <w:rFonts w:ascii="Arial" w:hAnsi="Arial" w:cs="Arial"/>
                <w:color w:val="000000"/>
                <w:sz w:val="18"/>
                <w:szCs w:val="18"/>
              </w:rPr>
              <w:t>Sig.</w:t>
            </w:r>
          </w:p>
        </w:tc>
        <w:tc>
          <w:tcPr>
            <w:tcW w:w="1001" w:type="dxa"/>
            <w:tcBorders>
              <w:bottom w:val="single" w:sz="16" w:space="0" w:color="000000"/>
            </w:tcBorders>
            <w:shd w:val="clear" w:color="auto" w:fill="FFFFFF"/>
          </w:tcPr>
          <w:p w:rsidR="00914E4E" w:rsidRPr="00D97737" w:rsidRDefault="00914E4E" w:rsidP="00FF4512">
            <w:pPr>
              <w:autoSpaceDE w:val="0"/>
              <w:autoSpaceDN w:val="0"/>
              <w:adjustRightInd w:val="0"/>
              <w:spacing w:after="0" w:line="320" w:lineRule="atLeast"/>
              <w:ind w:left="60" w:right="60"/>
              <w:jc w:val="center"/>
              <w:rPr>
                <w:rFonts w:ascii="Arial" w:hAnsi="Arial" w:cs="Arial"/>
                <w:color w:val="000000"/>
                <w:sz w:val="18"/>
                <w:szCs w:val="18"/>
              </w:rPr>
            </w:pPr>
            <w:r w:rsidRPr="00D97737">
              <w:rPr>
                <w:rFonts w:ascii="Arial" w:hAnsi="Arial" w:cs="Arial"/>
                <w:color w:val="000000"/>
                <w:sz w:val="18"/>
                <w:szCs w:val="18"/>
              </w:rPr>
              <w:t>Statistic</w:t>
            </w:r>
          </w:p>
        </w:tc>
        <w:tc>
          <w:tcPr>
            <w:tcW w:w="1001" w:type="dxa"/>
            <w:tcBorders>
              <w:bottom w:val="single" w:sz="16" w:space="0" w:color="000000"/>
            </w:tcBorders>
            <w:shd w:val="clear" w:color="auto" w:fill="FFFFFF"/>
          </w:tcPr>
          <w:p w:rsidR="00914E4E" w:rsidRPr="00D97737" w:rsidRDefault="00914E4E" w:rsidP="00FF4512">
            <w:pPr>
              <w:autoSpaceDE w:val="0"/>
              <w:autoSpaceDN w:val="0"/>
              <w:adjustRightInd w:val="0"/>
              <w:spacing w:after="0" w:line="320" w:lineRule="atLeast"/>
              <w:ind w:left="60" w:right="60"/>
              <w:jc w:val="center"/>
              <w:rPr>
                <w:rFonts w:ascii="Arial" w:hAnsi="Arial" w:cs="Arial"/>
                <w:color w:val="000000"/>
                <w:sz w:val="18"/>
                <w:szCs w:val="18"/>
              </w:rPr>
            </w:pPr>
            <w:r w:rsidRPr="00D97737">
              <w:rPr>
                <w:rFonts w:ascii="Arial" w:hAnsi="Arial" w:cs="Arial"/>
                <w:color w:val="000000"/>
                <w:sz w:val="18"/>
                <w:szCs w:val="18"/>
              </w:rPr>
              <w:t>df</w:t>
            </w:r>
          </w:p>
        </w:tc>
        <w:tc>
          <w:tcPr>
            <w:tcW w:w="1001" w:type="dxa"/>
            <w:tcBorders>
              <w:bottom w:val="single" w:sz="16" w:space="0" w:color="000000"/>
              <w:right w:val="single" w:sz="16" w:space="0" w:color="000000"/>
            </w:tcBorders>
            <w:shd w:val="clear" w:color="auto" w:fill="FFFFFF"/>
          </w:tcPr>
          <w:p w:rsidR="00914E4E" w:rsidRPr="00D97737" w:rsidRDefault="00914E4E" w:rsidP="00FF4512">
            <w:pPr>
              <w:autoSpaceDE w:val="0"/>
              <w:autoSpaceDN w:val="0"/>
              <w:adjustRightInd w:val="0"/>
              <w:spacing w:after="0" w:line="320" w:lineRule="atLeast"/>
              <w:ind w:left="60" w:right="60"/>
              <w:jc w:val="center"/>
              <w:rPr>
                <w:rFonts w:ascii="Arial" w:hAnsi="Arial" w:cs="Arial"/>
                <w:color w:val="000000"/>
                <w:sz w:val="18"/>
                <w:szCs w:val="18"/>
              </w:rPr>
            </w:pPr>
            <w:r w:rsidRPr="00D97737">
              <w:rPr>
                <w:rFonts w:ascii="Arial" w:hAnsi="Arial" w:cs="Arial"/>
                <w:color w:val="000000"/>
                <w:sz w:val="18"/>
                <w:szCs w:val="18"/>
              </w:rPr>
              <w:t>Sig.</w:t>
            </w:r>
          </w:p>
        </w:tc>
      </w:tr>
      <w:tr w:rsidR="00914E4E" w:rsidRPr="00D97737" w:rsidTr="00FF4512">
        <w:trPr>
          <w:cantSplit/>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rPr>
                <w:rFonts w:ascii="Arial" w:hAnsi="Arial" w:cs="Arial"/>
                <w:color w:val="000000"/>
                <w:sz w:val="18"/>
                <w:szCs w:val="18"/>
              </w:rPr>
            </w:pPr>
            <w:r w:rsidRPr="00D97737">
              <w:rPr>
                <w:rFonts w:ascii="Arial" w:hAnsi="Arial" w:cs="Arial"/>
                <w:color w:val="000000"/>
                <w:sz w:val="18"/>
                <w:szCs w:val="18"/>
              </w:rPr>
              <w:t>Mean</w:t>
            </w:r>
          </w:p>
        </w:tc>
        <w:tc>
          <w:tcPr>
            <w:tcW w:w="1515" w:type="dxa"/>
            <w:tcBorders>
              <w:top w:val="single" w:sz="16" w:space="0" w:color="000000"/>
              <w:left w:val="nil"/>
              <w:bottom w:val="nil"/>
              <w:right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rPr>
                <w:rFonts w:ascii="Arial" w:hAnsi="Arial" w:cs="Arial"/>
                <w:color w:val="000000"/>
                <w:sz w:val="18"/>
                <w:szCs w:val="18"/>
              </w:rPr>
            </w:pPr>
            <w:r w:rsidRPr="00D97737">
              <w:rPr>
                <w:rFonts w:ascii="Arial" w:hAnsi="Arial" w:cs="Arial"/>
                <w:color w:val="000000"/>
                <w:sz w:val="18"/>
                <w:szCs w:val="18"/>
              </w:rPr>
              <w:t>E coli</w:t>
            </w:r>
          </w:p>
        </w:tc>
        <w:tc>
          <w:tcPr>
            <w:tcW w:w="1001" w:type="dxa"/>
            <w:tcBorders>
              <w:top w:val="single" w:sz="16" w:space="0" w:color="000000"/>
              <w:left w:val="single" w:sz="16" w:space="0" w:color="000000"/>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.160</w:t>
            </w:r>
          </w:p>
        </w:tc>
        <w:tc>
          <w:tcPr>
            <w:tcW w:w="1001" w:type="dxa"/>
            <w:tcBorders>
              <w:top w:val="single" w:sz="16" w:space="0" w:color="000000"/>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21</w:t>
            </w:r>
          </w:p>
        </w:tc>
        <w:tc>
          <w:tcPr>
            <w:tcW w:w="1001" w:type="dxa"/>
            <w:tcBorders>
              <w:top w:val="single" w:sz="16" w:space="0" w:color="000000"/>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.171</w:t>
            </w:r>
          </w:p>
        </w:tc>
        <w:tc>
          <w:tcPr>
            <w:tcW w:w="1001" w:type="dxa"/>
            <w:tcBorders>
              <w:top w:val="single" w:sz="16" w:space="0" w:color="000000"/>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.902</w:t>
            </w:r>
          </w:p>
        </w:tc>
        <w:tc>
          <w:tcPr>
            <w:tcW w:w="1001" w:type="dxa"/>
            <w:tcBorders>
              <w:top w:val="single" w:sz="16" w:space="0" w:color="000000"/>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21</w:t>
            </w:r>
          </w:p>
        </w:tc>
        <w:tc>
          <w:tcPr>
            <w:tcW w:w="1001" w:type="dxa"/>
            <w:tcBorders>
              <w:top w:val="single" w:sz="16" w:space="0" w:color="000000"/>
              <w:bottom w:val="nil"/>
              <w:right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.039</w:t>
            </w:r>
          </w:p>
        </w:tc>
      </w:tr>
      <w:tr w:rsidR="00914E4E" w:rsidRPr="00D97737" w:rsidTr="00FF4512">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914E4E" w:rsidRPr="00D97737" w:rsidRDefault="00914E4E" w:rsidP="00FF4512">
            <w:pPr>
              <w:autoSpaceDE w:val="0"/>
              <w:autoSpaceDN w:val="0"/>
              <w:adjustRightInd w:val="0"/>
              <w:spacing w:after="0" w:line="240" w:lineRule="auto"/>
              <w:rPr>
                <w:rFonts w:ascii="Arial" w:hAnsi="Arial" w:cs="Arial"/>
                <w:color w:val="000000"/>
                <w:sz w:val="18"/>
                <w:szCs w:val="18"/>
              </w:rPr>
            </w:pPr>
          </w:p>
        </w:tc>
        <w:tc>
          <w:tcPr>
            <w:tcW w:w="1515" w:type="dxa"/>
            <w:tcBorders>
              <w:top w:val="nil"/>
              <w:left w:val="nil"/>
              <w:bottom w:val="nil"/>
              <w:right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rPr>
                <w:rFonts w:ascii="Arial" w:hAnsi="Arial" w:cs="Arial"/>
                <w:color w:val="000000"/>
                <w:sz w:val="18"/>
                <w:szCs w:val="18"/>
              </w:rPr>
            </w:pPr>
            <w:r w:rsidRPr="00D97737">
              <w:rPr>
                <w:rFonts w:ascii="Arial" w:hAnsi="Arial" w:cs="Arial"/>
                <w:color w:val="000000"/>
                <w:sz w:val="18"/>
                <w:szCs w:val="18"/>
              </w:rPr>
              <w:t>E faecalis</w:t>
            </w:r>
          </w:p>
        </w:tc>
        <w:tc>
          <w:tcPr>
            <w:tcW w:w="1001" w:type="dxa"/>
            <w:tcBorders>
              <w:top w:val="nil"/>
              <w:left w:val="single" w:sz="16" w:space="0" w:color="000000"/>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.292</w:t>
            </w:r>
          </w:p>
        </w:tc>
        <w:tc>
          <w:tcPr>
            <w:tcW w:w="1001" w:type="dxa"/>
            <w:tcBorders>
              <w:top w:val="nil"/>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21</w:t>
            </w:r>
          </w:p>
        </w:tc>
        <w:tc>
          <w:tcPr>
            <w:tcW w:w="1001" w:type="dxa"/>
            <w:tcBorders>
              <w:top w:val="nil"/>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.000</w:t>
            </w:r>
          </w:p>
        </w:tc>
        <w:tc>
          <w:tcPr>
            <w:tcW w:w="1001" w:type="dxa"/>
            <w:tcBorders>
              <w:top w:val="nil"/>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.773</w:t>
            </w:r>
          </w:p>
        </w:tc>
        <w:tc>
          <w:tcPr>
            <w:tcW w:w="1001" w:type="dxa"/>
            <w:tcBorders>
              <w:top w:val="nil"/>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21</w:t>
            </w:r>
          </w:p>
        </w:tc>
        <w:tc>
          <w:tcPr>
            <w:tcW w:w="1001" w:type="dxa"/>
            <w:tcBorders>
              <w:top w:val="nil"/>
              <w:bottom w:val="nil"/>
              <w:right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.000</w:t>
            </w:r>
          </w:p>
        </w:tc>
      </w:tr>
      <w:tr w:rsidR="00914E4E" w:rsidRPr="00D97737" w:rsidTr="00FF4512">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914E4E" w:rsidRPr="00D97737" w:rsidRDefault="00914E4E" w:rsidP="00FF4512">
            <w:pPr>
              <w:autoSpaceDE w:val="0"/>
              <w:autoSpaceDN w:val="0"/>
              <w:adjustRightInd w:val="0"/>
              <w:spacing w:after="0" w:line="240" w:lineRule="auto"/>
              <w:rPr>
                <w:rFonts w:ascii="Arial" w:hAnsi="Arial" w:cs="Arial"/>
                <w:color w:val="000000"/>
                <w:sz w:val="18"/>
                <w:szCs w:val="18"/>
              </w:rPr>
            </w:pPr>
          </w:p>
        </w:tc>
        <w:tc>
          <w:tcPr>
            <w:tcW w:w="1515" w:type="dxa"/>
            <w:tcBorders>
              <w:top w:val="nil"/>
              <w:left w:val="nil"/>
              <w:bottom w:val="nil"/>
              <w:right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rPr>
                <w:rFonts w:ascii="Arial" w:hAnsi="Arial" w:cs="Arial"/>
                <w:color w:val="000000"/>
                <w:sz w:val="18"/>
                <w:szCs w:val="18"/>
              </w:rPr>
            </w:pPr>
            <w:r w:rsidRPr="00D97737">
              <w:rPr>
                <w:rFonts w:ascii="Arial" w:hAnsi="Arial" w:cs="Arial"/>
                <w:color w:val="000000"/>
                <w:sz w:val="18"/>
                <w:szCs w:val="18"/>
              </w:rPr>
              <w:t>A odontolyticus</w:t>
            </w:r>
          </w:p>
        </w:tc>
        <w:tc>
          <w:tcPr>
            <w:tcW w:w="1001" w:type="dxa"/>
            <w:tcBorders>
              <w:top w:val="nil"/>
              <w:left w:val="single" w:sz="16" w:space="0" w:color="000000"/>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.134</w:t>
            </w:r>
          </w:p>
        </w:tc>
        <w:tc>
          <w:tcPr>
            <w:tcW w:w="1001" w:type="dxa"/>
            <w:tcBorders>
              <w:top w:val="nil"/>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21</w:t>
            </w:r>
          </w:p>
        </w:tc>
        <w:tc>
          <w:tcPr>
            <w:tcW w:w="1001" w:type="dxa"/>
            <w:tcBorders>
              <w:top w:val="nil"/>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.200</w:t>
            </w:r>
            <w:r w:rsidRPr="00D97737">
              <w:rPr>
                <w:rFonts w:ascii="Arial" w:hAnsi="Arial" w:cs="Arial"/>
                <w:color w:val="000000"/>
                <w:sz w:val="18"/>
                <w:szCs w:val="18"/>
                <w:vertAlign w:val="superscript"/>
              </w:rPr>
              <w:t>*</w:t>
            </w:r>
          </w:p>
        </w:tc>
        <w:tc>
          <w:tcPr>
            <w:tcW w:w="1001" w:type="dxa"/>
            <w:tcBorders>
              <w:top w:val="nil"/>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.927</w:t>
            </w:r>
          </w:p>
        </w:tc>
        <w:tc>
          <w:tcPr>
            <w:tcW w:w="1001" w:type="dxa"/>
            <w:tcBorders>
              <w:top w:val="nil"/>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21</w:t>
            </w:r>
          </w:p>
        </w:tc>
        <w:tc>
          <w:tcPr>
            <w:tcW w:w="1001" w:type="dxa"/>
            <w:tcBorders>
              <w:top w:val="nil"/>
              <w:bottom w:val="nil"/>
              <w:right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.122</w:t>
            </w:r>
          </w:p>
        </w:tc>
      </w:tr>
      <w:tr w:rsidR="00914E4E" w:rsidRPr="00D97737" w:rsidTr="00FF4512">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914E4E" w:rsidRPr="00D97737" w:rsidRDefault="00914E4E" w:rsidP="00FF4512">
            <w:pPr>
              <w:autoSpaceDE w:val="0"/>
              <w:autoSpaceDN w:val="0"/>
              <w:adjustRightInd w:val="0"/>
              <w:spacing w:after="0" w:line="240" w:lineRule="auto"/>
              <w:rPr>
                <w:rFonts w:ascii="Arial" w:hAnsi="Arial" w:cs="Arial"/>
                <w:color w:val="000000"/>
                <w:sz w:val="18"/>
                <w:szCs w:val="18"/>
              </w:rPr>
            </w:pPr>
          </w:p>
        </w:tc>
        <w:tc>
          <w:tcPr>
            <w:tcW w:w="1515" w:type="dxa"/>
            <w:tcBorders>
              <w:top w:val="nil"/>
              <w:left w:val="nil"/>
              <w:bottom w:val="nil"/>
              <w:right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rPr>
                <w:rFonts w:ascii="Arial" w:hAnsi="Arial" w:cs="Arial"/>
                <w:color w:val="000000"/>
                <w:sz w:val="18"/>
                <w:szCs w:val="18"/>
              </w:rPr>
            </w:pPr>
            <w:r w:rsidRPr="00D97737">
              <w:rPr>
                <w:rFonts w:ascii="Arial" w:hAnsi="Arial" w:cs="Arial"/>
                <w:color w:val="000000"/>
                <w:sz w:val="18"/>
                <w:szCs w:val="18"/>
              </w:rPr>
              <w:t>P gingivalis</w:t>
            </w:r>
          </w:p>
        </w:tc>
        <w:tc>
          <w:tcPr>
            <w:tcW w:w="1001" w:type="dxa"/>
            <w:tcBorders>
              <w:top w:val="nil"/>
              <w:left w:val="single" w:sz="16" w:space="0" w:color="000000"/>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.197</w:t>
            </w:r>
          </w:p>
        </w:tc>
        <w:tc>
          <w:tcPr>
            <w:tcW w:w="1001" w:type="dxa"/>
            <w:tcBorders>
              <w:top w:val="nil"/>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21</w:t>
            </w:r>
          </w:p>
        </w:tc>
        <w:tc>
          <w:tcPr>
            <w:tcW w:w="1001" w:type="dxa"/>
            <w:tcBorders>
              <w:top w:val="nil"/>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.033</w:t>
            </w:r>
          </w:p>
        </w:tc>
        <w:tc>
          <w:tcPr>
            <w:tcW w:w="1001" w:type="dxa"/>
            <w:tcBorders>
              <w:top w:val="nil"/>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.919</w:t>
            </w:r>
          </w:p>
        </w:tc>
        <w:tc>
          <w:tcPr>
            <w:tcW w:w="1001" w:type="dxa"/>
            <w:tcBorders>
              <w:top w:val="nil"/>
              <w:bottom w:val="nil"/>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21</w:t>
            </w:r>
          </w:p>
        </w:tc>
        <w:tc>
          <w:tcPr>
            <w:tcW w:w="1001" w:type="dxa"/>
            <w:tcBorders>
              <w:top w:val="nil"/>
              <w:bottom w:val="nil"/>
              <w:right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.083</w:t>
            </w:r>
          </w:p>
        </w:tc>
      </w:tr>
      <w:tr w:rsidR="00914E4E" w:rsidRPr="00D97737" w:rsidTr="00FF4512">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914E4E" w:rsidRPr="00D97737" w:rsidRDefault="00914E4E" w:rsidP="00FF4512">
            <w:pPr>
              <w:autoSpaceDE w:val="0"/>
              <w:autoSpaceDN w:val="0"/>
              <w:adjustRightInd w:val="0"/>
              <w:spacing w:after="0" w:line="240" w:lineRule="auto"/>
              <w:rPr>
                <w:rFonts w:ascii="Arial" w:hAnsi="Arial" w:cs="Arial"/>
                <w:color w:val="000000"/>
                <w:sz w:val="18"/>
                <w:szCs w:val="18"/>
              </w:rPr>
            </w:pPr>
          </w:p>
        </w:tc>
        <w:tc>
          <w:tcPr>
            <w:tcW w:w="1515" w:type="dxa"/>
            <w:tcBorders>
              <w:top w:val="nil"/>
              <w:left w:val="nil"/>
              <w:bottom w:val="single" w:sz="16" w:space="0" w:color="000000"/>
              <w:right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rPr>
                <w:rFonts w:ascii="Arial" w:hAnsi="Arial" w:cs="Arial"/>
                <w:color w:val="000000"/>
                <w:sz w:val="18"/>
                <w:szCs w:val="18"/>
              </w:rPr>
            </w:pPr>
            <w:r w:rsidRPr="00D97737">
              <w:rPr>
                <w:rFonts w:ascii="Arial" w:hAnsi="Arial" w:cs="Arial"/>
                <w:color w:val="000000"/>
                <w:sz w:val="18"/>
                <w:szCs w:val="18"/>
              </w:rPr>
              <w:t>F nucleatum</w:t>
            </w:r>
          </w:p>
        </w:tc>
        <w:tc>
          <w:tcPr>
            <w:tcW w:w="1001" w:type="dxa"/>
            <w:tcBorders>
              <w:top w:val="nil"/>
              <w:left w:val="single" w:sz="16" w:space="0" w:color="000000"/>
              <w:bottom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.247</w:t>
            </w:r>
          </w:p>
        </w:tc>
        <w:tc>
          <w:tcPr>
            <w:tcW w:w="1001" w:type="dxa"/>
            <w:tcBorders>
              <w:top w:val="nil"/>
              <w:bottom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21</w:t>
            </w:r>
          </w:p>
        </w:tc>
        <w:tc>
          <w:tcPr>
            <w:tcW w:w="1001" w:type="dxa"/>
            <w:tcBorders>
              <w:top w:val="nil"/>
              <w:bottom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.002</w:t>
            </w:r>
          </w:p>
        </w:tc>
        <w:tc>
          <w:tcPr>
            <w:tcW w:w="1001" w:type="dxa"/>
            <w:tcBorders>
              <w:top w:val="nil"/>
              <w:bottom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.736</w:t>
            </w:r>
          </w:p>
        </w:tc>
        <w:tc>
          <w:tcPr>
            <w:tcW w:w="1001" w:type="dxa"/>
            <w:tcBorders>
              <w:top w:val="nil"/>
              <w:bottom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21</w:t>
            </w:r>
          </w:p>
        </w:tc>
        <w:tc>
          <w:tcPr>
            <w:tcW w:w="1001" w:type="dxa"/>
            <w:tcBorders>
              <w:top w:val="nil"/>
              <w:bottom w:val="single" w:sz="16" w:space="0" w:color="000000"/>
              <w:right w:val="single" w:sz="16" w:space="0" w:color="000000"/>
            </w:tcBorders>
            <w:shd w:val="clear" w:color="auto" w:fill="FFFFFF"/>
            <w:vAlign w:val="center"/>
          </w:tcPr>
          <w:p w:rsidR="00914E4E" w:rsidRPr="00D97737" w:rsidRDefault="00914E4E" w:rsidP="00FF4512">
            <w:pPr>
              <w:autoSpaceDE w:val="0"/>
              <w:autoSpaceDN w:val="0"/>
              <w:adjustRightInd w:val="0"/>
              <w:spacing w:after="0" w:line="320" w:lineRule="atLeast"/>
              <w:ind w:left="60" w:right="60"/>
              <w:jc w:val="right"/>
              <w:rPr>
                <w:rFonts w:ascii="Arial" w:hAnsi="Arial" w:cs="Arial"/>
                <w:color w:val="000000"/>
                <w:sz w:val="18"/>
                <w:szCs w:val="18"/>
              </w:rPr>
            </w:pPr>
            <w:r w:rsidRPr="00D97737">
              <w:rPr>
                <w:rFonts w:ascii="Arial" w:hAnsi="Arial" w:cs="Arial"/>
                <w:color w:val="000000"/>
                <w:sz w:val="18"/>
                <w:szCs w:val="18"/>
              </w:rPr>
              <w:t>.000</w:t>
            </w:r>
          </w:p>
        </w:tc>
      </w:tr>
      <w:tr w:rsidR="00914E4E" w:rsidRPr="00D97737" w:rsidTr="00FF4512">
        <w:trPr>
          <w:cantSplit/>
        </w:trPr>
        <w:tc>
          <w:tcPr>
            <w:tcW w:w="8247" w:type="dxa"/>
            <w:gridSpan w:val="8"/>
            <w:tcBorders>
              <w:top w:val="nil"/>
              <w:left w:val="nil"/>
              <w:bottom w:val="nil"/>
              <w:right w:val="nil"/>
            </w:tcBorders>
            <w:shd w:val="clear" w:color="auto" w:fill="FFFFFF"/>
          </w:tcPr>
          <w:p w:rsidR="00914E4E" w:rsidRPr="00D97737" w:rsidRDefault="00914E4E" w:rsidP="00FF4512">
            <w:pPr>
              <w:autoSpaceDE w:val="0"/>
              <w:autoSpaceDN w:val="0"/>
              <w:adjustRightInd w:val="0"/>
              <w:spacing w:after="0" w:line="320" w:lineRule="atLeast"/>
              <w:ind w:left="60" w:right="60"/>
              <w:rPr>
                <w:rFonts w:ascii="Arial" w:hAnsi="Arial" w:cs="Arial"/>
                <w:color w:val="000000"/>
                <w:sz w:val="18"/>
                <w:szCs w:val="18"/>
              </w:rPr>
            </w:pPr>
            <w:r w:rsidRPr="00D97737">
              <w:rPr>
                <w:rFonts w:ascii="Arial" w:hAnsi="Arial" w:cs="Arial"/>
                <w:color w:val="000000"/>
                <w:sz w:val="18"/>
                <w:szCs w:val="18"/>
              </w:rPr>
              <w:t>*. This is a lower bound of the true significance.</w:t>
            </w:r>
          </w:p>
        </w:tc>
      </w:tr>
    </w:tbl>
    <w:p w:rsidR="00BF4BEF" w:rsidRDefault="00BF4BEF" w:rsidP="001D3F19">
      <w:pPr>
        <w:rPr>
          <w:rFonts w:cstheme="minorBidi"/>
          <w:b/>
          <w:bCs/>
          <w:sz w:val="20"/>
          <w:szCs w:val="20"/>
        </w:rPr>
      </w:pPr>
      <w:bookmarkStart w:id="567" w:name="_Ref361090695"/>
    </w:p>
    <w:p w:rsidR="00F87195" w:rsidRPr="00BF4BEF" w:rsidRDefault="00C67C41" w:rsidP="001D3F19">
      <w:pPr>
        <w:rPr>
          <w:rFonts w:cstheme="minorBidi"/>
          <w:b/>
          <w:bCs/>
          <w:sz w:val="20"/>
          <w:szCs w:val="20"/>
        </w:rPr>
      </w:pPr>
      <w:bookmarkStart w:id="568" w:name="_Ref361733165"/>
      <w:bookmarkStart w:id="569" w:name="_Toc361733626"/>
      <w:bookmarkStart w:id="570" w:name="_Toc361734269"/>
      <w:r w:rsidRPr="00BF4BEF">
        <w:rPr>
          <w:rFonts w:cstheme="minorBidi"/>
          <w:b/>
          <w:bCs/>
          <w:sz w:val="20"/>
          <w:szCs w:val="20"/>
        </w:rPr>
        <w:t>Figure</w:t>
      </w:r>
      <w:r w:rsidR="005A4550" w:rsidRPr="00BF4BEF">
        <w:rPr>
          <w:rFonts w:cstheme="minorBidi"/>
          <w:b/>
          <w:bCs/>
          <w:sz w:val="20"/>
          <w:szCs w:val="20"/>
        </w:rPr>
        <w:t xml:space="preserve"> </w:t>
      </w:r>
      <w:r w:rsidR="00DF37B0" w:rsidRPr="00BF4BEF">
        <w:rPr>
          <w:rFonts w:cstheme="minorBidi"/>
          <w:b/>
          <w:bCs/>
          <w:sz w:val="20"/>
          <w:szCs w:val="20"/>
        </w:rPr>
        <w:fldChar w:fldCharType="begin"/>
      </w:r>
      <w:r w:rsidR="00DF37B0" w:rsidRPr="00BF4BEF">
        <w:rPr>
          <w:rFonts w:cstheme="minorBidi"/>
          <w:b/>
          <w:bCs/>
          <w:sz w:val="20"/>
          <w:szCs w:val="20"/>
        </w:rPr>
        <w:instrText xml:space="preserve"> STYLEREF 1 \s </w:instrText>
      </w:r>
      <w:r w:rsidR="00DF37B0" w:rsidRPr="00BF4BEF">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DF37B0" w:rsidRPr="00BF4BEF">
        <w:rPr>
          <w:rFonts w:cstheme="minorBidi"/>
          <w:b/>
          <w:bCs/>
          <w:sz w:val="20"/>
          <w:szCs w:val="20"/>
        </w:rPr>
        <w:fldChar w:fldCharType="end"/>
      </w:r>
      <w:r w:rsidR="00DF37B0" w:rsidRPr="00BF4BEF">
        <w:rPr>
          <w:rFonts w:cstheme="minorBidi"/>
          <w:b/>
          <w:bCs/>
          <w:sz w:val="20"/>
          <w:szCs w:val="20"/>
        </w:rPr>
        <w:t>.</w:t>
      </w:r>
      <w:r w:rsidR="00DF37B0" w:rsidRPr="00BF4BEF">
        <w:rPr>
          <w:rFonts w:cstheme="minorBidi"/>
          <w:b/>
          <w:bCs/>
          <w:sz w:val="20"/>
          <w:szCs w:val="20"/>
        </w:rPr>
        <w:fldChar w:fldCharType="begin"/>
      </w:r>
      <w:r w:rsidR="00DF37B0" w:rsidRPr="00BF4BEF">
        <w:rPr>
          <w:rFonts w:cstheme="minorBidi"/>
          <w:b/>
          <w:bCs/>
          <w:sz w:val="20"/>
          <w:szCs w:val="20"/>
        </w:rPr>
        <w:instrText xml:space="preserve"> SEQ Figure \* ARABIC \s 1 </w:instrText>
      </w:r>
      <w:r w:rsidR="00DF37B0" w:rsidRPr="00BF4BEF">
        <w:rPr>
          <w:rFonts w:cstheme="minorBidi"/>
          <w:b/>
          <w:bCs/>
          <w:sz w:val="20"/>
          <w:szCs w:val="20"/>
        </w:rPr>
        <w:fldChar w:fldCharType="separate"/>
      </w:r>
      <w:r w:rsidR="00374B77">
        <w:rPr>
          <w:rFonts w:cstheme="minorBidi"/>
          <w:b/>
          <w:bCs/>
          <w:noProof/>
          <w:sz w:val="20"/>
          <w:szCs w:val="20"/>
        </w:rPr>
        <w:t>12</w:t>
      </w:r>
      <w:r w:rsidR="00DF37B0" w:rsidRPr="00BF4BEF">
        <w:rPr>
          <w:rFonts w:cstheme="minorBidi"/>
          <w:b/>
          <w:bCs/>
          <w:sz w:val="20"/>
          <w:szCs w:val="20"/>
        </w:rPr>
        <w:fldChar w:fldCharType="end"/>
      </w:r>
      <w:bookmarkEnd w:id="567"/>
      <w:bookmarkEnd w:id="568"/>
      <w:r w:rsidR="005A4550" w:rsidRPr="00BF4BEF">
        <w:rPr>
          <w:rFonts w:cstheme="minorBidi"/>
          <w:b/>
          <w:bCs/>
          <w:sz w:val="20"/>
          <w:szCs w:val="20"/>
        </w:rPr>
        <w:t xml:space="preserve"> </w:t>
      </w:r>
      <w:r w:rsidR="00F87195" w:rsidRPr="00BF4BEF">
        <w:rPr>
          <w:rFonts w:cstheme="minorBidi"/>
          <w:b/>
          <w:bCs/>
          <w:sz w:val="20"/>
          <w:szCs w:val="20"/>
        </w:rPr>
        <w:t>Bar chat plotted with standard residual means which confirmed that the data was normally distributed</w:t>
      </w:r>
      <w:bookmarkEnd w:id="569"/>
      <w:bookmarkEnd w:id="570"/>
    </w:p>
    <w:p w:rsidR="00914E4E" w:rsidRPr="00D97737" w:rsidRDefault="00914E4E" w:rsidP="00914E4E">
      <w:pPr>
        <w:autoSpaceDE w:val="0"/>
        <w:autoSpaceDN w:val="0"/>
        <w:adjustRightInd w:val="0"/>
        <w:spacing w:after="0" w:line="480" w:lineRule="auto"/>
        <w:rPr>
          <w:rFonts w:ascii="Times New Roman" w:hAnsi="Times New Roman" w:cs="Times New Roman"/>
          <w:szCs w:val="24"/>
        </w:rPr>
      </w:pPr>
      <w:r w:rsidRPr="00D97737">
        <w:rPr>
          <w:rFonts w:ascii="Times New Roman" w:hAnsi="Times New Roman" w:cs="Times New Roman"/>
          <w:noProof/>
          <w:szCs w:val="24"/>
          <w:lang w:eastAsia="en-GB"/>
        </w:rPr>
        <w:drawing>
          <wp:anchor distT="0" distB="0" distL="114300" distR="114300" simplePos="0" relativeHeight="251745280" behindDoc="0" locked="0" layoutInCell="1" allowOverlap="1" wp14:anchorId="3EE7A813" wp14:editId="5827BBCA">
            <wp:simplePos x="0" y="0"/>
            <wp:positionH relativeFrom="column">
              <wp:posOffset>609600</wp:posOffset>
            </wp:positionH>
            <wp:positionV relativeFrom="paragraph">
              <wp:posOffset>102870</wp:posOffset>
            </wp:positionV>
            <wp:extent cx="4219575" cy="299720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19575" cy="299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E4E" w:rsidRPr="00D97737" w:rsidRDefault="00914E4E" w:rsidP="00914E4E">
      <w:pPr>
        <w:autoSpaceDE w:val="0"/>
        <w:autoSpaceDN w:val="0"/>
        <w:adjustRightInd w:val="0"/>
        <w:spacing w:after="0" w:line="480" w:lineRule="auto"/>
        <w:rPr>
          <w:rFonts w:ascii="Times New Roman" w:hAnsi="Times New Roman" w:cs="Times New Roman"/>
          <w:szCs w:val="24"/>
        </w:rPr>
      </w:pPr>
    </w:p>
    <w:p w:rsidR="00914E4E" w:rsidRPr="00D97737" w:rsidRDefault="00914E4E" w:rsidP="00914E4E">
      <w:pPr>
        <w:autoSpaceDE w:val="0"/>
        <w:autoSpaceDN w:val="0"/>
        <w:adjustRightInd w:val="0"/>
        <w:spacing w:after="0" w:line="480" w:lineRule="auto"/>
        <w:rPr>
          <w:rFonts w:ascii="Times New Roman" w:hAnsi="Times New Roman" w:cs="Times New Roman"/>
          <w:szCs w:val="24"/>
        </w:rPr>
      </w:pPr>
    </w:p>
    <w:p w:rsidR="00914E4E" w:rsidRPr="00D97737" w:rsidRDefault="00914E4E" w:rsidP="00914E4E">
      <w:pPr>
        <w:autoSpaceDE w:val="0"/>
        <w:autoSpaceDN w:val="0"/>
        <w:adjustRightInd w:val="0"/>
        <w:spacing w:after="0" w:line="480" w:lineRule="auto"/>
        <w:rPr>
          <w:rFonts w:ascii="Times New Roman" w:hAnsi="Times New Roman" w:cs="Times New Roman"/>
          <w:szCs w:val="24"/>
        </w:rPr>
      </w:pPr>
    </w:p>
    <w:p w:rsidR="00914E4E" w:rsidRPr="00D97737" w:rsidRDefault="00914E4E" w:rsidP="00914E4E">
      <w:pPr>
        <w:autoSpaceDE w:val="0"/>
        <w:autoSpaceDN w:val="0"/>
        <w:adjustRightInd w:val="0"/>
        <w:spacing w:after="0" w:line="480" w:lineRule="auto"/>
        <w:rPr>
          <w:rFonts w:ascii="Times New Roman" w:hAnsi="Times New Roman" w:cs="Times New Roman"/>
          <w:szCs w:val="24"/>
        </w:rPr>
      </w:pPr>
    </w:p>
    <w:p w:rsidR="00914E4E" w:rsidRPr="00D97737" w:rsidRDefault="00914E4E" w:rsidP="00914E4E">
      <w:pPr>
        <w:autoSpaceDE w:val="0"/>
        <w:autoSpaceDN w:val="0"/>
        <w:adjustRightInd w:val="0"/>
        <w:spacing w:after="0" w:line="480" w:lineRule="auto"/>
        <w:rPr>
          <w:rFonts w:ascii="Times New Roman" w:hAnsi="Times New Roman" w:cs="Times New Roman"/>
          <w:szCs w:val="24"/>
        </w:rPr>
      </w:pPr>
    </w:p>
    <w:p w:rsidR="00914E4E" w:rsidRPr="00D97737" w:rsidRDefault="00914E4E" w:rsidP="00914E4E">
      <w:pPr>
        <w:autoSpaceDE w:val="0"/>
        <w:autoSpaceDN w:val="0"/>
        <w:adjustRightInd w:val="0"/>
        <w:spacing w:after="0" w:line="480" w:lineRule="auto"/>
        <w:rPr>
          <w:rFonts w:ascii="Times New Roman" w:hAnsi="Times New Roman" w:cs="Times New Roman"/>
          <w:szCs w:val="24"/>
        </w:rPr>
      </w:pPr>
    </w:p>
    <w:p w:rsidR="00F87195" w:rsidRPr="00F76D74" w:rsidRDefault="00CF6AEE" w:rsidP="00F76D74">
      <w:pPr>
        <w:pStyle w:val="Heading3"/>
        <w:spacing w:line="480" w:lineRule="auto"/>
        <w:rPr>
          <w:rStyle w:val="Heading4Char"/>
          <w:rFonts w:cs="Al-Kharashi 11"/>
          <w:b/>
          <w:bCs/>
          <w:iCs w:val="0"/>
          <w:sz w:val="28"/>
          <w:lang w:eastAsia="en-GB"/>
        </w:rPr>
      </w:pPr>
      <w:bookmarkStart w:id="571" w:name="_Toc370819298"/>
      <w:r w:rsidRPr="005A4550">
        <w:rPr>
          <w:lang w:eastAsia="en-GB"/>
        </w:rPr>
        <w:lastRenderedPageBreak/>
        <w:t>Comparison of antibacterial effectiveness of the test materials and antibiotics</w:t>
      </w:r>
      <w:bookmarkEnd w:id="571"/>
    </w:p>
    <w:p w:rsidR="00F87195" w:rsidRPr="00F87195" w:rsidRDefault="00F87195" w:rsidP="0012248F">
      <w:pPr>
        <w:pStyle w:val="Heading4"/>
        <w:spacing w:line="480" w:lineRule="auto"/>
      </w:pPr>
      <w:r w:rsidRPr="00F87195">
        <w:t>R</w:t>
      </w:r>
      <w:r w:rsidR="00CF6AEE" w:rsidRPr="00F87195">
        <w:t>esults for the inhibition zone (mm) for E. coli with all the test materials.</w:t>
      </w:r>
    </w:p>
    <w:p w:rsidR="003416C5" w:rsidRPr="00AC0792" w:rsidRDefault="00CF6AEE" w:rsidP="00AC0792">
      <w:pPr>
        <w:pStyle w:val="table"/>
        <w:jc w:val="both"/>
        <w:rPr>
          <w:szCs w:val="24"/>
        </w:rPr>
      </w:pPr>
      <w:r w:rsidRPr="00AC0792">
        <w:rPr>
          <w:szCs w:val="24"/>
        </w:rPr>
        <w:t xml:space="preserve">The </w:t>
      </w:r>
      <w:r w:rsidR="003416C5" w:rsidRPr="00AC0792">
        <w:rPr>
          <w:szCs w:val="24"/>
        </w:rPr>
        <w:t>values for mean zone of inhibition (mm) are</w:t>
      </w:r>
      <w:r w:rsidRPr="00AC0792">
        <w:rPr>
          <w:szCs w:val="24"/>
        </w:rPr>
        <w:t xml:space="preserve"> shown in </w:t>
      </w:r>
      <w:r w:rsidR="0035196C" w:rsidRPr="00AC0792">
        <w:rPr>
          <w:szCs w:val="24"/>
          <w:highlight w:val="yellow"/>
        </w:rPr>
        <w:fldChar w:fldCharType="begin"/>
      </w:r>
      <w:r w:rsidR="0035196C" w:rsidRPr="00AC0792">
        <w:rPr>
          <w:szCs w:val="24"/>
        </w:rPr>
        <w:instrText xml:space="preserve"> REF _Ref361090835 \h </w:instrText>
      </w:r>
      <w:r w:rsidR="00F76D74" w:rsidRPr="00AC0792">
        <w:rPr>
          <w:szCs w:val="24"/>
          <w:highlight w:val="yellow"/>
        </w:rPr>
        <w:instrText xml:space="preserve"> \* MERGEFORMAT </w:instrText>
      </w:r>
      <w:r w:rsidR="0035196C" w:rsidRPr="00AC0792">
        <w:rPr>
          <w:szCs w:val="24"/>
          <w:highlight w:val="yellow"/>
        </w:rPr>
      </w:r>
      <w:r w:rsidR="0035196C" w:rsidRPr="00AC0792">
        <w:rPr>
          <w:szCs w:val="24"/>
          <w:highlight w:val="yellow"/>
        </w:rPr>
        <w:fldChar w:fldCharType="separate"/>
      </w:r>
      <w:r w:rsidR="00374B77" w:rsidRPr="00374B77">
        <w:rPr>
          <w:szCs w:val="24"/>
        </w:rPr>
        <w:t xml:space="preserve">Table </w:t>
      </w:r>
      <w:r w:rsidR="00374B77" w:rsidRPr="00374B77">
        <w:rPr>
          <w:szCs w:val="24"/>
          <w:cs/>
        </w:rPr>
        <w:t>‎</w:t>
      </w:r>
      <w:r w:rsidR="00374B77">
        <w:rPr>
          <w:rFonts w:cstheme="minorBidi"/>
          <w:b/>
          <w:bCs w:val="0"/>
          <w:noProof/>
          <w:sz w:val="20"/>
          <w:szCs w:val="20"/>
        </w:rPr>
        <w:t>3.10</w:t>
      </w:r>
      <w:r w:rsidR="0035196C" w:rsidRPr="00AC0792">
        <w:rPr>
          <w:szCs w:val="24"/>
          <w:highlight w:val="yellow"/>
        </w:rPr>
        <w:fldChar w:fldCharType="end"/>
      </w:r>
      <w:r w:rsidR="0035196C" w:rsidRPr="00AC0792">
        <w:rPr>
          <w:szCs w:val="24"/>
        </w:rPr>
        <w:t xml:space="preserve"> </w:t>
      </w:r>
      <w:r w:rsidRPr="00AC0792">
        <w:rPr>
          <w:szCs w:val="24"/>
        </w:rPr>
        <w:t>and</w:t>
      </w:r>
      <w:r w:rsidR="003416C5" w:rsidRPr="00AC0792">
        <w:rPr>
          <w:szCs w:val="24"/>
        </w:rPr>
        <w:t xml:space="preserve"> </w:t>
      </w:r>
      <w:r w:rsidR="00AC0792" w:rsidRPr="00AC0792">
        <w:rPr>
          <w:szCs w:val="24"/>
          <w:highlight w:val="yellow"/>
        </w:rPr>
        <w:fldChar w:fldCharType="begin"/>
      </w:r>
      <w:r w:rsidR="00AC0792" w:rsidRPr="00AC0792">
        <w:rPr>
          <w:szCs w:val="24"/>
          <w:highlight w:val="yellow"/>
        </w:rPr>
        <w:instrText xml:space="preserve"> PRINT  \* MERGEFORMAT </w:instrText>
      </w:r>
      <w:r w:rsidR="00AC0792" w:rsidRPr="00AC0792">
        <w:rPr>
          <w:szCs w:val="24"/>
          <w:highlight w:val="yellow"/>
        </w:rPr>
        <w:fldChar w:fldCharType="end"/>
      </w:r>
      <w:r w:rsidR="00AC0792" w:rsidRPr="00AC0792">
        <w:rPr>
          <w:szCs w:val="24"/>
          <w:highlight w:val="yellow"/>
        </w:rPr>
        <w:fldChar w:fldCharType="begin"/>
      </w:r>
      <w:r w:rsidR="00AC0792" w:rsidRPr="00AC0792">
        <w:rPr>
          <w:szCs w:val="24"/>
          <w:highlight w:val="yellow"/>
        </w:rPr>
        <w:instrText xml:space="preserve"> REF _Ref361733251 \h  \* MERGEFORMAT </w:instrText>
      </w:r>
      <w:r w:rsidR="00AC0792" w:rsidRPr="00AC0792">
        <w:rPr>
          <w:szCs w:val="24"/>
          <w:highlight w:val="yellow"/>
        </w:rPr>
      </w:r>
      <w:r w:rsidR="00AC0792" w:rsidRPr="00AC0792">
        <w:rPr>
          <w:szCs w:val="24"/>
          <w:highlight w:val="yellow"/>
        </w:rPr>
        <w:fldChar w:fldCharType="separate"/>
      </w:r>
      <w:r w:rsidR="00374B77" w:rsidRPr="00374B77">
        <w:rPr>
          <w:szCs w:val="24"/>
        </w:rPr>
        <w:t xml:space="preserve">Figure </w:t>
      </w:r>
      <w:r w:rsidR="00374B77" w:rsidRPr="00374B77">
        <w:rPr>
          <w:szCs w:val="24"/>
          <w:cs/>
        </w:rPr>
        <w:t>‎</w:t>
      </w:r>
      <w:r w:rsidR="00374B77">
        <w:rPr>
          <w:b/>
          <w:noProof/>
          <w:sz w:val="20"/>
          <w:szCs w:val="20"/>
        </w:rPr>
        <w:t>3.13</w:t>
      </w:r>
      <w:r w:rsidR="00AC0792" w:rsidRPr="00AC0792">
        <w:rPr>
          <w:szCs w:val="24"/>
          <w:highlight w:val="yellow"/>
        </w:rPr>
        <w:fldChar w:fldCharType="end"/>
      </w:r>
      <w:r w:rsidRPr="00AC0792">
        <w:rPr>
          <w:szCs w:val="24"/>
        </w:rPr>
        <w:t>.</w:t>
      </w:r>
      <w:r w:rsidR="003416C5" w:rsidRPr="00AC0792">
        <w:rPr>
          <w:szCs w:val="24"/>
        </w:rPr>
        <w:t xml:space="preserve"> It can be seen that </w:t>
      </w:r>
      <w:r w:rsidR="00F87195" w:rsidRPr="00AC0792">
        <w:rPr>
          <w:szCs w:val="24"/>
        </w:rPr>
        <w:t>the mean inhibition zone was the least for</w:t>
      </w:r>
      <w:r w:rsidR="00BD721A" w:rsidRPr="00AC0792">
        <w:rPr>
          <w:szCs w:val="24"/>
        </w:rPr>
        <w:t xml:space="preserve"> MTA</w:t>
      </w:r>
      <w:r w:rsidR="00F87195" w:rsidRPr="00AC0792">
        <w:rPr>
          <w:szCs w:val="24"/>
        </w:rPr>
        <w:t xml:space="preserve"> </w:t>
      </w:r>
      <w:r w:rsidR="00BD721A" w:rsidRPr="00AC0792">
        <w:rPr>
          <w:szCs w:val="24"/>
        </w:rPr>
        <w:t>(</w:t>
      </w:r>
      <w:r w:rsidR="003416C5" w:rsidRPr="00AC0792">
        <w:rPr>
          <w:szCs w:val="24"/>
        </w:rPr>
        <w:t>24.17</w:t>
      </w:r>
      <w:r w:rsidR="00BD721A" w:rsidRPr="00AC0792">
        <w:rPr>
          <w:szCs w:val="24"/>
        </w:rPr>
        <w:t xml:space="preserve"> mm+3.28)</w:t>
      </w:r>
      <w:r w:rsidR="002D37AF" w:rsidRPr="00AC0792">
        <w:rPr>
          <w:szCs w:val="24"/>
        </w:rPr>
        <w:t xml:space="preserve"> </w:t>
      </w:r>
      <w:r w:rsidR="00BD721A" w:rsidRPr="00AC0792">
        <w:rPr>
          <w:szCs w:val="24"/>
        </w:rPr>
        <w:t>and the highest for Minocycline (</w:t>
      </w:r>
      <w:r w:rsidR="003416C5" w:rsidRPr="00AC0792">
        <w:rPr>
          <w:szCs w:val="24"/>
        </w:rPr>
        <w:t>35.54</w:t>
      </w:r>
      <w:r w:rsidR="002D37AF" w:rsidRPr="00AC0792">
        <w:rPr>
          <w:szCs w:val="24"/>
        </w:rPr>
        <w:t xml:space="preserve"> </w:t>
      </w:r>
      <w:r w:rsidR="003416C5" w:rsidRPr="00AC0792">
        <w:rPr>
          <w:szCs w:val="24"/>
        </w:rPr>
        <w:t>mm</w:t>
      </w:r>
      <w:r w:rsidR="00BD721A" w:rsidRPr="00AC0792">
        <w:rPr>
          <w:szCs w:val="24"/>
        </w:rPr>
        <w:t>+2.87).</w:t>
      </w:r>
      <w:r w:rsidR="003416C5" w:rsidRPr="00AC0792">
        <w:rPr>
          <w:szCs w:val="24"/>
        </w:rPr>
        <w:t xml:space="preserve"> </w:t>
      </w:r>
    </w:p>
    <w:p w:rsidR="0035196C" w:rsidRPr="00BF4BEF" w:rsidRDefault="0035196C" w:rsidP="001D3F19">
      <w:pPr>
        <w:rPr>
          <w:rFonts w:cstheme="minorBidi"/>
          <w:b/>
          <w:bCs/>
          <w:sz w:val="20"/>
          <w:szCs w:val="20"/>
        </w:rPr>
      </w:pPr>
      <w:bookmarkStart w:id="572" w:name="_Ref361090835"/>
      <w:bookmarkStart w:id="573" w:name="_Toc370511746"/>
      <w:proofErr w:type="gramStart"/>
      <w:r w:rsidRPr="00BF4BEF">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10</w:t>
      </w:r>
      <w:r w:rsidR="00E7089D">
        <w:rPr>
          <w:rFonts w:cstheme="minorBidi"/>
          <w:b/>
          <w:bCs/>
          <w:sz w:val="20"/>
          <w:szCs w:val="20"/>
        </w:rPr>
        <w:fldChar w:fldCharType="end"/>
      </w:r>
      <w:bookmarkEnd w:id="572"/>
      <w:r w:rsidRPr="00BF4BEF">
        <w:rPr>
          <w:rFonts w:cstheme="minorBidi"/>
          <w:b/>
          <w:bCs/>
          <w:sz w:val="20"/>
          <w:szCs w:val="20"/>
        </w:rPr>
        <w:t xml:space="preserve"> Shows results for the inhibition zone (mm) for </w:t>
      </w:r>
      <w:r w:rsidRPr="00BF4BEF">
        <w:rPr>
          <w:rFonts w:cstheme="minorBidi"/>
          <w:b/>
          <w:bCs/>
          <w:i/>
          <w:iCs/>
          <w:sz w:val="20"/>
          <w:szCs w:val="20"/>
        </w:rPr>
        <w:t>E. coli</w:t>
      </w:r>
      <w:r w:rsidRPr="00BF4BEF">
        <w:rPr>
          <w:rFonts w:cstheme="minorBidi"/>
          <w:b/>
          <w:bCs/>
          <w:sz w:val="20"/>
          <w:szCs w:val="20"/>
        </w:rPr>
        <w:t xml:space="preserve"> with all the test materials.</w:t>
      </w:r>
      <w:bookmarkEnd w:id="573"/>
    </w:p>
    <w:tbl>
      <w:tblPr>
        <w:tblStyle w:val="TableGrid"/>
        <w:tblpPr w:leftFromText="180" w:rightFromText="180" w:vertAnchor="text" w:horzAnchor="margin" w:tblpXSpec="center" w:tblpY="161"/>
        <w:tblW w:w="0" w:type="auto"/>
        <w:tblLook w:val="04A0" w:firstRow="1" w:lastRow="0" w:firstColumn="1" w:lastColumn="0" w:noHBand="0" w:noVBand="1"/>
      </w:tblPr>
      <w:tblGrid>
        <w:gridCol w:w="2288"/>
        <w:gridCol w:w="2809"/>
        <w:gridCol w:w="2809"/>
      </w:tblGrid>
      <w:tr w:rsidR="00EC38E2" w:rsidRPr="00B013ED" w:rsidTr="008F5F0E">
        <w:trPr>
          <w:trHeight w:val="697"/>
        </w:trPr>
        <w:tc>
          <w:tcPr>
            <w:tcW w:w="2288" w:type="dxa"/>
            <w:shd w:val="clear" w:color="auto" w:fill="17365D" w:themeFill="text2" w:themeFillShade="BF"/>
            <w:vAlign w:val="center"/>
          </w:tcPr>
          <w:p w:rsidR="00EC38E2" w:rsidRPr="00833E23" w:rsidRDefault="00EC38E2" w:rsidP="00CF6AEE">
            <w:pPr>
              <w:spacing w:after="120" w:line="480" w:lineRule="auto"/>
              <w:jc w:val="center"/>
              <w:rPr>
                <w:b/>
                <w:color w:val="FFFFFF" w:themeColor="background1"/>
                <w:sz w:val="20"/>
                <w:lang w:eastAsia="en-GB"/>
              </w:rPr>
            </w:pPr>
            <w:r w:rsidRPr="00833E23">
              <w:rPr>
                <w:b/>
                <w:color w:val="FFFFFF" w:themeColor="background1"/>
                <w:sz w:val="20"/>
                <w:lang w:eastAsia="en-GB"/>
              </w:rPr>
              <w:t>Test materials</w:t>
            </w:r>
          </w:p>
        </w:tc>
        <w:tc>
          <w:tcPr>
            <w:tcW w:w="2809" w:type="dxa"/>
            <w:shd w:val="clear" w:color="auto" w:fill="17365D" w:themeFill="text2" w:themeFillShade="BF"/>
            <w:vAlign w:val="center"/>
          </w:tcPr>
          <w:p w:rsidR="00EC38E2" w:rsidRPr="00833E23" w:rsidRDefault="00EC38E2" w:rsidP="00CF6AEE">
            <w:pPr>
              <w:spacing w:after="120"/>
              <w:jc w:val="center"/>
              <w:rPr>
                <w:b/>
                <w:color w:val="FFFFFF" w:themeColor="background1"/>
                <w:sz w:val="20"/>
                <w:lang w:eastAsia="en-GB"/>
              </w:rPr>
            </w:pPr>
            <w:r w:rsidRPr="00833E23">
              <w:rPr>
                <w:b/>
                <w:color w:val="FFFFFF" w:themeColor="background1"/>
                <w:sz w:val="20"/>
                <w:lang w:eastAsia="en-GB"/>
              </w:rPr>
              <w:t xml:space="preserve">Mean Zone of inhibition (MM) against </w:t>
            </w:r>
            <w:r w:rsidRPr="00833E23">
              <w:rPr>
                <w:b/>
                <w:color w:val="FFFFFF" w:themeColor="background1"/>
                <w:sz w:val="20"/>
              </w:rPr>
              <w:t xml:space="preserve"> </w:t>
            </w:r>
            <w:r w:rsidRPr="00833E23">
              <w:rPr>
                <w:b/>
                <w:i/>
                <w:iCs/>
                <w:color w:val="FFFFFF" w:themeColor="background1"/>
                <w:sz w:val="20"/>
                <w:lang w:eastAsia="en-GB"/>
              </w:rPr>
              <w:t>E Coli</w:t>
            </w:r>
            <w:r w:rsidRPr="00833E23">
              <w:rPr>
                <w:b/>
                <w:color w:val="FFFFFF" w:themeColor="background1"/>
                <w:sz w:val="20"/>
              </w:rPr>
              <w:t xml:space="preserve"> </w:t>
            </w:r>
            <w:r w:rsidRPr="00833E23">
              <w:rPr>
                <w:b/>
                <w:color w:val="FFFFFF" w:themeColor="background1"/>
                <w:sz w:val="20"/>
                <w:lang w:eastAsia="en-GB"/>
              </w:rPr>
              <w:t>NCTC (11954)</w:t>
            </w:r>
          </w:p>
        </w:tc>
        <w:tc>
          <w:tcPr>
            <w:tcW w:w="2809" w:type="dxa"/>
            <w:shd w:val="clear" w:color="auto" w:fill="17365D" w:themeFill="text2" w:themeFillShade="BF"/>
            <w:vAlign w:val="center"/>
          </w:tcPr>
          <w:p w:rsidR="00EC38E2" w:rsidRPr="00833E23" w:rsidRDefault="00EC38E2" w:rsidP="00CF6AEE">
            <w:pPr>
              <w:spacing w:after="120" w:line="480" w:lineRule="auto"/>
              <w:jc w:val="center"/>
              <w:rPr>
                <w:b/>
                <w:color w:val="FFFFFF" w:themeColor="background1"/>
                <w:sz w:val="20"/>
                <w:lang w:eastAsia="en-GB"/>
              </w:rPr>
            </w:pPr>
            <w:r w:rsidRPr="00833E23">
              <w:rPr>
                <w:b/>
                <w:color w:val="FFFFFF" w:themeColor="background1"/>
                <w:sz w:val="20"/>
                <w:lang w:eastAsia="en-GB"/>
              </w:rPr>
              <w:t>SD</w:t>
            </w:r>
          </w:p>
        </w:tc>
      </w:tr>
      <w:tr w:rsidR="00EC38E2" w:rsidRPr="00B013ED" w:rsidTr="008F5F0E">
        <w:trPr>
          <w:trHeight w:val="662"/>
        </w:trPr>
        <w:tc>
          <w:tcPr>
            <w:tcW w:w="2288" w:type="dxa"/>
            <w:shd w:val="clear" w:color="auto" w:fill="FDE9D9" w:themeFill="accent6" w:themeFillTint="33"/>
            <w:vAlign w:val="center"/>
          </w:tcPr>
          <w:p w:rsidR="00EC38E2" w:rsidRPr="00B013ED" w:rsidRDefault="00EC38E2" w:rsidP="00CF6AEE">
            <w:pPr>
              <w:spacing w:after="120" w:line="480" w:lineRule="auto"/>
              <w:jc w:val="center"/>
              <w:rPr>
                <w:b/>
                <w:color w:val="000000"/>
                <w:sz w:val="20"/>
                <w:lang w:eastAsia="en-GB"/>
              </w:rPr>
            </w:pPr>
            <w:r w:rsidRPr="00B013ED">
              <w:rPr>
                <w:b/>
                <w:color w:val="000000"/>
                <w:sz w:val="20"/>
                <w:lang w:eastAsia="en-GB"/>
              </w:rPr>
              <w:t>NSCH</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rPr>
                <w:b/>
                <w:color w:val="000000"/>
                <w:lang w:eastAsia="en-GB"/>
              </w:rPr>
              <w:t>27.58</w:t>
            </w:r>
            <w:r w:rsidR="00DF428A">
              <w:rPr>
                <w:b/>
                <w:color w:val="000000"/>
                <w:lang w:eastAsia="en-GB"/>
              </w:rPr>
              <w:t xml:space="preserve"> </w:t>
            </w:r>
            <w:r w:rsidRPr="00B013ED">
              <w:rPr>
                <w:b/>
                <w:color w:val="000000"/>
                <w:lang w:eastAsia="en-GB"/>
              </w:rPr>
              <w:t>mm</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t>2.25</w:t>
            </w:r>
          </w:p>
        </w:tc>
      </w:tr>
      <w:tr w:rsidR="00EC38E2" w:rsidRPr="00B013ED" w:rsidTr="008F5F0E">
        <w:trPr>
          <w:trHeight w:val="752"/>
        </w:trPr>
        <w:tc>
          <w:tcPr>
            <w:tcW w:w="2288" w:type="dxa"/>
            <w:shd w:val="clear" w:color="auto" w:fill="FDE9D9" w:themeFill="accent6" w:themeFillTint="33"/>
            <w:vAlign w:val="center"/>
          </w:tcPr>
          <w:p w:rsidR="00EC38E2" w:rsidRPr="00B013ED" w:rsidRDefault="00EC38E2" w:rsidP="00CF6AEE">
            <w:pPr>
              <w:spacing w:after="120" w:line="480" w:lineRule="auto"/>
              <w:jc w:val="center"/>
              <w:rPr>
                <w:b/>
                <w:color w:val="000000"/>
                <w:sz w:val="20"/>
                <w:lang w:eastAsia="en-GB"/>
              </w:rPr>
            </w:pPr>
            <w:r w:rsidRPr="00B013ED">
              <w:rPr>
                <w:b/>
                <w:color w:val="000000"/>
                <w:sz w:val="20"/>
                <w:lang w:eastAsia="en-GB"/>
              </w:rPr>
              <w:t>MTA</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rPr>
                <w:b/>
                <w:color w:val="000000"/>
                <w:lang w:eastAsia="en-GB"/>
              </w:rPr>
              <w:t>24.17</w:t>
            </w:r>
            <w:r w:rsidR="00DF428A">
              <w:rPr>
                <w:b/>
                <w:color w:val="000000"/>
                <w:lang w:eastAsia="en-GB"/>
              </w:rPr>
              <w:t xml:space="preserve"> </w:t>
            </w:r>
            <w:r w:rsidRPr="00B013ED">
              <w:rPr>
                <w:b/>
                <w:color w:val="000000"/>
                <w:lang w:eastAsia="en-GB"/>
              </w:rPr>
              <w:t>mm</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t>3.28</w:t>
            </w:r>
          </w:p>
        </w:tc>
      </w:tr>
      <w:tr w:rsidR="00EC38E2" w:rsidRPr="00B013ED" w:rsidTr="008F5F0E">
        <w:trPr>
          <w:trHeight w:val="587"/>
        </w:trPr>
        <w:tc>
          <w:tcPr>
            <w:tcW w:w="2288" w:type="dxa"/>
            <w:shd w:val="clear" w:color="auto" w:fill="FDE9D9" w:themeFill="accent6" w:themeFillTint="33"/>
            <w:vAlign w:val="center"/>
          </w:tcPr>
          <w:p w:rsidR="00EC38E2" w:rsidRPr="00B013ED" w:rsidRDefault="00EC38E2" w:rsidP="00CF6AEE">
            <w:pPr>
              <w:spacing w:after="120" w:line="480" w:lineRule="auto"/>
              <w:jc w:val="center"/>
              <w:rPr>
                <w:b/>
                <w:color w:val="000000"/>
                <w:sz w:val="20"/>
                <w:lang w:eastAsia="en-GB"/>
              </w:rPr>
            </w:pPr>
            <w:r w:rsidRPr="00B013ED">
              <w:rPr>
                <w:b/>
                <w:color w:val="000000"/>
                <w:sz w:val="20"/>
                <w:lang w:eastAsia="en-GB"/>
              </w:rPr>
              <w:t>Minocycline (Mino)</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rPr>
                <w:b/>
                <w:color w:val="000000"/>
                <w:lang w:eastAsia="en-GB"/>
              </w:rPr>
              <w:t>35.54</w:t>
            </w:r>
            <w:r w:rsidR="00DF428A">
              <w:rPr>
                <w:b/>
                <w:color w:val="000000"/>
                <w:lang w:eastAsia="en-GB"/>
              </w:rPr>
              <w:t xml:space="preserve"> </w:t>
            </w:r>
            <w:r w:rsidRPr="00B013ED">
              <w:rPr>
                <w:b/>
                <w:color w:val="000000"/>
                <w:lang w:eastAsia="en-GB"/>
              </w:rPr>
              <w:t>mm</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t>2.87</w:t>
            </w:r>
          </w:p>
        </w:tc>
      </w:tr>
      <w:tr w:rsidR="00EC38E2" w:rsidRPr="00B013ED" w:rsidTr="008F5F0E">
        <w:trPr>
          <w:trHeight w:val="677"/>
        </w:trPr>
        <w:tc>
          <w:tcPr>
            <w:tcW w:w="2288" w:type="dxa"/>
            <w:shd w:val="clear" w:color="auto" w:fill="FDE9D9" w:themeFill="accent6" w:themeFillTint="33"/>
            <w:vAlign w:val="center"/>
          </w:tcPr>
          <w:p w:rsidR="00EC38E2" w:rsidRPr="00B013ED" w:rsidRDefault="00EC38E2" w:rsidP="00CF6AEE">
            <w:pPr>
              <w:spacing w:after="120" w:line="480" w:lineRule="auto"/>
              <w:jc w:val="center"/>
              <w:rPr>
                <w:b/>
                <w:color w:val="000000"/>
                <w:sz w:val="20"/>
                <w:lang w:eastAsia="en-GB"/>
              </w:rPr>
            </w:pPr>
            <w:r w:rsidRPr="00B013ED">
              <w:rPr>
                <w:b/>
                <w:color w:val="000000"/>
                <w:sz w:val="20"/>
                <w:lang w:eastAsia="en-GB"/>
              </w:rPr>
              <w:t>Ciprofloxacin (Cip)</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rPr>
                <w:b/>
                <w:color w:val="000000"/>
                <w:lang w:eastAsia="en-GB"/>
              </w:rPr>
              <w:t>27.05</w:t>
            </w:r>
            <w:r w:rsidR="00DF428A">
              <w:rPr>
                <w:b/>
                <w:color w:val="000000"/>
                <w:lang w:eastAsia="en-GB"/>
              </w:rPr>
              <w:t xml:space="preserve"> </w:t>
            </w:r>
            <w:r w:rsidRPr="00B013ED">
              <w:rPr>
                <w:b/>
                <w:color w:val="000000"/>
                <w:lang w:eastAsia="en-GB"/>
              </w:rPr>
              <w:t>mm</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t>2.28</w:t>
            </w:r>
          </w:p>
        </w:tc>
      </w:tr>
      <w:tr w:rsidR="00EC38E2" w:rsidRPr="00B013ED" w:rsidTr="008F5F0E">
        <w:trPr>
          <w:trHeight w:val="662"/>
        </w:trPr>
        <w:tc>
          <w:tcPr>
            <w:tcW w:w="2288" w:type="dxa"/>
            <w:shd w:val="clear" w:color="auto" w:fill="FDE9D9" w:themeFill="accent6" w:themeFillTint="33"/>
            <w:vAlign w:val="center"/>
          </w:tcPr>
          <w:p w:rsidR="00EC38E2" w:rsidRPr="00B013ED" w:rsidRDefault="00EC38E2" w:rsidP="00CF6AEE">
            <w:pPr>
              <w:spacing w:after="120" w:line="480" w:lineRule="auto"/>
              <w:jc w:val="center"/>
              <w:rPr>
                <w:b/>
                <w:color w:val="000000"/>
                <w:sz w:val="20"/>
                <w:lang w:eastAsia="en-GB"/>
              </w:rPr>
            </w:pPr>
            <w:r w:rsidRPr="00B013ED">
              <w:rPr>
                <w:b/>
                <w:color w:val="000000"/>
                <w:sz w:val="20"/>
                <w:lang w:eastAsia="en-GB"/>
              </w:rPr>
              <w:t>Metronidazol (Met)</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rPr>
                <w:b/>
                <w:color w:val="000000"/>
                <w:lang w:eastAsia="en-GB"/>
              </w:rPr>
              <w:t>22.1</w:t>
            </w:r>
            <w:r w:rsidR="00DF428A">
              <w:rPr>
                <w:b/>
                <w:color w:val="000000"/>
                <w:lang w:eastAsia="en-GB"/>
              </w:rPr>
              <w:t xml:space="preserve"> </w:t>
            </w:r>
            <w:r w:rsidRPr="00B013ED">
              <w:rPr>
                <w:b/>
                <w:color w:val="000000"/>
                <w:lang w:eastAsia="en-GB"/>
              </w:rPr>
              <w:t>mm</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t>1.30</w:t>
            </w:r>
          </w:p>
        </w:tc>
      </w:tr>
      <w:tr w:rsidR="00EC38E2" w:rsidRPr="00B013ED" w:rsidTr="008F5F0E">
        <w:trPr>
          <w:trHeight w:val="677"/>
        </w:trPr>
        <w:tc>
          <w:tcPr>
            <w:tcW w:w="2288" w:type="dxa"/>
            <w:shd w:val="clear" w:color="auto" w:fill="FDE9D9" w:themeFill="accent6" w:themeFillTint="33"/>
            <w:vAlign w:val="center"/>
          </w:tcPr>
          <w:p w:rsidR="00EC38E2" w:rsidRPr="00B013ED" w:rsidRDefault="00EC38E2" w:rsidP="00CF6AEE">
            <w:pPr>
              <w:spacing w:after="120" w:line="480" w:lineRule="auto"/>
              <w:jc w:val="center"/>
              <w:rPr>
                <w:b/>
                <w:color w:val="000000"/>
                <w:sz w:val="20"/>
                <w:lang w:eastAsia="en-GB"/>
              </w:rPr>
            </w:pPr>
            <w:r w:rsidRPr="00B013ED">
              <w:rPr>
                <w:b/>
                <w:color w:val="000000"/>
                <w:sz w:val="20"/>
                <w:lang w:eastAsia="en-GB"/>
              </w:rPr>
              <w:t>(Cip + Met)</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rPr>
                <w:b/>
                <w:color w:val="000000"/>
                <w:lang w:eastAsia="en-GB"/>
              </w:rPr>
              <w:t>32.65</w:t>
            </w:r>
            <w:r w:rsidR="00DF428A">
              <w:rPr>
                <w:b/>
                <w:color w:val="000000"/>
                <w:lang w:eastAsia="en-GB"/>
              </w:rPr>
              <w:t xml:space="preserve"> mm</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t>4.64</w:t>
            </w:r>
          </w:p>
        </w:tc>
      </w:tr>
      <w:tr w:rsidR="00EC38E2" w:rsidRPr="00B013ED" w:rsidTr="008F5F0E">
        <w:trPr>
          <w:trHeight w:val="677"/>
        </w:trPr>
        <w:tc>
          <w:tcPr>
            <w:tcW w:w="2288" w:type="dxa"/>
            <w:shd w:val="clear" w:color="auto" w:fill="FDE9D9" w:themeFill="accent6" w:themeFillTint="33"/>
            <w:vAlign w:val="center"/>
          </w:tcPr>
          <w:p w:rsidR="00EC38E2" w:rsidRPr="00B013ED" w:rsidRDefault="00EC38E2" w:rsidP="00CF6AEE">
            <w:pPr>
              <w:spacing w:after="120" w:line="480" w:lineRule="auto"/>
              <w:jc w:val="center"/>
              <w:rPr>
                <w:b/>
                <w:color w:val="000000"/>
                <w:sz w:val="20"/>
                <w:lang w:eastAsia="en-GB"/>
              </w:rPr>
            </w:pPr>
            <w:r w:rsidRPr="00B013ED">
              <w:rPr>
                <w:b/>
                <w:color w:val="000000"/>
                <w:sz w:val="20"/>
                <w:lang w:eastAsia="en-GB"/>
              </w:rPr>
              <w:t>(Mino+ Cip + Met)</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rPr>
                <w:b/>
                <w:color w:val="000000"/>
                <w:lang w:eastAsia="en-GB"/>
              </w:rPr>
              <w:t>34.46</w:t>
            </w:r>
            <w:r w:rsidR="00DF428A">
              <w:rPr>
                <w:b/>
                <w:color w:val="000000"/>
                <w:lang w:eastAsia="en-GB"/>
              </w:rPr>
              <w:t xml:space="preserve"> </w:t>
            </w:r>
            <w:r w:rsidRPr="00B013ED">
              <w:rPr>
                <w:b/>
                <w:color w:val="000000"/>
                <w:lang w:eastAsia="en-GB"/>
              </w:rPr>
              <w:t>mm</w:t>
            </w:r>
          </w:p>
        </w:tc>
        <w:tc>
          <w:tcPr>
            <w:tcW w:w="2809" w:type="dxa"/>
            <w:vAlign w:val="center"/>
          </w:tcPr>
          <w:p w:rsidR="00EC38E2" w:rsidRPr="00B013ED" w:rsidRDefault="00EC38E2" w:rsidP="00CF6AEE">
            <w:pPr>
              <w:spacing w:after="120" w:line="480" w:lineRule="auto"/>
              <w:jc w:val="center"/>
              <w:rPr>
                <w:b/>
                <w:color w:val="000000"/>
                <w:lang w:eastAsia="en-GB"/>
              </w:rPr>
            </w:pPr>
            <w:r w:rsidRPr="00B013ED">
              <w:t>2.09</w:t>
            </w:r>
          </w:p>
        </w:tc>
      </w:tr>
    </w:tbl>
    <w:p w:rsidR="00B31017" w:rsidRDefault="00B31017" w:rsidP="00BD721A">
      <w:pPr>
        <w:rPr>
          <w:b/>
          <w:sz w:val="20"/>
          <w:szCs w:val="20"/>
        </w:rPr>
      </w:pPr>
      <w:bookmarkStart w:id="574" w:name="_Ref360527427"/>
    </w:p>
    <w:p w:rsidR="00390770" w:rsidRDefault="00390770">
      <w:pPr>
        <w:rPr>
          <w:b/>
          <w:sz w:val="20"/>
          <w:szCs w:val="20"/>
        </w:rPr>
      </w:pPr>
      <w:r>
        <w:rPr>
          <w:b/>
          <w:sz w:val="20"/>
          <w:szCs w:val="20"/>
        </w:rPr>
        <w:br w:type="page"/>
      </w:r>
    </w:p>
    <w:p w:rsidR="00390770" w:rsidRDefault="00390770" w:rsidP="00BD721A">
      <w:pPr>
        <w:rPr>
          <w:b/>
          <w:sz w:val="20"/>
          <w:szCs w:val="20"/>
        </w:rPr>
      </w:pPr>
    </w:p>
    <w:p w:rsidR="00CF6AEE" w:rsidRPr="0035196C" w:rsidRDefault="00C67C41" w:rsidP="00BD721A">
      <w:pPr>
        <w:rPr>
          <w:b/>
          <w:bCs/>
          <w:i/>
          <w:iCs/>
          <w:sz w:val="20"/>
          <w:szCs w:val="20"/>
          <w:lang w:eastAsia="en-GB"/>
        </w:rPr>
      </w:pPr>
      <w:bookmarkStart w:id="575" w:name="_Ref361733251"/>
      <w:bookmarkStart w:id="576" w:name="_Toc361733627"/>
      <w:bookmarkStart w:id="577" w:name="_Toc361734270"/>
      <w:r w:rsidRPr="0035196C">
        <w:rPr>
          <w:b/>
          <w:sz w:val="20"/>
          <w:szCs w:val="20"/>
        </w:rPr>
        <w:t>Figure</w:t>
      </w:r>
      <w:r w:rsidR="00CF6AEE" w:rsidRPr="0035196C">
        <w:rPr>
          <w:b/>
          <w:sz w:val="20"/>
          <w:szCs w:val="20"/>
        </w:rPr>
        <w:t xml:space="preserve"> </w:t>
      </w:r>
      <w:r w:rsidR="00DF37B0">
        <w:rPr>
          <w:b/>
          <w:sz w:val="20"/>
          <w:szCs w:val="20"/>
        </w:rPr>
        <w:fldChar w:fldCharType="begin"/>
      </w:r>
      <w:r w:rsidR="00DF37B0">
        <w:rPr>
          <w:b/>
          <w:sz w:val="20"/>
          <w:szCs w:val="20"/>
        </w:rPr>
        <w:instrText xml:space="preserve"> STYLEREF 1 \s </w:instrText>
      </w:r>
      <w:r w:rsidR="00DF37B0">
        <w:rPr>
          <w:b/>
          <w:sz w:val="20"/>
          <w:szCs w:val="20"/>
        </w:rPr>
        <w:fldChar w:fldCharType="separate"/>
      </w:r>
      <w:r w:rsidR="00374B77">
        <w:rPr>
          <w:b/>
          <w:noProof/>
          <w:sz w:val="20"/>
          <w:szCs w:val="20"/>
          <w:cs/>
        </w:rPr>
        <w:t>‎</w:t>
      </w:r>
      <w:r w:rsidR="00374B77">
        <w:rPr>
          <w:b/>
          <w:noProof/>
          <w:sz w:val="20"/>
          <w:szCs w:val="20"/>
        </w:rPr>
        <w:t>3</w:t>
      </w:r>
      <w:r w:rsidR="00DF37B0">
        <w:rPr>
          <w:b/>
          <w:sz w:val="20"/>
          <w:szCs w:val="20"/>
        </w:rPr>
        <w:fldChar w:fldCharType="end"/>
      </w:r>
      <w:r w:rsidR="00DF37B0">
        <w:rPr>
          <w:b/>
          <w:sz w:val="20"/>
          <w:szCs w:val="20"/>
        </w:rPr>
        <w:t>.</w:t>
      </w:r>
      <w:r w:rsidR="00DF37B0">
        <w:rPr>
          <w:b/>
          <w:sz w:val="20"/>
          <w:szCs w:val="20"/>
        </w:rPr>
        <w:fldChar w:fldCharType="begin"/>
      </w:r>
      <w:r w:rsidR="00DF37B0">
        <w:rPr>
          <w:b/>
          <w:sz w:val="20"/>
          <w:szCs w:val="20"/>
        </w:rPr>
        <w:instrText xml:space="preserve"> SEQ Figure \* ARABIC \s 1 </w:instrText>
      </w:r>
      <w:r w:rsidR="00DF37B0">
        <w:rPr>
          <w:b/>
          <w:sz w:val="20"/>
          <w:szCs w:val="20"/>
        </w:rPr>
        <w:fldChar w:fldCharType="separate"/>
      </w:r>
      <w:r w:rsidR="00374B77">
        <w:rPr>
          <w:b/>
          <w:noProof/>
          <w:sz w:val="20"/>
          <w:szCs w:val="20"/>
        </w:rPr>
        <w:t>13</w:t>
      </w:r>
      <w:r w:rsidR="00DF37B0">
        <w:rPr>
          <w:b/>
          <w:sz w:val="20"/>
          <w:szCs w:val="20"/>
        </w:rPr>
        <w:fldChar w:fldCharType="end"/>
      </w:r>
      <w:bookmarkEnd w:id="574"/>
      <w:bookmarkEnd w:id="575"/>
      <w:r w:rsidR="00CF6AEE" w:rsidRPr="0035196C">
        <w:rPr>
          <w:b/>
          <w:sz w:val="20"/>
          <w:szCs w:val="20"/>
        </w:rPr>
        <w:t xml:space="preserve"> </w:t>
      </w:r>
      <w:r w:rsidR="00CF6AEE" w:rsidRPr="0035196C">
        <w:rPr>
          <w:b/>
          <w:bCs/>
          <w:sz w:val="20"/>
          <w:szCs w:val="20"/>
          <w:lang w:eastAsia="en-GB"/>
        </w:rPr>
        <w:t xml:space="preserve">Shows a comparison of inhibition zone for all test material and antibiotics against </w:t>
      </w:r>
      <w:r w:rsidR="00CF6AEE" w:rsidRPr="0035196C">
        <w:rPr>
          <w:b/>
          <w:bCs/>
          <w:i/>
          <w:iCs/>
          <w:sz w:val="20"/>
          <w:szCs w:val="20"/>
          <w:lang w:eastAsia="en-GB"/>
        </w:rPr>
        <w:t>E coli</w:t>
      </w:r>
      <w:bookmarkEnd w:id="576"/>
      <w:bookmarkEnd w:id="577"/>
    </w:p>
    <w:p w:rsidR="00AD5957" w:rsidRPr="00AD5957" w:rsidRDefault="00AD5957" w:rsidP="00AD5957">
      <w:pPr>
        <w:rPr>
          <w:lang w:eastAsia="en-GB"/>
        </w:rPr>
      </w:pPr>
    </w:p>
    <w:p w:rsidR="00EC38E2" w:rsidRPr="00B013ED" w:rsidRDefault="00EC38E2" w:rsidP="00EC38E2">
      <w:pPr>
        <w:spacing w:after="120" w:line="480" w:lineRule="auto"/>
        <w:jc w:val="both"/>
        <w:rPr>
          <w:rFonts w:eastAsia="Times New Roman"/>
          <w:b/>
          <w:color w:val="000000"/>
          <w:lang w:eastAsia="en-GB"/>
        </w:rPr>
      </w:pPr>
      <w:r w:rsidRPr="00B013ED">
        <w:rPr>
          <w:noProof/>
          <w:lang w:eastAsia="en-GB"/>
        </w:rPr>
        <w:drawing>
          <wp:anchor distT="0" distB="0" distL="114300" distR="114300" simplePos="0" relativeHeight="251725824" behindDoc="0" locked="0" layoutInCell="1" allowOverlap="1" wp14:anchorId="075C1AE3" wp14:editId="73803C85">
            <wp:simplePos x="0" y="0"/>
            <wp:positionH relativeFrom="column">
              <wp:posOffset>276225</wp:posOffset>
            </wp:positionH>
            <wp:positionV relativeFrom="paragraph">
              <wp:posOffset>187325</wp:posOffset>
            </wp:positionV>
            <wp:extent cx="4715510" cy="3347720"/>
            <wp:effectExtent l="0" t="0" r="8890" b="5080"/>
            <wp:wrapSquare wrapText="bothSides"/>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rsidR="00AD5957" w:rsidRDefault="00AD5957" w:rsidP="00AD5957">
      <w:pPr>
        <w:spacing w:after="120" w:line="480" w:lineRule="auto"/>
        <w:jc w:val="both"/>
        <w:rPr>
          <w:rFonts w:eastAsia="Times New Roman"/>
          <w:bCs/>
          <w:color w:val="000000"/>
          <w:lang w:eastAsia="en-GB"/>
        </w:rPr>
      </w:pPr>
    </w:p>
    <w:p w:rsidR="00AD5957" w:rsidRPr="00820BED" w:rsidRDefault="00BD721A" w:rsidP="003C76DA">
      <w:pPr>
        <w:spacing w:after="120" w:line="480" w:lineRule="auto"/>
        <w:jc w:val="both"/>
        <w:rPr>
          <w:rFonts w:eastAsia="Times New Roman"/>
          <w:bCs/>
          <w:color w:val="000000"/>
          <w:szCs w:val="24"/>
          <w:lang w:eastAsia="en-GB"/>
        </w:rPr>
      </w:pPr>
      <w:r>
        <w:rPr>
          <w:rFonts w:eastAsia="Times New Roman"/>
          <w:bCs/>
          <w:color w:val="000000"/>
          <w:szCs w:val="24"/>
          <w:lang w:eastAsia="en-GB"/>
        </w:rPr>
        <w:t>S</w:t>
      </w:r>
      <w:r w:rsidR="00AD5957" w:rsidRPr="00820BED">
        <w:rPr>
          <w:rFonts w:eastAsia="Times New Roman"/>
          <w:bCs/>
          <w:color w:val="000000"/>
          <w:szCs w:val="24"/>
          <w:lang w:eastAsia="en-GB"/>
        </w:rPr>
        <w:t xml:space="preserve">tatistical </w:t>
      </w:r>
      <w:r w:rsidR="00AD5957" w:rsidRPr="0035196C">
        <w:rPr>
          <w:rFonts w:eastAsia="Times New Roman"/>
          <w:bCs/>
          <w:color w:val="000000"/>
          <w:szCs w:val="24"/>
          <w:lang w:eastAsia="en-GB"/>
        </w:rPr>
        <w:t xml:space="preserve">analysis </w:t>
      </w:r>
      <w:r w:rsidRPr="0035196C">
        <w:rPr>
          <w:rFonts w:eastAsia="Times New Roman"/>
          <w:bCs/>
          <w:color w:val="000000"/>
          <w:szCs w:val="24"/>
          <w:lang w:eastAsia="en-GB"/>
        </w:rPr>
        <w:t xml:space="preserve">of the data </w:t>
      </w:r>
      <w:r w:rsidR="00AD5957" w:rsidRPr="0035196C">
        <w:rPr>
          <w:rFonts w:eastAsia="Times New Roman"/>
          <w:bCs/>
          <w:color w:val="000000"/>
          <w:szCs w:val="24"/>
          <w:lang w:eastAsia="en-GB"/>
        </w:rPr>
        <w:t>is presented in</w:t>
      </w:r>
      <w:r w:rsidR="0035196C">
        <w:rPr>
          <w:rFonts w:eastAsia="Times New Roman"/>
          <w:bCs/>
          <w:color w:val="000000"/>
          <w:szCs w:val="24"/>
          <w:lang w:eastAsia="en-GB"/>
        </w:rPr>
        <w:t xml:space="preserve"> </w:t>
      </w:r>
      <w:r w:rsidR="0035196C" w:rsidRPr="003C76DA">
        <w:rPr>
          <w:rFonts w:eastAsia="Times New Roman" w:cstheme="minorBidi"/>
          <w:bCs/>
          <w:color w:val="000000"/>
          <w:szCs w:val="24"/>
          <w:lang w:eastAsia="en-GB"/>
        </w:rPr>
        <w:fldChar w:fldCharType="begin"/>
      </w:r>
      <w:r w:rsidR="0035196C" w:rsidRPr="003C76DA">
        <w:rPr>
          <w:rFonts w:eastAsia="Times New Roman" w:cstheme="minorBidi"/>
          <w:bCs/>
          <w:color w:val="000000"/>
          <w:szCs w:val="24"/>
          <w:lang w:eastAsia="en-GB"/>
        </w:rPr>
        <w:instrText xml:space="preserve"> REF _Ref361090967 \h  \* MERGEFORMAT </w:instrText>
      </w:r>
      <w:r w:rsidR="0035196C" w:rsidRPr="003C76DA">
        <w:rPr>
          <w:rFonts w:eastAsia="Times New Roman" w:cstheme="minorBidi"/>
          <w:bCs/>
          <w:color w:val="000000"/>
          <w:szCs w:val="24"/>
          <w:lang w:eastAsia="en-GB"/>
        </w:rPr>
      </w:r>
      <w:r w:rsidR="0035196C" w:rsidRPr="003C76DA">
        <w:rPr>
          <w:rFonts w:eastAsia="Times New Roman" w:cstheme="minorBidi"/>
          <w:bCs/>
          <w:color w:val="000000"/>
          <w:szCs w:val="24"/>
          <w:lang w:eastAsia="en-GB"/>
        </w:rPr>
        <w:fldChar w:fldCharType="separate"/>
      </w:r>
      <w:r w:rsidR="00374B77" w:rsidRPr="00374B77">
        <w:rPr>
          <w:rFonts w:cstheme="minorBidi"/>
          <w:bCs/>
          <w:szCs w:val="24"/>
        </w:rPr>
        <w:t xml:space="preserve">Table </w:t>
      </w:r>
      <w:r w:rsidR="00374B77" w:rsidRPr="00374B77">
        <w:rPr>
          <w:rFonts w:cstheme="minorBidi"/>
          <w:bCs/>
          <w:noProof/>
          <w:szCs w:val="24"/>
          <w:cs/>
        </w:rPr>
        <w:t>‎</w:t>
      </w:r>
      <w:r w:rsidR="00374B77">
        <w:rPr>
          <w:b/>
          <w:noProof/>
          <w:sz w:val="20"/>
          <w:szCs w:val="20"/>
        </w:rPr>
        <w:t>3.11</w:t>
      </w:r>
      <w:r w:rsidR="0035196C" w:rsidRPr="003C76DA">
        <w:rPr>
          <w:rFonts w:eastAsia="Times New Roman" w:cstheme="minorBidi"/>
          <w:bCs/>
          <w:color w:val="000000"/>
          <w:szCs w:val="24"/>
          <w:lang w:eastAsia="en-GB"/>
        </w:rPr>
        <w:fldChar w:fldCharType="end"/>
      </w:r>
      <w:r w:rsidR="003C76DA">
        <w:rPr>
          <w:rFonts w:eastAsia="Times New Roman"/>
          <w:bCs/>
          <w:color w:val="000000"/>
          <w:szCs w:val="24"/>
          <w:lang w:eastAsia="en-GB"/>
        </w:rPr>
        <w:t xml:space="preserve"> </w:t>
      </w:r>
      <w:r w:rsidR="00AD5957" w:rsidRPr="0035196C">
        <w:rPr>
          <w:rFonts w:eastAsia="Times New Roman"/>
          <w:bCs/>
          <w:color w:val="000000"/>
          <w:szCs w:val="24"/>
          <w:lang w:eastAsia="en-GB"/>
        </w:rPr>
        <w:t xml:space="preserve">It can be seen that </w:t>
      </w:r>
      <w:r w:rsidR="00632420">
        <w:rPr>
          <w:rFonts w:eastAsia="Times New Roman"/>
          <w:bCs/>
          <w:color w:val="000000"/>
          <w:szCs w:val="24"/>
          <w:lang w:eastAsia="en-GB"/>
        </w:rPr>
        <w:t xml:space="preserve">Minocycline has the best effect against E. coli, also </w:t>
      </w:r>
      <w:r w:rsidR="00AD5957" w:rsidRPr="0035196C">
        <w:rPr>
          <w:rFonts w:eastAsia="Times New Roman"/>
          <w:bCs/>
          <w:color w:val="000000"/>
          <w:szCs w:val="24"/>
          <w:lang w:eastAsia="en-GB"/>
        </w:rPr>
        <w:t>the</w:t>
      </w:r>
      <w:r w:rsidRPr="0035196C">
        <w:rPr>
          <w:rFonts w:eastAsia="Times New Roman"/>
          <w:bCs/>
          <w:color w:val="000000"/>
          <w:szCs w:val="24"/>
          <w:lang w:eastAsia="en-GB"/>
        </w:rPr>
        <w:t xml:space="preserve"> combination of</w:t>
      </w:r>
      <w:r w:rsidR="00AD5957" w:rsidRPr="0035196C">
        <w:rPr>
          <w:rFonts w:eastAsia="Times New Roman"/>
          <w:bCs/>
          <w:color w:val="000000"/>
          <w:szCs w:val="24"/>
          <w:lang w:eastAsia="en-GB"/>
        </w:rPr>
        <w:t xml:space="preserve"> Cip+Met are significantly </w:t>
      </w:r>
      <w:r w:rsidRPr="0035196C">
        <w:rPr>
          <w:rFonts w:eastAsia="Times New Roman"/>
          <w:bCs/>
          <w:color w:val="000000"/>
          <w:szCs w:val="24"/>
          <w:lang w:eastAsia="en-GB"/>
        </w:rPr>
        <w:t xml:space="preserve">more </w:t>
      </w:r>
      <w:r w:rsidR="00AD5957" w:rsidRPr="0035196C">
        <w:rPr>
          <w:rFonts w:eastAsia="Times New Roman"/>
          <w:bCs/>
          <w:color w:val="000000"/>
          <w:szCs w:val="24"/>
          <w:lang w:eastAsia="en-GB"/>
        </w:rPr>
        <w:t>effective</w:t>
      </w:r>
      <w:r w:rsidRPr="0035196C">
        <w:rPr>
          <w:rFonts w:eastAsia="Times New Roman"/>
          <w:bCs/>
          <w:color w:val="000000"/>
          <w:szCs w:val="24"/>
          <w:lang w:eastAsia="en-GB"/>
        </w:rPr>
        <w:t xml:space="preserve"> as compared with </w:t>
      </w:r>
      <w:r w:rsidR="00AD5957" w:rsidRPr="0035196C">
        <w:rPr>
          <w:rFonts w:eastAsia="Times New Roman"/>
          <w:bCs/>
          <w:color w:val="000000"/>
          <w:szCs w:val="24"/>
          <w:lang w:eastAsia="en-GB"/>
        </w:rPr>
        <w:t>other material</w:t>
      </w:r>
      <w:r w:rsidRPr="0035196C">
        <w:rPr>
          <w:rFonts w:eastAsia="Times New Roman"/>
          <w:bCs/>
          <w:color w:val="000000"/>
          <w:szCs w:val="24"/>
          <w:lang w:eastAsia="en-GB"/>
        </w:rPr>
        <w:t xml:space="preserve">s, </w:t>
      </w:r>
      <w:r w:rsidR="00AD5957" w:rsidRPr="0035196C">
        <w:rPr>
          <w:rFonts w:eastAsia="Times New Roman"/>
          <w:bCs/>
          <w:color w:val="000000"/>
          <w:szCs w:val="24"/>
          <w:lang w:eastAsia="en-GB"/>
        </w:rPr>
        <w:t xml:space="preserve">except </w:t>
      </w:r>
      <w:r w:rsidRPr="0035196C">
        <w:rPr>
          <w:rFonts w:eastAsia="Times New Roman"/>
          <w:bCs/>
          <w:color w:val="000000"/>
          <w:szCs w:val="24"/>
          <w:lang w:eastAsia="en-GB"/>
        </w:rPr>
        <w:t xml:space="preserve">when all </w:t>
      </w:r>
      <w:r w:rsidR="003C76DA" w:rsidRPr="003C76DA">
        <w:rPr>
          <w:rFonts w:eastAsia="Times New Roman"/>
          <w:bCs/>
          <w:color w:val="000000"/>
          <w:szCs w:val="24"/>
          <w:lang w:eastAsia="en-GB"/>
        </w:rPr>
        <w:t>three</w:t>
      </w:r>
      <w:r w:rsidRPr="0035196C">
        <w:rPr>
          <w:rFonts w:eastAsia="Times New Roman"/>
          <w:bCs/>
          <w:color w:val="000000"/>
          <w:szCs w:val="24"/>
          <w:lang w:eastAsia="en-GB"/>
        </w:rPr>
        <w:t xml:space="preserve"> antibiotics were used together </w:t>
      </w:r>
      <w:r w:rsidRPr="0035196C">
        <w:rPr>
          <w:bCs/>
          <w:color w:val="000000"/>
          <w:szCs w:val="24"/>
          <w:lang w:eastAsia="en-GB"/>
        </w:rPr>
        <w:t>(Mino+</w:t>
      </w:r>
      <w:r w:rsidR="00820BED" w:rsidRPr="0035196C">
        <w:rPr>
          <w:bCs/>
          <w:color w:val="000000"/>
          <w:szCs w:val="24"/>
          <w:lang w:eastAsia="en-GB"/>
        </w:rPr>
        <w:t>Cip+Met)</w:t>
      </w:r>
      <w:r w:rsidRPr="0035196C">
        <w:rPr>
          <w:bCs/>
          <w:color w:val="000000"/>
          <w:szCs w:val="24"/>
          <w:lang w:eastAsia="en-GB"/>
        </w:rPr>
        <w:t>.</w:t>
      </w:r>
      <w:r w:rsidR="00AD5957" w:rsidRPr="0035196C">
        <w:rPr>
          <w:rFonts w:eastAsia="Times New Roman"/>
          <w:bCs/>
          <w:color w:val="000000"/>
          <w:szCs w:val="24"/>
          <w:lang w:eastAsia="en-GB"/>
        </w:rPr>
        <w:t xml:space="preserve"> </w:t>
      </w:r>
      <w:r w:rsidRPr="0035196C">
        <w:rPr>
          <w:rFonts w:eastAsia="Times New Roman"/>
          <w:bCs/>
          <w:color w:val="000000"/>
          <w:szCs w:val="24"/>
          <w:lang w:eastAsia="en-GB"/>
        </w:rPr>
        <w:t xml:space="preserve">There was no significant difference between Cip+Met and </w:t>
      </w:r>
      <w:r w:rsidRPr="0035196C">
        <w:rPr>
          <w:bCs/>
          <w:color w:val="000000"/>
          <w:szCs w:val="24"/>
          <w:lang w:eastAsia="en-GB"/>
        </w:rPr>
        <w:t>Mino+ Cip + Met</w:t>
      </w:r>
      <w:r w:rsidRPr="0035196C">
        <w:rPr>
          <w:rFonts w:eastAsia="Times New Roman"/>
          <w:bCs/>
          <w:color w:val="000000"/>
          <w:szCs w:val="24"/>
          <w:lang w:eastAsia="en-GB"/>
        </w:rPr>
        <w:t>.</w:t>
      </w:r>
    </w:p>
    <w:p w:rsidR="001C618A" w:rsidRDefault="001C618A">
      <w:pPr>
        <w:rPr>
          <w:rFonts w:eastAsia="Times New Roman"/>
          <w:b/>
          <w:color w:val="000000"/>
          <w:lang w:eastAsia="en-GB"/>
        </w:rPr>
      </w:pPr>
      <w:r>
        <w:rPr>
          <w:rFonts w:eastAsia="Times New Roman"/>
          <w:b/>
          <w:color w:val="000000"/>
          <w:lang w:eastAsia="en-GB"/>
        </w:rPr>
        <w:br w:type="page"/>
      </w:r>
    </w:p>
    <w:tbl>
      <w:tblPr>
        <w:tblpPr w:leftFromText="180" w:rightFromText="180" w:vertAnchor="page" w:horzAnchor="margin" w:tblpY="2356"/>
        <w:tblW w:w="8480" w:type="dxa"/>
        <w:tblLayout w:type="fixed"/>
        <w:tblCellMar>
          <w:left w:w="10" w:type="dxa"/>
          <w:right w:w="10" w:type="dxa"/>
        </w:tblCellMar>
        <w:tblLook w:val="0000" w:firstRow="0" w:lastRow="0" w:firstColumn="0" w:lastColumn="0" w:noHBand="0" w:noVBand="0"/>
      </w:tblPr>
      <w:tblGrid>
        <w:gridCol w:w="1219"/>
        <w:gridCol w:w="1613"/>
        <w:gridCol w:w="1540"/>
        <w:gridCol w:w="592"/>
        <w:gridCol w:w="2211"/>
        <w:gridCol w:w="1305"/>
      </w:tblGrid>
      <w:tr w:rsidR="00DC0870" w:rsidRPr="00B013ED" w:rsidTr="00DC0870">
        <w:trPr>
          <w:gridAfter w:val="1"/>
          <w:wAfter w:w="1305" w:type="dxa"/>
          <w:cantSplit/>
          <w:trHeight w:val="166"/>
        </w:trPr>
        <w:tc>
          <w:tcPr>
            <w:tcW w:w="1219" w:type="dxa"/>
            <w:vMerge w:val="restart"/>
            <w:tcBorders>
              <w:top w:val="single" w:sz="18" w:space="0" w:color="000000"/>
              <w:left w:val="single" w:sz="18" w:space="0" w:color="000000"/>
            </w:tcBorders>
            <w:shd w:val="clear" w:color="auto" w:fill="EAF1DD" w:themeFill="accent3" w:themeFillTint="33"/>
            <w:tcMar>
              <w:top w:w="0" w:type="dxa"/>
              <w:left w:w="0" w:type="dxa"/>
              <w:bottom w:w="0" w:type="dxa"/>
              <w:right w:w="0" w:type="dxa"/>
            </w:tcMa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bookmarkStart w:id="578" w:name="_Toc370511747"/>
            <w:r w:rsidRPr="00B013ED">
              <w:rPr>
                <w:rFonts w:eastAsia="Calibri" w:cstheme="minorBidi"/>
                <w:color w:val="000000"/>
                <w:sz w:val="18"/>
                <w:szCs w:val="18"/>
              </w:rPr>
              <w:lastRenderedPageBreak/>
              <w:t>I) Treatment</w:t>
            </w:r>
            <w:bookmarkEnd w:id="578"/>
          </w:p>
        </w:tc>
        <w:tc>
          <w:tcPr>
            <w:tcW w:w="1613" w:type="dxa"/>
            <w:vMerge w:val="restart"/>
            <w:tcBorders>
              <w:top w:val="single" w:sz="18" w:space="0" w:color="000000"/>
              <w:right w:val="single" w:sz="18" w:space="0" w:color="000000"/>
            </w:tcBorders>
            <w:shd w:val="clear" w:color="auto" w:fill="EAF1DD" w:themeFill="accent3" w:themeFillTint="33"/>
            <w:tcMar>
              <w:top w:w="0" w:type="dxa"/>
              <w:left w:w="0" w:type="dxa"/>
              <w:bottom w:w="0" w:type="dxa"/>
              <w:right w:w="0" w:type="dxa"/>
            </w:tcMa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(J) Treatment</w:t>
            </w:r>
          </w:p>
        </w:tc>
        <w:tc>
          <w:tcPr>
            <w:tcW w:w="1540" w:type="dxa"/>
            <w:vMerge w:val="restart"/>
            <w:tcBorders>
              <w:top w:val="single" w:sz="18" w:space="0" w:color="000000"/>
              <w:left w:val="single" w:sz="1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DC0870" w:rsidRPr="00B013ED" w:rsidRDefault="00DC0870" w:rsidP="00DC0870">
            <w:pPr>
              <w:suppressAutoHyphens/>
              <w:autoSpaceDE w:val="0"/>
              <w:autoSpaceDN w:val="0"/>
              <w:spacing w:after="0" w:line="240" w:lineRule="auto"/>
              <w:ind w:left="60" w:right="60"/>
              <w:jc w:val="center"/>
              <w:textAlignment w:val="baseline"/>
              <w:rPr>
                <w:rFonts w:eastAsia="Calibri" w:cstheme="minorBidi"/>
                <w:color w:val="000000"/>
                <w:sz w:val="18"/>
                <w:szCs w:val="18"/>
              </w:rPr>
            </w:pPr>
            <w:r w:rsidRPr="00B013ED">
              <w:rPr>
                <w:rFonts w:eastAsia="Calibri" w:cstheme="minorBidi"/>
                <w:color w:val="000000"/>
                <w:sz w:val="18"/>
                <w:szCs w:val="18"/>
              </w:rPr>
              <w:t>Mean Difference (I-J)</w:t>
            </w:r>
          </w:p>
        </w:tc>
        <w:tc>
          <w:tcPr>
            <w:tcW w:w="592" w:type="dxa"/>
            <w:vMerge w:val="restart"/>
            <w:tcBorders>
              <w:top w:val="single" w:sz="18" w:space="0" w:color="000000"/>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DC0870" w:rsidRPr="00B013ED" w:rsidRDefault="00DC0870" w:rsidP="00DC0870">
            <w:pPr>
              <w:suppressAutoHyphens/>
              <w:autoSpaceDE w:val="0"/>
              <w:autoSpaceDN w:val="0"/>
              <w:spacing w:after="0" w:line="240" w:lineRule="auto"/>
              <w:ind w:left="60" w:right="60"/>
              <w:jc w:val="center"/>
              <w:textAlignment w:val="baseline"/>
              <w:rPr>
                <w:rFonts w:eastAsia="Calibri" w:cstheme="minorBidi"/>
                <w:color w:val="000000"/>
                <w:sz w:val="18"/>
                <w:szCs w:val="18"/>
              </w:rPr>
            </w:pPr>
            <w:r w:rsidRPr="00B013ED">
              <w:rPr>
                <w:rFonts w:eastAsia="Calibri" w:cstheme="minorBidi"/>
                <w:color w:val="000000"/>
                <w:sz w:val="18"/>
                <w:szCs w:val="18"/>
              </w:rPr>
              <w:t>Sig.</w:t>
            </w:r>
          </w:p>
        </w:tc>
        <w:tc>
          <w:tcPr>
            <w:tcW w:w="2211" w:type="dxa"/>
            <w:tcBorders>
              <w:top w:val="single" w:sz="18" w:space="0" w:color="000000"/>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DC0870" w:rsidRPr="00B013ED" w:rsidRDefault="00DC0870" w:rsidP="00DC0870">
            <w:pPr>
              <w:suppressAutoHyphens/>
              <w:autoSpaceDE w:val="0"/>
              <w:autoSpaceDN w:val="0"/>
              <w:spacing w:after="0" w:line="240" w:lineRule="auto"/>
              <w:ind w:left="60" w:right="60"/>
              <w:jc w:val="center"/>
              <w:textAlignment w:val="baseline"/>
              <w:rPr>
                <w:rFonts w:eastAsia="Calibri" w:cstheme="minorBidi"/>
                <w:color w:val="000000"/>
                <w:sz w:val="18"/>
                <w:szCs w:val="18"/>
              </w:rPr>
            </w:pPr>
            <w:r w:rsidRPr="00B013ED">
              <w:rPr>
                <w:rFonts w:eastAsia="Calibri" w:cstheme="minorBidi"/>
                <w:color w:val="000000"/>
                <w:sz w:val="18"/>
                <w:szCs w:val="18"/>
              </w:rPr>
              <w:t>95% Confidence Interval</w:t>
            </w:r>
          </w:p>
        </w:tc>
      </w:tr>
      <w:tr w:rsidR="00DC0870" w:rsidRPr="00B013ED" w:rsidTr="00DC0870">
        <w:trPr>
          <w:cantSplit/>
          <w:trHeight w:val="166"/>
        </w:trPr>
        <w:tc>
          <w:tcPr>
            <w:tcW w:w="1219" w:type="dxa"/>
            <w:vMerge/>
            <w:tcBorders>
              <w:top w:val="single" w:sz="18" w:space="0" w:color="000000"/>
              <w:left w:val="single" w:sz="18" w:space="0" w:color="000000"/>
              <w:bottom w:val="single" w:sz="18" w:space="0" w:color="000000"/>
            </w:tcBorders>
            <w:shd w:val="clear" w:color="auto" w:fill="EAF1DD" w:themeFill="accent3" w:themeFillTint="33"/>
            <w:tcMar>
              <w:top w:w="0" w:type="dxa"/>
              <w:left w:w="0" w:type="dxa"/>
              <w:bottom w:w="0" w:type="dxa"/>
              <w:right w:w="0" w:type="dxa"/>
            </w:tcMa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vMerge/>
            <w:tcBorders>
              <w:top w:val="single" w:sz="18" w:space="0" w:color="000000"/>
              <w:bottom w:val="single" w:sz="18" w:space="0" w:color="000000"/>
              <w:right w:val="single" w:sz="18" w:space="0" w:color="000000"/>
            </w:tcBorders>
            <w:shd w:val="clear" w:color="auto" w:fill="EAF1DD" w:themeFill="accent3" w:themeFillTint="33"/>
            <w:tcMar>
              <w:top w:w="0" w:type="dxa"/>
              <w:left w:w="0" w:type="dxa"/>
              <w:bottom w:w="0" w:type="dxa"/>
              <w:right w:w="0" w:type="dxa"/>
            </w:tcMa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540" w:type="dxa"/>
            <w:vMerge/>
            <w:tcBorders>
              <w:top w:val="single" w:sz="18" w:space="0" w:color="000000"/>
              <w:left w:val="single" w:sz="1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592" w:type="dxa"/>
            <w:vMerge/>
            <w:tcBorders>
              <w:top w:val="single" w:sz="18" w:space="0" w:color="000000"/>
              <w:left w:val="single" w:sz="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2211" w:type="dxa"/>
            <w:tcBorders>
              <w:top w:val="single" w:sz="8" w:space="0" w:color="000000"/>
              <w:left w:val="single" w:sz="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DC0870" w:rsidRPr="00B013ED" w:rsidRDefault="00DC0870" w:rsidP="00DC0870">
            <w:pPr>
              <w:suppressAutoHyphens/>
              <w:autoSpaceDE w:val="0"/>
              <w:autoSpaceDN w:val="0"/>
              <w:spacing w:after="0" w:line="240" w:lineRule="auto"/>
              <w:ind w:left="60" w:right="60"/>
              <w:jc w:val="center"/>
              <w:textAlignment w:val="baseline"/>
              <w:rPr>
                <w:rFonts w:eastAsia="Calibri" w:cstheme="minorBidi"/>
                <w:color w:val="000000"/>
                <w:sz w:val="18"/>
                <w:szCs w:val="18"/>
              </w:rPr>
            </w:pPr>
            <w:r w:rsidRPr="00B013ED">
              <w:rPr>
                <w:rFonts w:eastAsia="Calibri" w:cstheme="minorBidi"/>
                <w:color w:val="000000"/>
                <w:sz w:val="18"/>
                <w:szCs w:val="18"/>
              </w:rPr>
              <w:t>Lower Bound</w:t>
            </w:r>
          </w:p>
        </w:tc>
        <w:tc>
          <w:tcPr>
            <w:tcW w:w="1305" w:type="dxa"/>
            <w:tcBorders>
              <w:top w:val="single" w:sz="8" w:space="0" w:color="000000"/>
              <w:left w:val="single" w:sz="8" w:space="0" w:color="000000"/>
              <w:bottom w:val="single" w:sz="18" w:space="0" w:color="000000"/>
              <w:right w:val="single" w:sz="18" w:space="0" w:color="000000"/>
            </w:tcBorders>
            <w:shd w:val="clear" w:color="auto" w:fill="EAF1DD" w:themeFill="accent3" w:themeFillTint="33"/>
            <w:tcMar>
              <w:top w:w="0" w:type="dxa"/>
              <w:left w:w="0" w:type="dxa"/>
              <w:bottom w:w="0" w:type="dxa"/>
              <w:right w:w="0" w:type="dxa"/>
            </w:tcMar>
          </w:tcPr>
          <w:p w:rsidR="00DC0870" w:rsidRPr="00B013ED" w:rsidRDefault="00DC0870" w:rsidP="00DC0870">
            <w:pPr>
              <w:suppressAutoHyphens/>
              <w:autoSpaceDE w:val="0"/>
              <w:autoSpaceDN w:val="0"/>
              <w:spacing w:after="0" w:line="240" w:lineRule="auto"/>
              <w:ind w:left="60" w:right="60"/>
              <w:jc w:val="center"/>
              <w:textAlignment w:val="baseline"/>
              <w:rPr>
                <w:rFonts w:eastAsia="Calibri" w:cstheme="minorBidi"/>
                <w:color w:val="000000"/>
                <w:sz w:val="18"/>
                <w:szCs w:val="18"/>
              </w:rPr>
            </w:pPr>
            <w:r w:rsidRPr="00B013ED">
              <w:rPr>
                <w:rFonts w:eastAsia="Calibri" w:cstheme="minorBidi"/>
                <w:color w:val="000000"/>
                <w:sz w:val="18"/>
                <w:szCs w:val="18"/>
              </w:rPr>
              <w:t>Upper Bound</w:t>
            </w:r>
          </w:p>
        </w:tc>
      </w:tr>
      <w:tr w:rsidR="00DC0870" w:rsidRPr="00B013ED" w:rsidTr="00DC0870">
        <w:trPr>
          <w:cantSplit/>
          <w:trHeight w:val="166"/>
        </w:trPr>
        <w:tc>
          <w:tcPr>
            <w:tcW w:w="1219" w:type="dxa"/>
            <w:vMerge w:val="restart"/>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613" w:type="dxa"/>
            <w:tcBorders>
              <w:top w:val="single" w:sz="1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540" w:type="dxa"/>
            <w:tcBorders>
              <w:top w:val="single" w:sz="18" w:space="0" w:color="000000"/>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3.40</w:t>
            </w:r>
            <w:r w:rsidRPr="00B013ED">
              <w:rPr>
                <w:rFonts w:eastAsia="Calibri" w:cstheme="minorBidi"/>
                <w:color w:val="000000"/>
                <w:sz w:val="18"/>
                <w:szCs w:val="18"/>
                <w:vertAlign w:val="superscript"/>
              </w:rPr>
              <w:t>*</w:t>
            </w:r>
          </w:p>
        </w:tc>
        <w:tc>
          <w:tcPr>
            <w:tcW w:w="592" w:type="dxa"/>
            <w:tcBorders>
              <w:top w:val="single" w:sz="18" w:space="0" w:color="000000"/>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.014</w:t>
            </w:r>
          </w:p>
        </w:tc>
        <w:tc>
          <w:tcPr>
            <w:tcW w:w="2211" w:type="dxa"/>
            <w:tcBorders>
              <w:top w:val="single" w:sz="18" w:space="0" w:color="000000"/>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.7116</w:t>
            </w:r>
          </w:p>
        </w:tc>
        <w:tc>
          <w:tcPr>
            <w:tcW w:w="1305" w:type="dxa"/>
            <w:tcBorders>
              <w:top w:val="single" w:sz="18" w:space="0" w:color="000000"/>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6.0951</w:t>
            </w:r>
          </w:p>
        </w:tc>
      </w:tr>
      <w:tr w:rsidR="00DC0870" w:rsidRPr="00B013ED" w:rsidTr="00DC0870">
        <w:trPr>
          <w:cantSplit/>
          <w:trHeight w:val="166"/>
        </w:trPr>
        <w:tc>
          <w:tcPr>
            <w:tcW w:w="1219"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540"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-7.96</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-10.6551</w:t>
            </w:r>
          </w:p>
        </w:tc>
        <w:tc>
          <w:tcPr>
            <w:tcW w:w="1305"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-5.2716</w:t>
            </w:r>
          </w:p>
        </w:tc>
      </w:tr>
      <w:tr w:rsidR="00DC0870" w:rsidRPr="00B013ED" w:rsidTr="00DC0870">
        <w:trPr>
          <w:cantSplit/>
          <w:trHeight w:val="166"/>
        </w:trPr>
        <w:tc>
          <w:tcPr>
            <w:tcW w:w="1219"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540"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.68</w:t>
            </w:r>
          </w:p>
        </w:tc>
        <w:tc>
          <w:tcPr>
            <w:tcW w:w="592"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.615</w:t>
            </w:r>
          </w:p>
        </w:tc>
        <w:tc>
          <w:tcPr>
            <w:tcW w:w="2211"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-2.0118</w:t>
            </w:r>
          </w:p>
        </w:tc>
        <w:tc>
          <w:tcPr>
            <w:tcW w:w="1305"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3.3718</w:t>
            </w:r>
          </w:p>
        </w:tc>
      </w:tr>
      <w:tr w:rsidR="00DC0870" w:rsidRPr="00B013ED" w:rsidTr="00DC0870">
        <w:trPr>
          <w:cantSplit/>
          <w:trHeight w:val="166"/>
        </w:trPr>
        <w:tc>
          <w:tcPr>
            <w:tcW w:w="1219"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540"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5.52</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2.8282</w:t>
            </w:r>
          </w:p>
        </w:tc>
        <w:tc>
          <w:tcPr>
            <w:tcW w:w="1305"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8.2118</w:t>
            </w:r>
          </w:p>
        </w:tc>
      </w:tr>
      <w:tr w:rsidR="00DC0870" w:rsidRPr="00B013ED" w:rsidTr="00DC0870">
        <w:trPr>
          <w:cantSplit/>
          <w:trHeight w:val="166"/>
        </w:trPr>
        <w:tc>
          <w:tcPr>
            <w:tcW w:w="1219"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540"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-5.07</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-7.7640</w:t>
            </w:r>
          </w:p>
        </w:tc>
        <w:tc>
          <w:tcPr>
            <w:tcW w:w="1305"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-2.3805</w:t>
            </w:r>
          </w:p>
        </w:tc>
      </w:tr>
      <w:tr w:rsidR="00DC0870" w:rsidRPr="00B013ED" w:rsidTr="00DC0870">
        <w:trPr>
          <w:cantSplit/>
          <w:trHeight w:val="166"/>
        </w:trPr>
        <w:tc>
          <w:tcPr>
            <w:tcW w:w="1219" w:type="dxa"/>
            <w:vMerge/>
            <w:tcBorders>
              <w:top w:val="single" w:sz="18" w:space="0" w:color="000000"/>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bottom w:val="single" w:sz="4" w:space="0" w:color="auto"/>
              <w:right w:val="single" w:sz="1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540" w:type="dxa"/>
            <w:tcBorders>
              <w:left w:val="single" w:sz="1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-6.88</w:t>
            </w:r>
            <w:r w:rsidRPr="00B013ED">
              <w:rPr>
                <w:rFonts w:eastAsia="Calibri" w:cstheme="minorBidi"/>
                <w:color w:val="000000"/>
                <w:sz w:val="18"/>
                <w:szCs w:val="18"/>
                <w:vertAlign w:val="superscript"/>
              </w:rPr>
              <w:t>*</w:t>
            </w:r>
          </w:p>
        </w:tc>
        <w:tc>
          <w:tcPr>
            <w:tcW w:w="592" w:type="dxa"/>
            <w:tcBorders>
              <w:left w:val="single" w:sz="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-9.5762</w:t>
            </w:r>
          </w:p>
        </w:tc>
        <w:tc>
          <w:tcPr>
            <w:tcW w:w="1305" w:type="dxa"/>
            <w:tcBorders>
              <w:left w:val="single" w:sz="8" w:space="0" w:color="000000"/>
              <w:bottom w:val="single" w:sz="4" w:space="0" w:color="auto"/>
              <w:right w:val="single" w:sz="18" w:space="0" w:color="000000"/>
            </w:tcBorders>
            <w:shd w:val="clear" w:color="auto" w:fill="FDE9D9" w:themeFill="accent6"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-4.1927</w:t>
            </w:r>
          </w:p>
        </w:tc>
      </w:tr>
      <w:tr w:rsidR="00DC0870" w:rsidRPr="00B013ED" w:rsidTr="00DC0870">
        <w:trPr>
          <w:cantSplit/>
          <w:trHeight w:val="166"/>
        </w:trPr>
        <w:tc>
          <w:tcPr>
            <w:tcW w:w="1219"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613" w:type="dxa"/>
            <w:tcBorders>
              <w:top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540" w:type="dxa"/>
            <w:tcBorders>
              <w:top w:val="single" w:sz="4" w:space="0" w:color="auto"/>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-3.40</w:t>
            </w:r>
            <w:r w:rsidRPr="00B013ED">
              <w:rPr>
                <w:rFonts w:eastAsia="Calibri" w:cstheme="minorBidi"/>
                <w:color w:val="000000"/>
                <w:sz w:val="18"/>
                <w:szCs w:val="18"/>
                <w:vertAlign w:val="superscript"/>
              </w:rPr>
              <w:t>*</w:t>
            </w:r>
          </w:p>
        </w:tc>
        <w:tc>
          <w:tcPr>
            <w:tcW w:w="592" w:type="dxa"/>
            <w:tcBorders>
              <w:top w:val="single" w:sz="4" w:space="0" w:color="auto"/>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.014</w:t>
            </w:r>
          </w:p>
        </w:tc>
        <w:tc>
          <w:tcPr>
            <w:tcW w:w="2211" w:type="dxa"/>
            <w:tcBorders>
              <w:top w:val="single" w:sz="4" w:space="0" w:color="auto"/>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-6.0951</w:t>
            </w:r>
          </w:p>
        </w:tc>
        <w:tc>
          <w:tcPr>
            <w:tcW w:w="1305" w:type="dxa"/>
            <w:tcBorders>
              <w:top w:val="single" w:sz="4" w:space="0" w:color="auto"/>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-.7116</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540"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-11.37</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-14.0584</w:t>
            </w:r>
          </w:p>
        </w:tc>
        <w:tc>
          <w:tcPr>
            <w:tcW w:w="1305"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-8.6749</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540"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-2.73</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.047</w:t>
            </w:r>
          </w:p>
        </w:tc>
        <w:tc>
          <w:tcPr>
            <w:tcW w:w="2211"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-5.4151</w:t>
            </w:r>
          </w:p>
        </w:tc>
        <w:tc>
          <w:tcPr>
            <w:tcW w:w="1305"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-.0316</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540"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2.12</w:t>
            </w:r>
          </w:p>
        </w:tc>
        <w:tc>
          <w:tcPr>
            <w:tcW w:w="592"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.121</w:t>
            </w:r>
          </w:p>
        </w:tc>
        <w:tc>
          <w:tcPr>
            <w:tcW w:w="2211"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-.5751</w:t>
            </w:r>
          </w:p>
        </w:tc>
        <w:tc>
          <w:tcPr>
            <w:tcW w:w="1305"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4.8084</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540"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-8.48</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-11.1673</w:t>
            </w:r>
          </w:p>
        </w:tc>
        <w:tc>
          <w:tcPr>
            <w:tcW w:w="1305"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-5.7838</w:t>
            </w:r>
          </w:p>
        </w:tc>
      </w:tr>
      <w:tr w:rsidR="00DC0870" w:rsidRPr="00B013ED" w:rsidTr="00DC0870">
        <w:trPr>
          <w:cantSplit/>
          <w:trHeight w:val="166"/>
        </w:trPr>
        <w:tc>
          <w:tcPr>
            <w:tcW w:w="1219"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bottom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540" w:type="dxa"/>
            <w:tcBorders>
              <w:left w:val="single" w:sz="1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-10.29</w:t>
            </w:r>
            <w:r w:rsidRPr="00B013ED">
              <w:rPr>
                <w:rFonts w:eastAsia="Calibri" w:cstheme="minorBidi"/>
                <w:color w:val="000000"/>
                <w:sz w:val="18"/>
                <w:szCs w:val="18"/>
                <w:vertAlign w:val="superscript"/>
              </w:rPr>
              <w:t>*</w:t>
            </w:r>
          </w:p>
        </w:tc>
        <w:tc>
          <w:tcPr>
            <w:tcW w:w="592" w:type="dxa"/>
            <w:tcBorders>
              <w:left w:val="single" w:sz="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-12.9795</w:t>
            </w:r>
          </w:p>
        </w:tc>
        <w:tc>
          <w:tcPr>
            <w:tcW w:w="1305" w:type="dxa"/>
            <w:tcBorders>
              <w:left w:val="single" w:sz="8" w:space="0" w:color="000000"/>
              <w:bottom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-7.5960</w:t>
            </w:r>
          </w:p>
        </w:tc>
      </w:tr>
      <w:tr w:rsidR="00DC0870" w:rsidRPr="00B013ED" w:rsidTr="00DC0870">
        <w:trPr>
          <w:cantSplit/>
          <w:trHeight w:val="360"/>
        </w:trPr>
        <w:tc>
          <w:tcPr>
            <w:tcW w:w="1219"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613" w:type="dxa"/>
            <w:tcBorders>
              <w:top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540" w:type="dxa"/>
            <w:tcBorders>
              <w:top w:val="single" w:sz="4" w:space="0" w:color="auto"/>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7.96</w:t>
            </w:r>
            <w:r w:rsidRPr="00B013ED">
              <w:rPr>
                <w:rFonts w:eastAsia="Calibri" w:cstheme="minorBidi"/>
                <w:color w:val="000000"/>
                <w:sz w:val="18"/>
                <w:szCs w:val="18"/>
                <w:vertAlign w:val="superscript"/>
              </w:rPr>
              <w:t>*</w:t>
            </w:r>
          </w:p>
        </w:tc>
        <w:tc>
          <w:tcPr>
            <w:tcW w:w="592" w:type="dxa"/>
            <w:tcBorders>
              <w:top w:val="single" w:sz="4" w:space="0" w:color="auto"/>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top w:val="single" w:sz="4" w:space="0" w:color="auto"/>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5.2716</w:t>
            </w:r>
          </w:p>
        </w:tc>
        <w:tc>
          <w:tcPr>
            <w:tcW w:w="1305" w:type="dxa"/>
            <w:tcBorders>
              <w:top w:val="single" w:sz="4" w:space="0" w:color="auto"/>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10.6551</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540"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11.37</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8.6749</w:t>
            </w:r>
          </w:p>
        </w:tc>
        <w:tc>
          <w:tcPr>
            <w:tcW w:w="1305"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14.0584</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540"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8.64</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5.9516</w:t>
            </w:r>
          </w:p>
        </w:tc>
        <w:tc>
          <w:tcPr>
            <w:tcW w:w="1305"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11.3351</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540"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13.48</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10.7916</w:t>
            </w:r>
          </w:p>
        </w:tc>
        <w:tc>
          <w:tcPr>
            <w:tcW w:w="1305"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16.1751</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540"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2.89</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.036</w:t>
            </w:r>
          </w:p>
        </w:tc>
        <w:tc>
          <w:tcPr>
            <w:tcW w:w="2211"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.1993</w:t>
            </w:r>
          </w:p>
        </w:tc>
        <w:tc>
          <w:tcPr>
            <w:tcW w:w="1305"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5.5829</w:t>
            </w:r>
          </w:p>
        </w:tc>
      </w:tr>
      <w:tr w:rsidR="00DC0870" w:rsidRPr="00B013ED" w:rsidTr="00DC0870">
        <w:trPr>
          <w:cantSplit/>
          <w:trHeight w:val="166"/>
        </w:trPr>
        <w:tc>
          <w:tcPr>
            <w:tcW w:w="1219"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bottom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540" w:type="dxa"/>
            <w:tcBorders>
              <w:left w:val="single" w:sz="1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1.08</w:t>
            </w:r>
          </w:p>
        </w:tc>
        <w:tc>
          <w:tcPr>
            <w:tcW w:w="592" w:type="dxa"/>
            <w:tcBorders>
              <w:left w:val="single" w:sz="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.425</w:t>
            </w:r>
          </w:p>
        </w:tc>
        <w:tc>
          <w:tcPr>
            <w:tcW w:w="2211" w:type="dxa"/>
            <w:tcBorders>
              <w:left w:val="single" w:sz="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-1.6129</w:t>
            </w:r>
          </w:p>
        </w:tc>
        <w:tc>
          <w:tcPr>
            <w:tcW w:w="1305" w:type="dxa"/>
            <w:tcBorders>
              <w:left w:val="single" w:sz="8" w:space="0" w:color="000000"/>
              <w:bottom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3.7707</w:t>
            </w:r>
          </w:p>
        </w:tc>
      </w:tr>
      <w:tr w:rsidR="00DC0870" w:rsidRPr="00B013ED" w:rsidTr="00DC0870">
        <w:trPr>
          <w:cantSplit/>
          <w:trHeight w:val="376"/>
        </w:trPr>
        <w:tc>
          <w:tcPr>
            <w:tcW w:w="1219"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613" w:type="dxa"/>
            <w:tcBorders>
              <w:top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540" w:type="dxa"/>
            <w:tcBorders>
              <w:top w:val="single" w:sz="4" w:space="0" w:color="auto"/>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-.68</w:t>
            </w:r>
          </w:p>
        </w:tc>
        <w:tc>
          <w:tcPr>
            <w:tcW w:w="592" w:type="dxa"/>
            <w:tcBorders>
              <w:top w:val="single" w:sz="4" w:space="0" w:color="auto"/>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.615</w:t>
            </w:r>
          </w:p>
        </w:tc>
        <w:tc>
          <w:tcPr>
            <w:tcW w:w="2211" w:type="dxa"/>
            <w:tcBorders>
              <w:top w:val="single" w:sz="4" w:space="0" w:color="auto"/>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-3.3718</w:t>
            </w:r>
          </w:p>
        </w:tc>
        <w:tc>
          <w:tcPr>
            <w:tcW w:w="1305" w:type="dxa"/>
            <w:tcBorders>
              <w:top w:val="single" w:sz="4" w:space="0" w:color="auto"/>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2.0118</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540"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2.72</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.047</w:t>
            </w:r>
          </w:p>
        </w:tc>
        <w:tc>
          <w:tcPr>
            <w:tcW w:w="2211"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.0316</w:t>
            </w:r>
          </w:p>
        </w:tc>
        <w:tc>
          <w:tcPr>
            <w:tcW w:w="1305"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5.4151</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540"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-8.64</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-11.3351</w:t>
            </w:r>
          </w:p>
        </w:tc>
        <w:tc>
          <w:tcPr>
            <w:tcW w:w="1305"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-5.9516</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540"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4.84</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.001</w:t>
            </w:r>
          </w:p>
        </w:tc>
        <w:tc>
          <w:tcPr>
            <w:tcW w:w="2211"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2.1482</w:t>
            </w:r>
          </w:p>
        </w:tc>
        <w:tc>
          <w:tcPr>
            <w:tcW w:w="1305"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7.5318</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540"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-5.75</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-8.4440</w:t>
            </w:r>
          </w:p>
        </w:tc>
        <w:tc>
          <w:tcPr>
            <w:tcW w:w="1305"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-3.0605</w:t>
            </w:r>
          </w:p>
        </w:tc>
      </w:tr>
      <w:tr w:rsidR="00DC0870" w:rsidRPr="00B013ED" w:rsidTr="00DC0870">
        <w:trPr>
          <w:cantSplit/>
          <w:trHeight w:val="166"/>
        </w:trPr>
        <w:tc>
          <w:tcPr>
            <w:tcW w:w="1219"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bottom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540" w:type="dxa"/>
            <w:tcBorders>
              <w:left w:val="single" w:sz="1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-7.56</w:t>
            </w:r>
            <w:r w:rsidRPr="00B013ED">
              <w:rPr>
                <w:rFonts w:eastAsia="Calibri" w:cstheme="minorBidi"/>
                <w:color w:val="000000"/>
                <w:sz w:val="18"/>
                <w:szCs w:val="18"/>
                <w:vertAlign w:val="superscript"/>
              </w:rPr>
              <w:t>*</w:t>
            </w:r>
          </w:p>
        </w:tc>
        <w:tc>
          <w:tcPr>
            <w:tcW w:w="592" w:type="dxa"/>
            <w:tcBorders>
              <w:left w:val="single" w:sz="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-10.2562</w:t>
            </w:r>
          </w:p>
        </w:tc>
        <w:tc>
          <w:tcPr>
            <w:tcW w:w="1305" w:type="dxa"/>
            <w:tcBorders>
              <w:left w:val="single" w:sz="8" w:space="0" w:color="000000"/>
              <w:bottom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-4.8727</w:t>
            </w:r>
          </w:p>
        </w:tc>
      </w:tr>
      <w:tr w:rsidR="00DC0870" w:rsidRPr="00B013ED" w:rsidTr="00DC0870">
        <w:trPr>
          <w:cantSplit/>
          <w:trHeight w:val="376"/>
        </w:trPr>
        <w:tc>
          <w:tcPr>
            <w:tcW w:w="1219"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613" w:type="dxa"/>
            <w:tcBorders>
              <w:top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540" w:type="dxa"/>
            <w:tcBorders>
              <w:top w:val="single" w:sz="4" w:space="0" w:color="auto"/>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-5.52</w:t>
            </w:r>
            <w:r w:rsidRPr="00B013ED">
              <w:rPr>
                <w:rFonts w:eastAsia="Calibri" w:cstheme="minorBidi"/>
                <w:color w:val="000000"/>
                <w:sz w:val="18"/>
                <w:szCs w:val="18"/>
                <w:vertAlign w:val="superscript"/>
              </w:rPr>
              <w:t>*</w:t>
            </w:r>
          </w:p>
        </w:tc>
        <w:tc>
          <w:tcPr>
            <w:tcW w:w="592" w:type="dxa"/>
            <w:tcBorders>
              <w:top w:val="single" w:sz="4" w:space="0" w:color="auto"/>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top w:val="single" w:sz="4" w:space="0" w:color="auto"/>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-8.2118</w:t>
            </w:r>
          </w:p>
        </w:tc>
        <w:tc>
          <w:tcPr>
            <w:tcW w:w="1305" w:type="dxa"/>
            <w:tcBorders>
              <w:top w:val="single" w:sz="4" w:space="0" w:color="auto"/>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-2.8282</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540"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-2.12</w:t>
            </w:r>
          </w:p>
        </w:tc>
        <w:tc>
          <w:tcPr>
            <w:tcW w:w="592"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.121</w:t>
            </w:r>
          </w:p>
        </w:tc>
        <w:tc>
          <w:tcPr>
            <w:tcW w:w="2211"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-4.8084</w:t>
            </w:r>
          </w:p>
        </w:tc>
        <w:tc>
          <w:tcPr>
            <w:tcW w:w="1305"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.5751</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540"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-13.49</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-16.1751</w:t>
            </w:r>
          </w:p>
        </w:tc>
        <w:tc>
          <w:tcPr>
            <w:tcW w:w="1305"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-10.7916</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540"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-4.84</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.001</w:t>
            </w:r>
          </w:p>
        </w:tc>
        <w:tc>
          <w:tcPr>
            <w:tcW w:w="2211"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-7.5318</w:t>
            </w:r>
          </w:p>
        </w:tc>
        <w:tc>
          <w:tcPr>
            <w:tcW w:w="1305"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-2.1482</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540"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-10.59</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-13.2840</w:t>
            </w:r>
          </w:p>
        </w:tc>
        <w:tc>
          <w:tcPr>
            <w:tcW w:w="1305"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-7.9005</w:t>
            </w:r>
          </w:p>
        </w:tc>
      </w:tr>
      <w:tr w:rsidR="00DC0870" w:rsidRPr="00B013ED" w:rsidTr="00DC0870">
        <w:trPr>
          <w:cantSplit/>
          <w:trHeight w:val="166"/>
        </w:trPr>
        <w:tc>
          <w:tcPr>
            <w:tcW w:w="1219"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bottom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540" w:type="dxa"/>
            <w:tcBorders>
              <w:left w:val="single" w:sz="1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-12.40</w:t>
            </w:r>
            <w:r w:rsidRPr="00B013ED">
              <w:rPr>
                <w:rFonts w:eastAsia="Calibri" w:cstheme="minorBidi"/>
                <w:color w:val="000000"/>
                <w:sz w:val="18"/>
                <w:szCs w:val="18"/>
                <w:vertAlign w:val="superscript"/>
              </w:rPr>
              <w:t>*</w:t>
            </w:r>
          </w:p>
        </w:tc>
        <w:tc>
          <w:tcPr>
            <w:tcW w:w="592" w:type="dxa"/>
            <w:tcBorders>
              <w:left w:val="single" w:sz="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-15.0962</w:t>
            </w:r>
          </w:p>
        </w:tc>
        <w:tc>
          <w:tcPr>
            <w:tcW w:w="1305" w:type="dxa"/>
            <w:tcBorders>
              <w:left w:val="single" w:sz="8" w:space="0" w:color="000000"/>
              <w:bottom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-9.7127</w:t>
            </w:r>
          </w:p>
        </w:tc>
      </w:tr>
      <w:tr w:rsidR="00DC0870" w:rsidRPr="00B013ED" w:rsidTr="00DC0870">
        <w:trPr>
          <w:cantSplit/>
          <w:trHeight w:val="360"/>
        </w:trPr>
        <w:tc>
          <w:tcPr>
            <w:tcW w:w="1219"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613" w:type="dxa"/>
            <w:tcBorders>
              <w:top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540" w:type="dxa"/>
            <w:tcBorders>
              <w:top w:val="single" w:sz="4" w:space="0" w:color="auto"/>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5.07</w:t>
            </w:r>
            <w:r w:rsidRPr="00B013ED">
              <w:rPr>
                <w:rFonts w:eastAsia="Calibri" w:cstheme="minorBidi"/>
                <w:color w:val="000000"/>
                <w:sz w:val="18"/>
                <w:szCs w:val="18"/>
                <w:vertAlign w:val="superscript"/>
              </w:rPr>
              <w:t>*</w:t>
            </w:r>
          </w:p>
        </w:tc>
        <w:tc>
          <w:tcPr>
            <w:tcW w:w="592" w:type="dxa"/>
            <w:tcBorders>
              <w:top w:val="single" w:sz="4" w:space="0" w:color="auto"/>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top w:val="single" w:sz="4" w:space="0" w:color="auto"/>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2.3805</w:t>
            </w:r>
          </w:p>
        </w:tc>
        <w:tc>
          <w:tcPr>
            <w:tcW w:w="1305" w:type="dxa"/>
            <w:tcBorders>
              <w:top w:val="single" w:sz="4" w:space="0" w:color="auto"/>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7.7640</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540"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8.48</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5.7838</w:t>
            </w:r>
          </w:p>
        </w:tc>
        <w:tc>
          <w:tcPr>
            <w:tcW w:w="1305"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11.1673</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540"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-2.89</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.036</w:t>
            </w:r>
          </w:p>
        </w:tc>
        <w:tc>
          <w:tcPr>
            <w:tcW w:w="2211"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-5.5829</w:t>
            </w:r>
          </w:p>
        </w:tc>
        <w:tc>
          <w:tcPr>
            <w:tcW w:w="1305"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-.1993</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540"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5.75</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3.0605</w:t>
            </w:r>
          </w:p>
        </w:tc>
        <w:tc>
          <w:tcPr>
            <w:tcW w:w="1305"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8.4440</w:t>
            </w:r>
          </w:p>
        </w:tc>
      </w:tr>
      <w:tr w:rsidR="00DC0870" w:rsidRPr="00B013ED" w:rsidTr="00DC0870">
        <w:trPr>
          <w:cantSplit/>
          <w:trHeight w:val="166"/>
        </w:trPr>
        <w:tc>
          <w:tcPr>
            <w:tcW w:w="121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540"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10.59</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7.9005</w:t>
            </w:r>
          </w:p>
        </w:tc>
        <w:tc>
          <w:tcPr>
            <w:tcW w:w="1305"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13.2840</w:t>
            </w:r>
          </w:p>
        </w:tc>
      </w:tr>
      <w:tr w:rsidR="00DC0870" w:rsidRPr="00B013ED" w:rsidTr="00DC0870">
        <w:trPr>
          <w:cantSplit/>
          <w:trHeight w:val="166"/>
        </w:trPr>
        <w:tc>
          <w:tcPr>
            <w:tcW w:w="1219"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bottom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540" w:type="dxa"/>
            <w:tcBorders>
              <w:left w:val="single" w:sz="1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-1.81</w:t>
            </w:r>
          </w:p>
        </w:tc>
        <w:tc>
          <w:tcPr>
            <w:tcW w:w="592" w:type="dxa"/>
            <w:tcBorders>
              <w:left w:val="single" w:sz="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.183</w:t>
            </w:r>
          </w:p>
        </w:tc>
        <w:tc>
          <w:tcPr>
            <w:tcW w:w="2211" w:type="dxa"/>
            <w:tcBorders>
              <w:left w:val="single" w:sz="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-4.5040</w:t>
            </w:r>
          </w:p>
        </w:tc>
        <w:tc>
          <w:tcPr>
            <w:tcW w:w="1305" w:type="dxa"/>
            <w:tcBorders>
              <w:left w:val="single" w:sz="8" w:space="0" w:color="000000"/>
              <w:bottom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.8795</w:t>
            </w:r>
          </w:p>
        </w:tc>
      </w:tr>
      <w:tr w:rsidR="00DC0870" w:rsidRPr="00B013ED" w:rsidTr="00DC0870">
        <w:trPr>
          <w:cantSplit/>
          <w:trHeight w:val="376"/>
        </w:trPr>
        <w:tc>
          <w:tcPr>
            <w:tcW w:w="1219" w:type="dxa"/>
            <w:vMerge w:val="restart"/>
            <w:tcBorders>
              <w:top w:val="single" w:sz="4" w:space="0" w:color="auto"/>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613" w:type="dxa"/>
            <w:tcBorders>
              <w:top w:val="single" w:sz="4" w:space="0" w:color="auto"/>
              <w:right w:val="single" w:sz="1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540" w:type="dxa"/>
            <w:tcBorders>
              <w:top w:val="single" w:sz="4" w:space="0" w:color="auto"/>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6.88</w:t>
            </w:r>
            <w:r w:rsidRPr="00B013ED">
              <w:rPr>
                <w:rFonts w:eastAsia="Calibri" w:cstheme="minorBidi"/>
                <w:color w:val="000000"/>
                <w:sz w:val="18"/>
                <w:szCs w:val="18"/>
                <w:vertAlign w:val="superscript"/>
              </w:rPr>
              <w:t>*</w:t>
            </w:r>
          </w:p>
        </w:tc>
        <w:tc>
          <w:tcPr>
            <w:tcW w:w="592" w:type="dxa"/>
            <w:tcBorders>
              <w:top w:val="single" w:sz="4" w:space="0" w:color="auto"/>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top w:val="single" w:sz="4" w:space="0" w:color="auto"/>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4.1927</w:t>
            </w:r>
          </w:p>
        </w:tc>
        <w:tc>
          <w:tcPr>
            <w:tcW w:w="1305" w:type="dxa"/>
            <w:tcBorders>
              <w:top w:val="single" w:sz="4" w:space="0" w:color="auto"/>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9.5762</w:t>
            </w:r>
          </w:p>
        </w:tc>
      </w:tr>
      <w:tr w:rsidR="00DC0870" w:rsidRPr="00B013ED" w:rsidTr="00DC0870">
        <w:trPr>
          <w:cantSplit/>
          <w:trHeight w:val="166"/>
        </w:trPr>
        <w:tc>
          <w:tcPr>
            <w:tcW w:w="1219"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540"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10.29</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7.5960</w:t>
            </w:r>
          </w:p>
        </w:tc>
        <w:tc>
          <w:tcPr>
            <w:tcW w:w="1305"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12.9795</w:t>
            </w:r>
          </w:p>
        </w:tc>
      </w:tr>
      <w:tr w:rsidR="00DC0870" w:rsidRPr="00B013ED" w:rsidTr="00DC0870">
        <w:trPr>
          <w:cantSplit/>
          <w:trHeight w:val="166"/>
        </w:trPr>
        <w:tc>
          <w:tcPr>
            <w:tcW w:w="1219"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540"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-1.08</w:t>
            </w:r>
          </w:p>
        </w:tc>
        <w:tc>
          <w:tcPr>
            <w:tcW w:w="592"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.425</w:t>
            </w:r>
          </w:p>
        </w:tc>
        <w:tc>
          <w:tcPr>
            <w:tcW w:w="2211"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-3.7707</w:t>
            </w:r>
          </w:p>
        </w:tc>
        <w:tc>
          <w:tcPr>
            <w:tcW w:w="1305"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1.6129</w:t>
            </w:r>
          </w:p>
        </w:tc>
      </w:tr>
      <w:tr w:rsidR="00DC0870" w:rsidRPr="00B013ED" w:rsidTr="00DC0870">
        <w:trPr>
          <w:cantSplit/>
          <w:trHeight w:val="166"/>
        </w:trPr>
        <w:tc>
          <w:tcPr>
            <w:tcW w:w="1219"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540"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7.56</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4.8727</w:t>
            </w:r>
          </w:p>
        </w:tc>
        <w:tc>
          <w:tcPr>
            <w:tcW w:w="1305"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10.2562</w:t>
            </w:r>
          </w:p>
        </w:tc>
      </w:tr>
      <w:tr w:rsidR="00DC0870" w:rsidRPr="00B013ED" w:rsidTr="00DC0870">
        <w:trPr>
          <w:cantSplit/>
          <w:trHeight w:val="166"/>
        </w:trPr>
        <w:tc>
          <w:tcPr>
            <w:tcW w:w="1219"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right w:val="single" w:sz="1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540"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12.40</w:t>
            </w:r>
            <w:r w:rsidRPr="00B013ED">
              <w:rPr>
                <w:rFonts w:eastAsia="Calibri" w:cstheme="minorBidi"/>
                <w:color w:val="000000"/>
                <w:sz w:val="18"/>
                <w:szCs w:val="18"/>
                <w:vertAlign w:val="superscript"/>
              </w:rPr>
              <w:t>*</w:t>
            </w:r>
          </w:p>
        </w:tc>
        <w:tc>
          <w:tcPr>
            <w:tcW w:w="592"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2211"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9.7127</w:t>
            </w:r>
          </w:p>
        </w:tc>
        <w:tc>
          <w:tcPr>
            <w:tcW w:w="1305"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15.0962</w:t>
            </w:r>
          </w:p>
        </w:tc>
      </w:tr>
      <w:tr w:rsidR="00DC0870" w:rsidRPr="00B013ED" w:rsidTr="00DC0870">
        <w:trPr>
          <w:cantSplit/>
          <w:trHeight w:val="166"/>
        </w:trPr>
        <w:tc>
          <w:tcPr>
            <w:tcW w:w="1219"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textAlignment w:val="baseline"/>
              <w:rPr>
                <w:rFonts w:eastAsia="Calibri" w:cstheme="minorBidi"/>
                <w:color w:val="000000"/>
                <w:sz w:val="18"/>
                <w:szCs w:val="18"/>
              </w:rPr>
            </w:pPr>
          </w:p>
        </w:tc>
        <w:tc>
          <w:tcPr>
            <w:tcW w:w="1613" w:type="dxa"/>
            <w:tcBorders>
              <w:bottom w:val="single" w:sz="1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540" w:type="dxa"/>
            <w:tcBorders>
              <w:left w:val="single" w:sz="1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1.81</w:t>
            </w:r>
          </w:p>
        </w:tc>
        <w:tc>
          <w:tcPr>
            <w:tcW w:w="592" w:type="dxa"/>
            <w:tcBorders>
              <w:left w:val="single" w:sz="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.183</w:t>
            </w:r>
          </w:p>
        </w:tc>
        <w:tc>
          <w:tcPr>
            <w:tcW w:w="2211" w:type="dxa"/>
            <w:tcBorders>
              <w:left w:val="single" w:sz="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-.8795</w:t>
            </w:r>
          </w:p>
        </w:tc>
        <w:tc>
          <w:tcPr>
            <w:tcW w:w="1305" w:type="dxa"/>
            <w:tcBorders>
              <w:left w:val="single" w:sz="8" w:space="0" w:color="000000"/>
              <w:bottom w:val="single" w:sz="1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DC0870" w:rsidRPr="00B013ED" w:rsidRDefault="00DC0870" w:rsidP="00DC0870">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4.5040</w:t>
            </w:r>
          </w:p>
        </w:tc>
      </w:tr>
    </w:tbl>
    <w:p w:rsidR="001C618A" w:rsidRDefault="00B53695">
      <w:pPr>
        <w:rPr>
          <w:rFonts w:eastAsia="Times New Roman"/>
          <w:b/>
          <w:color w:val="000000"/>
          <w:lang w:eastAsia="en-GB"/>
        </w:rPr>
      </w:pPr>
      <w:bookmarkStart w:id="579" w:name="_Ref361090967"/>
      <w:proofErr w:type="gramStart"/>
      <w:r w:rsidRPr="0035196C">
        <w:rPr>
          <w:b/>
          <w:sz w:val="20"/>
          <w:szCs w:val="20"/>
        </w:rPr>
        <w:t xml:space="preserve">Table </w:t>
      </w:r>
      <w:r>
        <w:rPr>
          <w:b/>
          <w:sz w:val="20"/>
          <w:szCs w:val="20"/>
        </w:rPr>
        <w:fldChar w:fldCharType="begin"/>
      </w:r>
      <w:r>
        <w:rPr>
          <w:b/>
          <w:sz w:val="20"/>
          <w:szCs w:val="20"/>
        </w:rPr>
        <w:instrText xml:space="preserve"> STYLEREF 1 \s </w:instrText>
      </w:r>
      <w:r>
        <w:rPr>
          <w:b/>
          <w:sz w:val="20"/>
          <w:szCs w:val="20"/>
        </w:rPr>
        <w:fldChar w:fldCharType="separate"/>
      </w:r>
      <w:r w:rsidR="00374B77">
        <w:rPr>
          <w:b/>
          <w:noProof/>
          <w:sz w:val="20"/>
          <w:szCs w:val="20"/>
          <w:cs/>
        </w:rPr>
        <w:t>‎</w:t>
      </w:r>
      <w:r w:rsidR="00374B77">
        <w:rPr>
          <w:b/>
          <w:noProof/>
          <w:sz w:val="20"/>
          <w:szCs w:val="20"/>
        </w:rPr>
        <w:t>3</w:t>
      </w:r>
      <w:r>
        <w:rPr>
          <w:b/>
          <w:sz w:val="20"/>
          <w:szCs w:val="20"/>
        </w:rPr>
        <w:fldChar w:fldCharType="end"/>
      </w:r>
      <w:r>
        <w:rPr>
          <w:b/>
          <w:sz w:val="20"/>
          <w:szCs w:val="20"/>
        </w:rPr>
        <w:t>.</w:t>
      </w:r>
      <w:proofErr w:type="gramEnd"/>
      <w:r>
        <w:rPr>
          <w:b/>
          <w:sz w:val="20"/>
          <w:szCs w:val="20"/>
        </w:rPr>
        <w:fldChar w:fldCharType="begin"/>
      </w:r>
      <w:r>
        <w:rPr>
          <w:b/>
          <w:sz w:val="20"/>
          <w:szCs w:val="20"/>
        </w:rPr>
        <w:instrText xml:space="preserve"> SEQ Table \* ARABIC \s 1 </w:instrText>
      </w:r>
      <w:r>
        <w:rPr>
          <w:b/>
          <w:sz w:val="20"/>
          <w:szCs w:val="20"/>
        </w:rPr>
        <w:fldChar w:fldCharType="separate"/>
      </w:r>
      <w:r w:rsidR="00374B77">
        <w:rPr>
          <w:b/>
          <w:noProof/>
          <w:sz w:val="20"/>
          <w:szCs w:val="20"/>
        </w:rPr>
        <w:t>11</w:t>
      </w:r>
      <w:r>
        <w:rPr>
          <w:b/>
          <w:sz w:val="20"/>
          <w:szCs w:val="20"/>
        </w:rPr>
        <w:fldChar w:fldCharType="end"/>
      </w:r>
      <w:bookmarkEnd w:id="579"/>
      <w:r w:rsidRPr="0035196C">
        <w:rPr>
          <w:rFonts w:cstheme="minorBidi"/>
          <w:b/>
          <w:bCs/>
          <w:sz w:val="20"/>
          <w:szCs w:val="20"/>
        </w:rPr>
        <w:t xml:space="preserve"> </w:t>
      </w:r>
      <w:r w:rsidRPr="005657A6">
        <w:rPr>
          <w:rFonts w:cstheme="minorBidi"/>
          <w:b/>
          <w:bCs/>
          <w:sz w:val="20"/>
          <w:szCs w:val="20"/>
        </w:rPr>
        <w:t xml:space="preserve">Comparison of antibacterial effectiveness of different materials, NSCH, MTA, Minocycline, Ciprofloxacin and Metronidazole </w:t>
      </w:r>
      <w:r w:rsidRPr="005657A6">
        <w:rPr>
          <w:rFonts w:cstheme="minorBidi"/>
          <w:b/>
          <w:bCs/>
          <w:i/>
          <w:iCs/>
          <w:sz w:val="20"/>
          <w:szCs w:val="20"/>
        </w:rPr>
        <w:t>on E. coli</w:t>
      </w:r>
      <w:proofErr w:type="gramStart"/>
      <w:r w:rsidRPr="005657A6">
        <w:rPr>
          <w:rFonts w:cstheme="minorBidi"/>
          <w:b/>
          <w:bCs/>
          <w:i/>
          <w:iCs/>
          <w:sz w:val="20"/>
          <w:szCs w:val="20"/>
        </w:rPr>
        <w:t>.</w:t>
      </w:r>
      <w:r w:rsidRPr="00B013ED">
        <w:rPr>
          <w:rFonts w:eastAsia="Calibri" w:cstheme="minorBidi"/>
          <w:color w:val="000000"/>
          <w:sz w:val="18"/>
          <w:szCs w:val="18"/>
        </w:rPr>
        <w:t>(</w:t>
      </w:r>
      <w:proofErr w:type="gramEnd"/>
    </w:p>
    <w:p w:rsidR="001C618A" w:rsidRPr="00B013ED" w:rsidRDefault="001C618A" w:rsidP="001C618A">
      <w:pPr>
        <w:suppressAutoHyphens/>
        <w:autoSpaceDN w:val="0"/>
        <w:textAlignment w:val="baseline"/>
        <w:rPr>
          <w:rFonts w:eastAsia="Calibri" w:cstheme="minorBidi"/>
          <w:sz w:val="20"/>
          <w:szCs w:val="20"/>
        </w:rPr>
      </w:pPr>
      <w:r w:rsidRPr="00B013ED">
        <w:rPr>
          <w:rFonts w:eastAsia="Calibri" w:cstheme="minorBidi"/>
          <w:sz w:val="20"/>
          <w:szCs w:val="20"/>
        </w:rPr>
        <w:t>*. The mean difference is significant at the 0.05 level.</w:t>
      </w:r>
    </w:p>
    <w:p w:rsidR="001C618A" w:rsidRDefault="001C618A">
      <w:pPr>
        <w:rPr>
          <w:rFonts w:eastAsia="Times New Roman"/>
          <w:b/>
          <w:color w:val="000000"/>
          <w:lang w:eastAsia="en-GB"/>
        </w:rPr>
      </w:pPr>
      <w:r>
        <w:rPr>
          <w:rFonts w:eastAsia="Times New Roman"/>
          <w:b/>
          <w:color w:val="000000"/>
          <w:lang w:eastAsia="en-GB"/>
        </w:rPr>
        <w:br w:type="page"/>
      </w:r>
    </w:p>
    <w:p w:rsidR="00105445" w:rsidRDefault="00105445" w:rsidP="00EC38E2">
      <w:pPr>
        <w:spacing w:after="120" w:line="480" w:lineRule="auto"/>
        <w:jc w:val="both"/>
        <w:rPr>
          <w:rFonts w:eastAsia="Times New Roman"/>
          <w:b/>
          <w:i/>
          <w:iCs/>
          <w:color w:val="000000"/>
          <w:lang w:eastAsia="en-GB"/>
        </w:rPr>
      </w:pPr>
    </w:p>
    <w:p w:rsidR="00EC38E2" w:rsidRDefault="00EC38E2" w:rsidP="00EC38E2">
      <w:pPr>
        <w:spacing w:after="120" w:line="480" w:lineRule="auto"/>
        <w:jc w:val="both"/>
        <w:rPr>
          <w:rFonts w:eastAsia="Times New Roman"/>
          <w:b/>
          <w:color w:val="000000"/>
          <w:lang w:eastAsia="en-GB"/>
        </w:rPr>
      </w:pPr>
      <w:r w:rsidRPr="00FD76E3">
        <w:rPr>
          <w:rFonts w:eastAsia="Times New Roman"/>
          <w:b/>
          <w:i/>
          <w:iCs/>
          <w:color w:val="000000"/>
          <w:lang w:eastAsia="en-GB"/>
        </w:rPr>
        <w:t>E. faecalis</w:t>
      </w:r>
      <w:r w:rsidR="00CF6AEE" w:rsidRPr="00FD76E3">
        <w:rPr>
          <w:rFonts w:eastAsia="Times New Roman"/>
          <w:b/>
          <w:color w:val="000000"/>
          <w:lang w:eastAsia="en-GB"/>
        </w:rPr>
        <w:t xml:space="preserve"> </w:t>
      </w:r>
      <w:r w:rsidRPr="00FD76E3">
        <w:rPr>
          <w:rFonts w:eastAsia="Times New Roman"/>
          <w:b/>
          <w:color w:val="000000"/>
          <w:lang w:eastAsia="en-GB"/>
        </w:rPr>
        <w:t>(NCTC 755)</w:t>
      </w:r>
    </w:p>
    <w:p w:rsidR="00374B77" w:rsidRPr="00374B77" w:rsidRDefault="00A96D26" w:rsidP="00374B77">
      <w:pPr>
        <w:pStyle w:val="table"/>
        <w:jc w:val="both"/>
        <w:rPr>
          <w:szCs w:val="24"/>
        </w:rPr>
      </w:pPr>
      <w:r w:rsidRPr="00105445">
        <w:rPr>
          <w:szCs w:val="24"/>
        </w:rPr>
        <w:t>The values for mean zone of inhibition (mm) are shown in</w:t>
      </w:r>
      <w:r w:rsidR="00833E23" w:rsidRPr="00105445">
        <w:rPr>
          <w:szCs w:val="24"/>
        </w:rPr>
        <w:t xml:space="preserve"> </w:t>
      </w:r>
      <w:r w:rsidR="00833E23" w:rsidRPr="00105445">
        <w:rPr>
          <w:szCs w:val="24"/>
        </w:rPr>
        <w:fldChar w:fldCharType="begin"/>
      </w:r>
      <w:r w:rsidR="00833E23" w:rsidRPr="00105445">
        <w:rPr>
          <w:szCs w:val="24"/>
        </w:rPr>
        <w:instrText xml:space="preserve"> REF _Ref361093304 \h </w:instrText>
      </w:r>
      <w:r w:rsidR="00105445" w:rsidRPr="00105445">
        <w:rPr>
          <w:szCs w:val="24"/>
        </w:rPr>
        <w:instrText xml:space="preserve"> \* MERGEFORMAT </w:instrText>
      </w:r>
      <w:r w:rsidR="00833E23" w:rsidRPr="00105445">
        <w:rPr>
          <w:szCs w:val="24"/>
        </w:rPr>
      </w:r>
      <w:r w:rsidR="00833E23" w:rsidRPr="00105445">
        <w:rPr>
          <w:szCs w:val="24"/>
        </w:rPr>
        <w:fldChar w:fldCharType="separate"/>
      </w:r>
    </w:p>
    <w:p w:rsidR="00374B77" w:rsidRPr="00374B77" w:rsidRDefault="00374B77" w:rsidP="00374B77">
      <w:pPr>
        <w:pStyle w:val="table"/>
        <w:rPr>
          <w:szCs w:val="24"/>
        </w:rPr>
      </w:pPr>
      <w:r w:rsidRPr="00374B77">
        <w:rPr>
          <w:szCs w:val="24"/>
        </w:rPr>
        <w:t>Table</w:t>
      </w:r>
      <w:r w:rsidRPr="00374B77">
        <w:rPr>
          <w:noProof/>
          <w:szCs w:val="24"/>
        </w:rPr>
        <w:t xml:space="preserve"> </w:t>
      </w:r>
      <w:r w:rsidRPr="00374B77">
        <w:rPr>
          <w:noProof/>
          <w:szCs w:val="24"/>
          <w:cs/>
        </w:rPr>
        <w:t>‎</w:t>
      </w:r>
      <w:r>
        <w:rPr>
          <w:rFonts w:cstheme="minorBidi"/>
          <w:b/>
          <w:bCs w:val="0"/>
          <w:noProof/>
          <w:sz w:val="20"/>
          <w:szCs w:val="20"/>
        </w:rPr>
        <w:t>3.12</w:t>
      </w:r>
      <w:r w:rsidR="00833E23" w:rsidRPr="00105445">
        <w:rPr>
          <w:szCs w:val="24"/>
        </w:rPr>
        <w:fldChar w:fldCharType="end"/>
      </w:r>
      <w:r w:rsidR="00A96D26" w:rsidRPr="00105445">
        <w:rPr>
          <w:szCs w:val="24"/>
        </w:rPr>
        <w:t xml:space="preserve"> and</w:t>
      </w:r>
      <w:r w:rsidR="005305DB" w:rsidRPr="00105445">
        <w:rPr>
          <w:szCs w:val="24"/>
        </w:rPr>
        <w:t xml:space="preserve"> </w:t>
      </w:r>
      <w:r w:rsidR="005305DB" w:rsidRPr="00105445">
        <w:rPr>
          <w:szCs w:val="24"/>
          <w:highlight w:val="yellow"/>
        </w:rPr>
        <w:fldChar w:fldCharType="begin"/>
      </w:r>
      <w:r w:rsidR="005305DB" w:rsidRPr="00105445">
        <w:rPr>
          <w:szCs w:val="24"/>
        </w:rPr>
        <w:instrText xml:space="preserve"> REF _Ref360529328 \h </w:instrText>
      </w:r>
      <w:r w:rsidR="005305DB" w:rsidRPr="00105445">
        <w:rPr>
          <w:szCs w:val="24"/>
          <w:highlight w:val="yellow"/>
        </w:rPr>
        <w:instrText xml:space="preserve"> \* MERGEFORMAT </w:instrText>
      </w:r>
      <w:r w:rsidR="005305DB" w:rsidRPr="00105445">
        <w:rPr>
          <w:szCs w:val="24"/>
          <w:highlight w:val="yellow"/>
        </w:rPr>
      </w:r>
      <w:r w:rsidR="005305DB" w:rsidRPr="00105445">
        <w:rPr>
          <w:szCs w:val="24"/>
          <w:highlight w:val="yellow"/>
        </w:rPr>
        <w:fldChar w:fldCharType="separate"/>
      </w:r>
    </w:p>
    <w:p w:rsidR="00A96D26" w:rsidRPr="00105445" w:rsidRDefault="00374B77" w:rsidP="00105445">
      <w:pPr>
        <w:pStyle w:val="table"/>
        <w:jc w:val="both"/>
        <w:rPr>
          <w:szCs w:val="24"/>
        </w:rPr>
      </w:pPr>
      <w:r w:rsidRPr="00374B77">
        <w:rPr>
          <w:szCs w:val="24"/>
        </w:rPr>
        <w:t>Figure</w:t>
      </w:r>
      <w:r w:rsidRPr="00374B77">
        <w:rPr>
          <w:noProof/>
          <w:szCs w:val="24"/>
        </w:rPr>
        <w:t xml:space="preserve"> </w:t>
      </w:r>
      <w:r w:rsidRPr="00374B77">
        <w:rPr>
          <w:noProof/>
          <w:szCs w:val="24"/>
          <w:cs/>
        </w:rPr>
        <w:t>‎</w:t>
      </w:r>
      <w:r>
        <w:rPr>
          <w:rFonts w:cstheme="minorBidi"/>
          <w:b/>
          <w:bCs w:val="0"/>
          <w:noProof/>
          <w:sz w:val="20"/>
          <w:szCs w:val="20"/>
        </w:rPr>
        <w:t>3.14</w:t>
      </w:r>
      <w:r w:rsidR="005305DB" w:rsidRPr="00105445">
        <w:rPr>
          <w:szCs w:val="24"/>
          <w:highlight w:val="yellow"/>
        </w:rPr>
        <w:fldChar w:fldCharType="end"/>
      </w:r>
      <w:r w:rsidR="00A96D26" w:rsidRPr="00105445">
        <w:rPr>
          <w:szCs w:val="24"/>
        </w:rPr>
        <w:t>. It can be seen that</w:t>
      </w:r>
      <w:r w:rsidR="00BD721A" w:rsidRPr="00105445">
        <w:rPr>
          <w:szCs w:val="24"/>
        </w:rPr>
        <w:t xml:space="preserve"> NSCH, MTA and metronidazole had no effect on </w:t>
      </w:r>
      <w:r w:rsidR="00BD721A" w:rsidRPr="00105445">
        <w:rPr>
          <w:i/>
          <w:szCs w:val="24"/>
        </w:rPr>
        <w:t>E.faecalis</w:t>
      </w:r>
      <w:r w:rsidR="00BD721A" w:rsidRPr="00105445">
        <w:rPr>
          <w:szCs w:val="24"/>
        </w:rPr>
        <w:t xml:space="preserve">. </w:t>
      </w:r>
      <w:r w:rsidR="00DC0870">
        <w:rPr>
          <w:szCs w:val="24"/>
        </w:rPr>
        <w:t xml:space="preserve">The </w:t>
      </w:r>
      <w:proofErr w:type="gramStart"/>
      <w:r w:rsidR="00DC0870">
        <w:rPr>
          <w:szCs w:val="24"/>
        </w:rPr>
        <w:t xml:space="preserve">combination </w:t>
      </w:r>
      <w:r w:rsidR="00BD721A" w:rsidRPr="00105445">
        <w:rPr>
          <w:szCs w:val="24"/>
        </w:rPr>
        <w:t xml:space="preserve"> </w:t>
      </w:r>
      <w:r w:rsidR="006439AC" w:rsidRPr="00105445">
        <w:rPr>
          <w:szCs w:val="24"/>
        </w:rPr>
        <w:t>Mino</w:t>
      </w:r>
      <w:proofErr w:type="gramEnd"/>
      <w:r w:rsidR="006439AC" w:rsidRPr="00105445">
        <w:rPr>
          <w:szCs w:val="24"/>
        </w:rPr>
        <w:t>+</w:t>
      </w:r>
      <w:r w:rsidR="00BD721A" w:rsidRPr="00105445">
        <w:rPr>
          <w:szCs w:val="24"/>
        </w:rPr>
        <w:t>Cip + Met had the highest values for the inhibition zone.</w:t>
      </w:r>
    </w:p>
    <w:p w:rsidR="00105445" w:rsidRDefault="00105445" w:rsidP="001D3F19">
      <w:pPr>
        <w:rPr>
          <w:rFonts w:cstheme="minorBidi"/>
          <w:b/>
          <w:bCs/>
          <w:sz w:val="20"/>
          <w:szCs w:val="20"/>
        </w:rPr>
      </w:pPr>
      <w:bookmarkStart w:id="580" w:name="_Ref361093304"/>
    </w:p>
    <w:p w:rsidR="00833E23" w:rsidRPr="00A102D3" w:rsidRDefault="00833E23" w:rsidP="001D3F19">
      <w:pPr>
        <w:rPr>
          <w:rFonts w:cstheme="minorBidi"/>
          <w:b/>
          <w:bCs/>
          <w:sz w:val="20"/>
          <w:szCs w:val="20"/>
        </w:rPr>
      </w:pPr>
      <w:bookmarkStart w:id="581" w:name="_Toc370511748"/>
      <w:proofErr w:type="gramStart"/>
      <w:r w:rsidRPr="00A102D3">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12</w:t>
      </w:r>
      <w:r w:rsidR="00E7089D">
        <w:rPr>
          <w:rFonts w:cstheme="minorBidi"/>
          <w:b/>
          <w:bCs/>
          <w:sz w:val="20"/>
          <w:szCs w:val="20"/>
        </w:rPr>
        <w:fldChar w:fldCharType="end"/>
      </w:r>
      <w:bookmarkEnd w:id="580"/>
      <w:r w:rsidRPr="00A102D3">
        <w:rPr>
          <w:rFonts w:cstheme="minorBidi"/>
          <w:b/>
          <w:bCs/>
          <w:sz w:val="20"/>
          <w:szCs w:val="20"/>
        </w:rPr>
        <w:t xml:space="preserve"> Shows results for the inhibition zone (mm) for </w:t>
      </w:r>
      <w:r w:rsidRPr="00A102D3">
        <w:rPr>
          <w:rFonts w:eastAsia="Times New Roman" w:cstheme="minorBidi"/>
          <w:b/>
          <w:bCs/>
          <w:i/>
          <w:iCs/>
          <w:color w:val="000000"/>
          <w:sz w:val="20"/>
          <w:szCs w:val="20"/>
          <w:lang w:eastAsia="en-GB"/>
        </w:rPr>
        <w:t>E. faecalis</w:t>
      </w:r>
      <w:r w:rsidRPr="00A102D3">
        <w:rPr>
          <w:rFonts w:eastAsia="Times New Roman" w:cstheme="minorBidi"/>
          <w:b/>
          <w:bCs/>
          <w:color w:val="000000"/>
          <w:sz w:val="20"/>
          <w:szCs w:val="20"/>
          <w:lang w:eastAsia="en-GB"/>
        </w:rPr>
        <w:t xml:space="preserve"> </w:t>
      </w:r>
      <w:r w:rsidRPr="00A102D3">
        <w:rPr>
          <w:rFonts w:cstheme="minorBidi"/>
          <w:b/>
          <w:bCs/>
          <w:sz w:val="20"/>
          <w:szCs w:val="20"/>
        </w:rPr>
        <w:t>with all the test materials.</w:t>
      </w:r>
      <w:bookmarkEnd w:id="581"/>
    </w:p>
    <w:tbl>
      <w:tblPr>
        <w:tblStyle w:val="TableGrid"/>
        <w:tblpPr w:leftFromText="180" w:rightFromText="180" w:vertAnchor="text" w:horzAnchor="margin" w:tblpY="161"/>
        <w:tblW w:w="0" w:type="auto"/>
        <w:tblLook w:val="04A0" w:firstRow="1" w:lastRow="0" w:firstColumn="1" w:lastColumn="0" w:noHBand="0" w:noVBand="1"/>
      </w:tblPr>
      <w:tblGrid>
        <w:gridCol w:w="2485"/>
        <w:gridCol w:w="3046"/>
        <w:gridCol w:w="3025"/>
      </w:tblGrid>
      <w:tr w:rsidR="00EC38E2" w:rsidRPr="00B013ED" w:rsidTr="00833E23">
        <w:tc>
          <w:tcPr>
            <w:tcW w:w="2510" w:type="dxa"/>
            <w:shd w:val="clear" w:color="auto" w:fill="17365D" w:themeFill="text2" w:themeFillShade="BF"/>
            <w:vAlign w:val="center"/>
          </w:tcPr>
          <w:p w:rsidR="00EC38E2" w:rsidRPr="00833E23" w:rsidRDefault="00EC38E2" w:rsidP="00833E23">
            <w:pPr>
              <w:spacing w:after="120" w:line="480" w:lineRule="auto"/>
              <w:jc w:val="center"/>
              <w:rPr>
                <w:b/>
                <w:color w:val="FFFFFF" w:themeColor="background1"/>
                <w:sz w:val="20"/>
                <w:lang w:eastAsia="en-GB"/>
              </w:rPr>
            </w:pPr>
            <w:r w:rsidRPr="00833E23">
              <w:rPr>
                <w:b/>
                <w:color w:val="FFFFFF" w:themeColor="background1"/>
                <w:sz w:val="20"/>
                <w:lang w:eastAsia="en-GB"/>
              </w:rPr>
              <w:t>Test materials</w:t>
            </w:r>
          </w:p>
        </w:tc>
        <w:tc>
          <w:tcPr>
            <w:tcW w:w="3081" w:type="dxa"/>
            <w:shd w:val="clear" w:color="auto" w:fill="17365D" w:themeFill="text2" w:themeFillShade="BF"/>
            <w:vAlign w:val="center"/>
          </w:tcPr>
          <w:p w:rsidR="00EC38E2" w:rsidRPr="00833E23" w:rsidRDefault="00EC38E2" w:rsidP="00833E23">
            <w:pPr>
              <w:spacing w:after="120"/>
              <w:jc w:val="center"/>
              <w:rPr>
                <w:b/>
                <w:color w:val="FFFFFF" w:themeColor="background1"/>
                <w:sz w:val="20"/>
                <w:lang w:eastAsia="en-GB"/>
              </w:rPr>
            </w:pPr>
            <w:r w:rsidRPr="00833E23">
              <w:rPr>
                <w:b/>
                <w:color w:val="FFFFFF" w:themeColor="background1"/>
                <w:sz w:val="20"/>
                <w:lang w:eastAsia="en-GB"/>
              </w:rPr>
              <w:t>Mean Zone of inhibition (MM) against E.faecalis(NCTC 755)</w:t>
            </w:r>
          </w:p>
        </w:tc>
        <w:tc>
          <w:tcPr>
            <w:tcW w:w="3081" w:type="dxa"/>
            <w:shd w:val="clear" w:color="auto" w:fill="17365D" w:themeFill="text2" w:themeFillShade="BF"/>
            <w:vAlign w:val="center"/>
          </w:tcPr>
          <w:p w:rsidR="00EC38E2" w:rsidRPr="00833E23" w:rsidRDefault="00EC38E2" w:rsidP="00833E23">
            <w:pPr>
              <w:spacing w:after="120" w:line="480" w:lineRule="auto"/>
              <w:jc w:val="center"/>
              <w:rPr>
                <w:b/>
                <w:color w:val="FFFFFF" w:themeColor="background1"/>
                <w:lang w:eastAsia="en-GB"/>
              </w:rPr>
            </w:pPr>
            <w:r w:rsidRPr="00833E23">
              <w:rPr>
                <w:b/>
                <w:color w:val="FFFFFF" w:themeColor="background1"/>
                <w:lang w:eastAsia="en-GB"/>
              </w:rPr>
              <w:t>SD</w:t>
            </w:r>
          </w:p>
        </w:tc>
      </w:tr>
      <w:tr w:rsidR="00EC38E2" w:rsidRPr="00B013ED" w:rsidTr="00833E23">
        <w:tc>
          <w:tcPr>
            <w:tcW w:w="2510" w:type="dxa"/>
            <w:shd w:val="clear" w:color="auto" w:fill="FDE9D9" w:themeFill="accent6" w:themeFillTint="33"/>
            <w:vAlign w:val="center"/>
          </w:tcPr>
          <w:p w:rsidR="00EC38E2" w:rsidRPr="00B013ED" w:rsidRDefault="00EC38E2" w:rsidP="00833E23">
            <w:pPr>
              <w:spacing w:after="120" w:line="480" w:lineRule="auto"/>
              <w:jc w:val="center"/>
              <w:rPr>
                <w:b/>
                <w:color w:val="000000"/>
                <w:sz w:val="20"/>
                <w:lang w:eastAsia="en-GB"/>
              </w:rPr>
            </w:pPr>
            <w:r w:rsidRPr="00B013ED">
              <w:rPr>
                <w:b/>
                <w:color w:val="000000"/>
                <w:sz w:val="20"/>
                <w:lang w:eastAsia="en-GB"/>
              </w:rPr>
              <w:t>NSCH</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rPr>
                <w:b/>
                <w:color w:val="000000"/>
                <w:lang w:eastAsia="en-GB"/>
              </w:rPr>
              <w:t>No</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t>.00000</w:t>
            </w:r>
          </w:p>
        </w:tc>
      </w:tr>
      <w:tr w:rsidR="00EC38E2" w:rsidRPr="00B013ED" w:rsidTr="00833E23">
        <w:trPr>
          <w:trHeight w:val="750"/>
        </w:trPr>
        <w:tc>
          <w:tcPr>
            <w:tcW w:w="2510" w:type="dxa"/>
            <w:shd w:val="clear" w:color="auto" w:fill="FDE9D9" w:themeFill="accent6" w:themeFillTint="33"/>
            <w:vAlign w:val="center"/>
          </w:tcPr>
          <w:p w:rsidR="00EC38E2" w:rsidRPr="00B013ED" w:rsidRDefault="00EC38E2" w:rsidP="00833E23">
            <w:pPr>
              <w:spacing w:after="120" w:line="480" w:lineRule="auto"/>
              <w:jc w:val="center"/>
              <w:rPr>
                <w:b/>
                <w:color w:val="000000"/>
                <w:sz w:val="20"/>
                <w:lang w:eastAsia="en-GB"/>
              </w:rPr>
            </w:pPr>
            <w:r w:rsidRPr="00B013ED">
              <w:rPr>
                <w:b/>
                <w:color w:val="000000"/>
                <w:sz w:val="20"/>
                <w:lang w:eastAsia="en-GB"/>
              </w:rPr>
              <w:t>MTA</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rPr>
                <w:b/>
                <w:color w:val="000000"/>
                <w:lang w:eastAsia="en-GB"/>
              </w:rPr>
              <w:t>No</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t>.00000</w:t>
            </w:r>
          </w:p>
        </w:tc>
      </w:tr>
      <w:tr w:rsidR="00EC38E2" w:rsidRPr="00B013ED" w:rsidTr="00833E23">
        <w:trPr>
          <w:trHeight w:val="585"/>
        </w:trPr>
        <w:tc>
          <w:tcPr>
            <w:tcW w:w="2510" w:type="dxa"/>
            <w:shd w:val="clear" w:color="auto" w:fill="FDE9D9" w:themeFill="accent6" w:themeFillTint="33"/>
            <w:vAlign w:val="center"/>
          </w:tcPr>
          <w:p w:rsidR="00EC38E2" w:rsidRPr="00B013ED" w:rsidRDefault="00EC38E2" w:rsidP="00833E23">
            <w:pPr>
              <w:spacing w:after="120" w:line="480" w:lineRule="auto"/>
              <w:jc w:val="center"/>
              <w:rPr>
                <w:b/>
                <w:color w:val="000000"/>
                <w:sz w:val="20"/>
                <w:lang w:eastAsia="en-GB"/>
              </w:rPr>
            </w:pPr>
            <w:r w:rsidRPr="00B013ED">
              <w:rPr>
                <w:b/>
                <w:color w:val="000000"/>
                <w:sz w:val="20"/>
                <w:lang w:eastAsia="en-GB"/>
              </w:rPr>
              <w:t>Minocycline (Mino)</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rPr>
                <w:b/>
                <w:color w:val="000000"/>
                <w:lang w:eastAsia="en-GB"/>
              </w:rPr>
              <w:t>27.42</w:t>
            </w:r>
            <w:r w:rsidR="005305DB">
              <w:rPr>
                <w:b/>
                <w:color w:val="000000"/>
                <w:lang w:eastAsia="en-GB"/>
              </w:rPr>
              <w:t xml:space="preserve"> </w:t>
            </w:r>
            <w:r w:rsidRPr="00B013ED">
              <w:rPr>
                <w:b/>
                <w:color w:val="000000"/>
                <w:lang w:eastAsia="en-GB"/>
              </w:rPr>
              <w:t>mm</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t>3.79</w:t>
            </w:r>
          </w:p>
        </w:tc>
      </w:tr>
      <w:tr w:rsidR="00EC38E2" w:rsidRPr="00B013ED" w:rsidTr="00833E23">
        <w:tc>
          <w:tcPr>
            <w:tcW w:w="2510" w:type="dxa"/>
            <w:shd w:val="clear" w:color="auto" w:fill="FDE9D9" w:themeFill="accent6" w:themeFillTint="33"/>
            <w:vAlign w:val="center"/>
          </w:tcPr>
          <w:p w:rsidR="00EC38E2" w:rsidRPr="00B013ED" w:rsidRDefault="00EC38E2" w:rsidP="00833E23">
            <w:pPr>
              <w:spacing w:after="120" w:line="480" w:lineRule="auto"/>
              <w:jc w:val="center"/>
              <w:rPr>
                <w:b/>
                <w:color w:val="000000"/>
                <w:sz w:val="20"/>
                <w:lang w:eastAsia="en-GB"/>
              </w:rPr>
            </w:pPr>
            <w:r w:rsidRPr="00B013ED">
              <w:rPr>
                <w:b/>
                <w:color w:val="000000"/>
                <w:sz w:val="20"/>
                <w:lang w:eastAsia="en-GB"/>
              </w:rPr>
              <w:t>Ciprofloxacin (Cip)</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rPr>
                <w:b/>
                <w:color w:val="000000"/>
                <w:lang w:eastAsia="en-GB"/>
              </w:rPr>
              <w:t>24.21</w:t>
            </w:r>
            <w:r w:rsidR="005305DB">
              <w:rPr>
                <w:b/>
                <w:color w:val="000000"/>
                <w:lang w:eastAsia="en-GB"/>
              </w:rPr>
              <w:t xml:space="preserve"> </w:t>
            </w:r>
            <w:r w:rsidRPr="00B013ED">
              <w:rPr>
                <w:b/>
                <w:color w:val="000000"/>
                <w:lang w:eastAsia="en-GB"/>
              </w:rPr>
              <w:t>mm</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t>1.82</w:t>
            </w:r>
          </w:p>
        </w:tc>
      </w:tr>
      <w:tr w:rsidR="00EC38E2" w:rsidRPr="00B013ED" w:rsidTr="00833E23">
        <w:tc>
          <w:tcPr>
            <w:tcW w:w="2510" w:type="dxa"/>
            <w:shd w:val="clear" w:color="auto" w:fill="FDE9D9" w:themeFill="accent6" w:themeFillTint="33"/>
            <w:vAlign w:val="center"/>
          </w:tcPr>
          <w:p w:rsidR="00EC38E2" w:rsidRPr="00B013ED" w:rsidRDefault="00EC38E2" w:rsidP="00833E23">
            <w:pPr>
              <w:spacing w:after="120" w:line="480" w:lineRule="auto"/>
              <w:jc w:val="center"/>
              <w:rPr>
                <w:b/>
                <w:color w:val="000000"/>
                <w:sz w:val="20"/>
                <w:lang w:eastAsia="en-GB"/>
              </w:rPr>
            </w:pPr>
            <w:r w:rsidRPr="00B013ED">
              <w:rPr>
                <w:b/>
                <w:color w:val="000000"/>
                <w:sz w:val="20"/>
                <w:lang w:eastAsia="en-GB"/>
              </w:rPr>
              <w:t>Metronidazol</w:t>
            </w:r>
            <w:r w:rsidR="00A102D3">
              <w:rPr>
                <w:b/>
                <w:color w:val="000000"/>
                <w:sz w:val="20"/>
                <w:lang w:eastAsia="en-GB"/>
              </w:rPr>
              <w:t>e</w:t>
            </w:r>
            <w:r w:rsidRPr="00B013ED">
              <w:rPr>
                <w:b/>
                <w:color w:val="000000"/>
                <w:sz w:val="20"/>
                <w:lang w:eastAsia="en-GB"/>
              </w:rPr>
              <w:t xml:space="preserve"> (Met)</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rPr>
                <w:b/>
                <w:color w:val="000000"/>
                <w:lang w:eastAsia="en-GB"/>
              </w:rPr>
              <w:t>No</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t>.00000</w:t>
            </w:r>
          </w:p>
        </w:tc>
      </w:tr>
      <w:tr w:rsidR="00EC38E2" w:rsidRPr="00B013ED" w:rsidTr="00833E23">
        <w:tc>
          <w:tcPr>
            <w:tcW w:w="2510" w:type="dxa"/>
            <w:shd w:val="clear" w:color="auto" w:fill="FDE9D9" w:themeFill="accent6" w:themeFillTint="33"/>
            <w:vAlign w:val="center"/>
          </w:tcPr>
          <w:p w:rsidR="00EC38E2" w:rsidRPr="00B013ED" w:rsidRDefault="00EC38E2" w:rsidP="00833E23">
            <w:pPr>
              <w:spacing w:after="120" w:line="480" w:lineRule="auto"/>
              <w:jc w:val="center"/>
              <w:rPr>
                <w:b/>
                <w:color w:val="000000"/>
                <w:sz w:val="20"/>
                <w:lang w:eastAsia="en-GB"/>
              </w:rPr>
            </w:pPr>
            <w:r w:rsidRPr="00B013ED">
              <w:rPr>
                <w:b/>
                <w:color w:val="000000"/>
                <w:sz w:val="20"/>
                <w:lang w:eastAsia="en-GB"/>
              </w:rPr>
              <w:t>(Cip + Met)</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rPr>
                <w:b/>
                <w:color w:val="000000"/>
                <w:lang w:eastAsia="en-GB"/>
              </w:rPr>
              <w:t>22.68</w:t>
            </w:r>
            <w:r w:rsidR="005305DB">
              <w:rPr>
                <w:b/>
                <w:color w:val="000000"/>
                <w:lang w:eastAsia="en-GB"/>
              </w:rPr>
              <w:t xml:space="preserve"> </w:t>
            </w:r>
            <w:r w:rsidRPr="00B013ED">
              <w:rPr>
                <w:b/>
                <w:color w:val="000000"/>
                <w:lang w:eastAsia="en-GB"/>
              </w:rPr>
              <w:t>mm</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t>2.01</w:t>
            </w:r>
          </w:p>
        </w:tc>
      </w:tr>
      <w:tr w:rsidR="00EC38E2" w:rsidRPr="00B013ED" w:rsidTr="00833E23">
        <w:tc>
          <w:tcPr>
            <w:tcW w:w="2510" w:type="dxa"/>
            <w:shd w:val="clear" w:color="auto" w:fill="FDE9D9" w:themeFill="accent6" w:themeFillTint="33"/>
            <w:vAlign w:val="center"/>
          </w:tcPr>
          <w:p w:rsidR="00EC38E2" w:rsidRPr="00B013ED" w:rsidRDefault="00EC38E2" w:rsidP="00833E23">
            <w:pPr>
              <w:spacing w:after="120" w:line="480" w:lineRule="auto"/>
              <w:jc w:val="center"/>
              <w:rPr>
                <w:b/>
                <w:color w:val="000000"/>
                <w:sz w:val="20"/>
                <w:lang w:eastAsia="en-GB"/>
              </w:rPr>
            </w:pPr>
            <w:r w:rsidRPr="00B013ED">
              <w:rPr>
                <w:b/>
                <w:color w:val="000000"/>
                <w:sz w:val="20"/>
                <w:lang w:eastAsia="en-GB"/>
              </w:rPr>
              <w:t>(Mino+ Cip + Met)</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rPr>
                <w:b/>
                <w:color w:val="000000"/>
                <w:lang w:eastAsia="en-GB"/>
              </w:rPr>
              <w:t>31.68</w:t>
            </w:r>
            <w:r w:rsidR="005305DB">
              <w:rPr>
                <w:b/>
                <w:color w:val="000000"/>
                <w:lang w:eastAsia="en-GB"/>
              </w:rPr>
              <w:t xml:space="preserve"> </w:t>
            </w:r>
            <w:r w:rsidRPr="00B013ED">
              <w:rPr>
                <w:b/>
                <w:color w:val="000000"/>
                <w:lang w:eastAsia="en-GB"/>
              </w:rPr>
              <w:t>mm</w:t>
            </w:r>
          </w:p>
        </w:tc>
        <w:tc>
          <w:tcPr>
            <w:tcW w:w="3081" w:type="dxa"/>
            <w:vAlign w:val="center"/>
          </w:tcPr>
          <w:p w:rsidR="00EC38E2" w:rsidRPr="00B013ED" w:rsidRDefault="00EC38E2" w:rsidP="00833E23">
            <w:pPr>
              <w:spacing w:after="120" w:line="480" w:lineRule="auto"/>
              <w:jc w:val="center"/>
              <w:rPr>
                <w:b/>
                <w:color w:val="000000"/>
                <w:lang w:eastAsia="en-GB"/>
              </w:rPr>
            </w:pPr>
            <w:r w:rsidRPr="00B013ED">
              <w:t>1.78</w:t>
            </w:r>
          </w:p>
        </w:tc>
      </w:tr>
    </w:tbl>
    <w:p w:rsidR="00EC38E2" w:rsidRPr="00B013ED" w:rsidRDefault="00EC38E2" w:rsidP="00EC38E2">
      <w:pPr>
        <w:spacing w:after="120" w:line="480" w:lineRule="auto"/>
        <w:jc w:val="both"/>
        <w:rPr>
          <w:rFonts w:eastAsia="Times New Roman"/>
          <w:b/>
          <w:color w:val="000000"/>
          <w:lang w:eastAsia="en-GB"/>
        </w:rPr>
      </w:pPr>
    </w:p>
    <w:p w:rsidR="005305DB" w:rsidRDefault="005305DB">
      <w:r>
        <w:br w:type="page"/>
      </w:r>
    </w:p>
    <w:p w:rsidR="00105445" w:rsidRDefault="00105445" w:rsidP="00DB701E">
      <w:pPr>
        <w:spacing w:after="120" w:line="480" w:lineRule="auto"/>
        <w:jc w:val="both"/>
        <w:rPr>
          <w:rFonts w:cstheme="minorBidi"/>
          <w:b/>
          <w:bCs/>
          <w:sz w:val="20"/>
          <w:szCs w:val="20"/>
        </w:rPr>
      </w:pPr>
      <w:bookmarkStart w:id="582" w:name="_Ref360529328"/>
    </w:p>
    <w:p w:rsidR="00EC38E2" w:rsidRPr="00DB701E" w:rsidRDefault="00C67C41" w:rsidP="00DB701E">
      <w:pPr>
        <w:spacing w:after="120" w:line="480" w:lineRule="auto"/>
        <w:jc w:val="both"/>
        <w:rPr>
          <w:rFonts w:eastAsia="Times New Roman" w:cstheme="minorBidi"/>
          <w:b/>
          <w:bCs/>
          <w:color w:val="000000"/>
          <w:sz w:val="20"/>
          <w:szCs w:val="20"/>
          <w:lang w:eastAsia="en-GB"/>
        </w:rPr>
      </w:pPr>
      <w:bookmarkStart w:id="583" w:name="_Toc361733628"/>
      <w:bookmarkStart w:id="584" w:name="_Toc361734271"/>
      <w:r>
        <w:rPr>
          <w:rFonts w:cstheme="minorBidi"/>
          <w:b/>
          <w:bCs/>
          <w:sz w:val="20"/>
          <w:szCs w:val="20"/>
        </w:rPr>
        <w:t>Figure</w:t>
      </w:r>
      <w:r w:rsidR="00A96D26" w:rsidRPr="00DB701E">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14</w:t>
      </w:r>
      <w:r w:rsidR="00DF37B0">
        <w:rPr>
          <w:rFonts w:cstheme="minorBidi"/>
          <w:b/>
          <w:bCs/>
          <w:sz w:val="20"/>
          <w:szCs w:val="20"/>
        </w:rPr>
        <w:fldChar w:fldCharType="end"/>
      </w:r>
      <w:bookmarkEnd w:id="582"/>
      <w:r w:rsidR="00A102D3">
        <w:rPr>
          <w:rFonts w:cstheme="minorBidi"/>
          <w:b/>
          <w:bCs/>
          <w:color w:val="000000"/>
          <w:sz w:val="20"/>
          <w:szCs w:val="20"/>
          <w:lang w:eastAsia="en-GB"/>
        </w:rPr>
        <w:t xml:space="preserve"> C</w:t>
      </w:r>
      <w:r w:rsidR="000760EF" w:rsidRPr="00DB701E">
        <w:rPr>
          <w:rFonts w:cstheme="minorBidi"/>
          <w:b/>
          <w:bCs/>
          <w:color w:val="000000"/>
          <w:sz w:val="20"/>
          <w:szCs w:val="20"/>
          <w:lang w:eastAsia="en-GB"/>
        </w:rPr>
        <w:t xml:space="preserve">omparison of inhibition zone for all test material and antibiotics against </w:t>
      </w:r>
      <w:r w:rsidR="00DB701E" w:rsidRPr="00DB701E">
        <w:rPr>
          <w:rFonts w:eastAsia="Times New Roman" w:cstheme="minorBidi"/>
          <w:b/>
          <w:bCs/>
          <w:i/>
          <w:iCs/>
          <w:color w:val="000000"/>
          <w:sz w:val="20"/>
          <w:szCs w:val="20"/>
          <w:lang w:eastAsia="en-GB"/>
        </w:rPr>
        <w:t>E. faecalis</w:t>
      </w:r>
      <w:bookmarkEnd w:id="583"/>
      <w:bookmarkEnd w:id="584"/>
    </w:p>
    <w:p w:rsidR="00EC38E2" w:rsidRPr="00B013ED" w:rsidRDefault="00EC38E2" w:rsidP="00EC38E2">
      <w:pPr>
        <w:spacing w:after="120" w:line="480" w:lineRule="auto"/>
        <w:jc w:val="both"/>
        <w:rPr>
          <w:rFonts w:eastAsia="Times New Roman"/>
          <w:b/>
          <w:color w:val="000000"/>
          <w:lang w:eastAsia="en-GB"/>
        </w:rPr>
      </w:pPr>
      <w:r w:rsidRPr="00B013ED">
        <w:rPr>
          <w:noProof/>
          <w:lang w:eastAsia="en-GB"/>
        </w:rPr>
        <w:drawing>
          <wp:anchor distT="0" distB="0" distL="114300" distR="114300" simplePos="0" relativeHeight="251726848" behindDoc="0" locked="0" layoutInCell="1" allowOverlap="1" wp14:anchorId="199EB427" wp14:editId="7871FCFA">
            <wp:simplePos x="0" y="0"/>
            <wp:positionH relativeFrom="column">
              <wp:posOffset>409575</wp:posOffset>
            </wp:positionH>
            <wp:positionV relativeFrom="paragraph">
              <wp:posOffset>173990</wp:posOffset>
            </wp:positionV>
            <wp:extent cx="4716000" cy="3348000"/>
            <wp:effectExtent l="0" t="0" r="8890" b="5080"/>
            <wp:wrapSquare wrapText="bothSides"/>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2D37AF" w:rsidRDefault="002D37AF">
      <w:pPr>
        <w:rPr>
          <w:rFonts w:eastAsia="Times New Roman"/>
          <w:b/>
          <w:color w:val="000000"/>
          <w:lang w:eastAsia="en-GB"/>
        </w:rPr>
      </w:pPr>
    </w:p>
    <w:p w:rsidR="002D37AF" w:rsidRDefault="002D37AF">
      <w:pPr>
        <w:rPr>
          <w:rFonts w:eastAsia="Times New Roman"/>
          <w:b/>
          <w:color w:val="000000"/>
          <w:lang w:eastAsia="en-GB"/>
        </w:rPr>
      </w:pPr>
    </w:p>
    <w:p w:rsidR="002D37AF" w:rsidRPr="00820BED" w:rsidRDefault="002D37AF" w:rsidP="002D37AF">
      <w:pPr>
        <w:spacing w:after="120" w:line="480" w:lineRule="auto"/>
        <w:jc w:val="both"/>
        <w:rPr>
          <w:rFonts w:eastAsia="Times New Roman"/>
          <w:bCs/>
          <w:color w:val="000000"/>
          <w:szCs w:val="24"/>
          <w:lang w:eastAsia="en-GB"/>
        </w:rPr>
      </w:pPr>
    </w:p>
    <w:p w:rsidR="002D37AF" w:rsidRPr="00820BED" w:rsidRDefault="002D37AF" w:rsidP="00FD76E3">
      <w:pPr>
        <w:spacing w:after="120" w:line="480" w:lineRule="auto"/>
        <w:jc w:val="both"/>
        <w:rPr>
          <w:rFonts w:eastAsia="Times New Roman"/>
          <w:bCs/>
          <w:color w:val="000000"/>
          <w:szCs w:val="24"/>
          <w:lang w:eastAsia="en-GB"/>
        </w:rPr>
      </w:pPr>
      <w:r w:rsidRPr="00820BED">
        <w:rPr>
          <w:rFonts w:eastAsia="Times New Roman"/>
          <w:bCs/>
          <w:color w:val="000000"/>
          <w:szCs w:val="24"/>
          <w:lang w:eastAsia="en-GB"/>
        </w:rPr>
        <w:t>The statistical analysis is presented in</w:t>
      </w:r>
      <w:r w:rsidR="00FD76E3">
        <w:rPr>
          <w:rFonts w:eastAsia="Times New Roman"/>
          <w:bCs/>
          <w:color w:val="000000"/>
          <w:szCs w:val="24"/>
          <w:lang w:eastAsia="en-GB"/>
        </w:rPr>
        <w:t xml:space="preserve"> </w:t>
      </w:r>
      <w:r w:rsidR="00FD76E3" w:rsidRPr="00FD76E3">
        <w:rPr>
          <w:rFonts w:eastAsia="Times New Roman"/>
          <w:bCs/>
          <w:color w:val="000000"/>
          <w:szCs w:val="24"/>
          <w:lang w:eastAsia="en-GB"/>
        </w:rPr>
        <w:fldChar w:fldCharType="begin"/>
      </w:r>
      <w:r w:rsidR="00FD76E3" w:rsidRPr="00FD76E3">
        <w:rPr>
          <w:rFonts w:eastAsia="Times New Roman"/>
          <w:bCs/>
          <w:color w:val="000000"/>
          <w:szCs w:val="24"/>
          <w:lang w:eastAsia="en-GB"/>
        </w:rPr>
        <w:instrText xml:space="preserve"> REF _Ref361093583 \h  \* MERGEFORMAT </w:instrText>
      </w:r>
      <w:r w:rsidR="00FD76E3" w:rsidRPr="00FD76E3">
        <w:rPr>
          <w:rFonts w:eastAsia="Times New Roman"/>
          <w:bCs/>
          <w:color w:val="000000"/>
          <w:szCs w:val="24"/>
          <w:lang w:eastAsia="en-GB"/>
        </w:rPr>
      </w:r>
      <w:r w:rsidR="00FD76E3" w:rsidRPr="00FD76E3">
        <w:rPr>
          <w:rFonts w:eastAsia="Times New Roman"/>
          <w:bCs/>
          <w:color w:val="000000"/>
          <w:szCs w:val="24"/>
          <w:lang w:eastAsia="en-GB"/>
        </w:rPr>
        <w:fldChar w:fldCharType="separate"/>
      </w:r>
      <w:r w:rsidR="00374B77" w:rsidRPr="00374B77">
        <w:rPr>
          <w:rFonts w:cstheme="minorBidi"/>
          <w:bCs/>
          <w:szCs w:val="24"/>
        </w:rPr>
        <w:t xml:space="preserve">Table </w:t>
      </w:r>
      <w:r w:rsidR="00374B77" w:rsidRPr="00374B77">
        <w:rPr>
          <w:rFonts w:cstheme="minorBidi"/>
          <w:bCs/>
          <w:noProof/>
          <w:szCs w:val="24"/>
          <w:cs/>
        </w:rPr>
        <w:t>‎</w:t>
      </w:r>
      <w:r w:rsidR="00374B77">
        <w:rPr>
          <w:rFonts w:cstheme="minorBidi"/>
          <w:b/>
          <w:bCs/>
          <w:noProof/>
          <w:sz w:val="20"/>
          <w:szCs w:val="20"/>
        </w:rPr>
        <w:t>3.13</w:t>
      </w:r>
      <w:r w:rsidR="00FD76E3" w:rsidRPr="00FD76E3">
        <w:rPr>
          <w:rFonts w:eastAsia="Times New Roman"/>
          <w:bCs/>
          <w:color w:val="000000"/>
          <w:szCs w:val="24"/>
          <w:lang w:eastAsia="en-GB"/>
        </w:rPr>
        <w:fldChar w:fldCharType="end"/>
      </w:r>
      <w:r w:rsidRPr="00FD76E3">
        <w:rPr>
          <w:rFonts w:eastAsia="Times New Roman"/>
          <w:bCs/>
          <w:color w:val="000000"/>
          <w:szCs w:val="24"/>
          <w:lang w:eastAsia="en-GB"/>
        </w:rPr>
        <w:t>.</w:t>
      </w:r>
      <w:r w:rsidRPr="00820BED">
        <w:rPr>
          <w:rFonts w:eastAsia="Times New Roman"/>
          <w:bCs/>
          <w:color w:val="000000"/>
          <w:szCs w:val="24"/>
          <w:lang w:eastAsia="en-GB"/>
        </w:rPr>
        <w:t xml:space="preserve"> It can be seen that the</w:t>
      </w:r>
      <w:r w:rsidR="00BD721A">
        <w:rPr>
          <w:rFonts w:eastAsia="Times New Roman"/>
          <w:bCs/>
          <w:color w:val="000000"/>
          <w:szCs w:val="24"/>
          <w:lang w:eastAsia="en-GB"/>
        </w:rPr>
        <w:t xml:space="preserve"> combination of the three antibiotics </w:t>
      </w:r>
      <w:r w:rsidR="00BD721A" w:rsidRPr="006439AC">
        <w:rPr>
          <w:rFonts w:eastAsia="Times New Roman"/>
          <w:bCs/>
          <w:szCs w:val="24"/>
          <w:lang w:eastAsia="en-GB"/>
        </w:rPr>
        <w:t>(Mino+cip+met)</w:t>
      </w:r>
      <w:r w:rsidR="00820BED" w:rsidRPr="006439AC">
        <w:rPr>
          <w:rFonts w:eastAsia="Times New Roman"/>
          <w:bCs/>
          <w:szCs w:val="24"/>
          <w:lang w:eastAsia="en-GB"/>
        </w:rPr>
        <w:t xml:space="preserve"> </w:t>
      </w:r>
      <w:r w:rsidR="00BD721A">
        <w:rPr>
          <w:rFonts w:eastAsia="Times New Roman"/>
          <w:bCs/>
          <w:color w:val="000000"/>
          <w:szCs w:val="24"/>
          <w:lang w:eastAsia="en-GB"/>
        </w:rPr>
        <w:t xml:space="preserve">were significantly more effective against </w:t>
      </w:r>
      <w:r w:rsidR="00BD721A" w:rsidRPr="00D03223">
        <w:rPr>
          <w:rFonts w:eastAsia="Times New Roman"/>
          <w:bCs/>
          <w:i/>
          <w:color w:val="000000"/>
          <w:szCs w:val="24"/>
          <w:lang w:eastAsia="en-GB"/>
        </w:rPr>
        <w:t>E faecalis</w:t>
      </w:r>
      <w:r w:rsidR="00BD721A">
        <w:rPr>
          <w:rFonts w:eastAsia="Times New Roman"/>
          <w:bCs/>
          <w:color w:val="000000"/>
          <w:szCs w:val="24"/>
          <w:lang w:eastAsia="en-GB"/>
        </w:rPr>
        <w:t xml:space="preserve"> as compared to other materials and antibiotics individually and in combination.</w:t>
      </w:r>
      <w:r w:rsidR="00820BED" w:rsidRPr="00820BED">
        <w:rPr>
          <w:rFonts w:eastAsia="Times New Roman"/>
          <w:bCs/>
          <w:color w:val="000000"/>
          <w:szCs w:val="24"/>
          <w:lang w:eastAsia="en-GB"/>
        </w:rPr>
        <w:t xml:space="preserve"> </w:t>
      </w:r>
    </w:p>
    <w:p w:rsidR="001C618A" w:rsidRDefault="001C618A">
      <w:pPr>
        <w:rPr>
          <w:rFonts w:eastAsia="Times New Roman"/>
          <w:b/>
          <w:color w:val="000000"/>
          <w:lang w:eastAsia="en-GB"/>
        </w:rPr>
      </w:pPr>
      <w:r>
        <w:rPr>
          <w:rFonts w:eastAsia="Times New Roman"/>
          <w:b/>
          <w:color w:val="000000"/>
          <w:lang w:eastAsia="en-GB"/>
        </w:rPr>
        <w:br w:type="page"/>
      </w:r>
    </w:p>
    <w:p w:rsidR="00FD76E3" w:rsidRPr="00681046" w:rsidRDefault="00FD76E3" w:rsidP="004B1A09">
      <w:pPr>
        <w:spacing w:after="0" w:line="240" w:lineRule="auto"/>
        <w:jc w:val="both"/>
        <w:rPr>
          <w:rFonts w:eastAsia="Calibri" w:cstheme="minorBidi"/>
          <w:b/>
          <w:bCs/>
          <w:i/>
          <w:iCs/>
          <w:sz w:val="20"/>
          <w:szCs w:val="20"/>
        </w:rPr>
      </w:pPr>
      <w:bookmarkStart w:id="585" w:name="_Ref361093583"/>
      <w:bookmarkStart w:id="586" w:name="_Toc370511749"/>
      <w:proofErr w:type="gramStart"/>
      <w:r w:rsidRPr="00FD76E3">
        <w:rPr>
          <w:rFonts w:cstheme="minorBidi"/>
          <w:b/>
          <w:bCs/>
          <w:sz w:val="20"/>
          <w:szCs w:val="20"/>
        </w:rPr>
        <w:lastRenderedPageBreak/>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13</w:t>
      </w:r>
      <w:r w:rsidR="00E7089D">
        <w:rPr>
          <w:rFonts w:cstheme="minorBidi"/>
          <w:b/>
          <w:bCs/>
          <w:sz w:val="20"/>
          <w:szCs w:val="20"/>
        </w:rPr>
        <w:fldChar w:fldCharType="end"/>
      </w:r>
      <w:bookmarkEnd w:id="585"/>
      <w:r w:rsidRPr="00FD76E3">
        <w:rPr>
          <w:rFonts w:cstheme="minorBidi"/>
          <w:b/>
          <w:bCs/>
          <w:sz w:val="20"/>
          <w:szCs w:val="20"/>
        </w:rPr>
        <w:t xml:space="preserve"> </w:t>
      </w:r>
      <w:r w:rsidR="004B1A09" w:rsidRPr="004B1A09">
        <w:rPr>
          <w:rFonts w:cstheme="minorBidi"/>
          <w:b/>
          <w:bCs/>
          <w:sz w:val="20"/>
          <w:szCs w:val="20"/>
        </w:rPr>
        <w:t>Comparison of antibacterial effectiveness of different material NSCH, MTA, Minocycline, Ciprofloxacin and Metronidazole, on</w:t>
      </w:r>
      <w:r w:rsidR="004B1A09" w:rsidRPr="004B1A09">
        <w:rPr>
          <w:rFonts w:cstheme="minorBidi"/>
          <w:b/>
          <w:bCs/>
          <w:i/>
          <w:iCs/>
          <w:sz w:val="20"/>
          <w:szCs w:val="20"/>
        </w:rPr>
        <w:t xml:space="preserve"> </w:t>
      </w:r>
      <w:proofErr w:type="gramStart"/>
      <w:r w:rsidR="004B1A09" w:rsidRPr="004B1A09">
        <w:rPr>
          <w:rFonts w:cstheme="minorBidi"/>
          <w:b/>
          <w:bCs/>
          <w:i/>
          <w:iCs/>
          <w:sz w:val="20"/>
          <w:szCs w:val="20"/>
        </w:rPr>
        <w:t>E  faecalis</w:t>
      </w:r>
      <w:proofErr w:type="gramEnd"/>
      <w:r w:rsidR="004B1A09" w:rsidRPr="004B1A09">
        <w:rPr>
          <w:rFonts w:cstheme="minorBidi"/>
          <w:b/>
          <w:bCs/>
          <w:i/>
          <w:iCs/>
          <w:sz w:val="20"/>
          <w:szCs w:val="20"/>
        </w:rPr>
        <w:t>.</w:t>
      </w:r>
      <w:bookmarkEnd w:id="586"/>
    </w:p>
    <w:tbl>
      <w:tblPr>
        <w:tblpPr w:leftFromText="180" w:rightFromText="180" w:vertAnchor="page" w:horzAnchor="margin" w:tblpY="2566"/>
        <w:tblW w:w="8637" w:type="dxa"/>
        <w:tblLayout w:type="fixed"/>
        <w:tblCellMar>
          <w:left w:w="10" w:type="dxa"/>
          <w:right w:w="10" w:type="dxa"/>
        </w:tblCellMar>
        <w:tblLook w:val="0000" w:firstRow="0" w:lastRow="0" w:firstColumn="0" w:lastColumn="0" w:noHBand="0" w:noVBand="0"/>
      </w:tblPr>
      <w:tblGrid>
        <w:gridCol w:w="1463"/>
        <w:gridCol w:w="1464"/>
        <w:gridCol w:w="1893"/>
        <w:gridCol w:w="1043"/>
        <w:gridCol w:w="1387"/>
        <w:gridCol w:w="1387"/>
      </w:tblGrid>
      <w:tr w:rsidR="001C618A" w:rsidRPr="00B013ED" w:rsidTr="001C618A">
        <w:trPr>
          <w:cantSplit/>
        </w:trPr>
        <w:tc>
          <w:tcPr>
            <w:tcW w:w="1463" w:type="dxa"/>
            <w:vMerge w:val="restart"/>
            <w:tcBorders>
              <w:top w:val="single" w:sz="18" w:space="0" w:color="000000"/>
              <w:left w:val="single" w:sz="18" w:space="0" w:color="000000"/>
            </w:tcBorders>
            <w:shd w:val="clear" w:color="auto" w:fill="EAF1DD" w:themeFill="accent3" w:themeFillTint="33"/>
            <w:tcMar>
              <w:top w:w="0" w:type="dxa"/>
              <w:left w:w="0" w:type="dxa"/>
              <w:bottom w:w="0" w:type="dxa"/>
              <w:right w:w="0" w:type="dxa"/>
            </w:tcMar>
          </w:tcPr>
          <w:p w:rsidR="001C618A" w:rsidRPr="00B013ED" w:rsidRDefault="001C618A" w:rsidP="00FD76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(I) Treatment</w:t>
            </w:r>
          </w:p>
        </w:tc>
        <w:tc>
          <w:tcPr>
            <w:tcW w:w="1464" w:type="dxa"/>
            <w:vMerge w:val="restart"/>
            <w:tcBorders>
              <w:top w:val="single" w:sz="18" w:space="0" w:color="000000"/>
              <w:right w:val="single" w:sz="18" w:space="0" w:color="000000"/>
            </w:tcBorders>
            <w:shd w:val="clear" w:color="auto" w:fill="EAF1DD" w:themeFill="accent3" w:themeFillTint="33"/>
            <w:tcMar>
              <w:top w:w="0" w:type="dxa"/>
              <w:left w:w="0" w:type="dxa"/>
              <w:bottom w:w="0" w:type="dxa"/>
              <w:right w:w="0" w:type="dxa"/>
            </w:tcMar>
          </w:tcPr>
          <w:p w:rsidR="001C618A" w:rsidRPr="00B013ED" w:rsidRDefault="001C618A" w:rsidP="00FD76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(J) Treatment</w:t>
            </w:r>
          </w:p>
        </w:tc>
        <w:tc>
          <w:tcPr>
            <w:tcW w:w="1893" w:type="dxa"/>
            <w:vMerge w:val="restart"/>
            <w:tcBorders>
              <w:top w:val="single" w:sz="18" w:space="0" w:color="000000"/>
              <w:left w:val="single" w:sz="1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1C618A" w:rsidRPr="00B013ED" w:rsidRDefault="001C618A" w:rsidP="00FD76E3">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Mean Difference (I-J)</w:t>
            </w:r>
          </w:p>
        </w:tc>
        <w:tc>
          <w:tcPr>
            <w:tcW w:w="1043" w:type="dxa"/>
            <w:vMerge w:val="restart"/>
            <w:tcBorders>
              <w:top w:val="single" w:sz="18" w:space="0" w:color="000000"/>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1C618A" w:rsidRPr="00B013ED" w:rsidRDefault="001C618A" w:rsidP="00FD76E3">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Sig.</w:t>
            </w:r>
          </w:p>
        </w:tc>
        <w:tc>
          <w:tcPr>
            <w:tcW w:w="2774" w:type="dxa"/>
            <w:gridSpan w:val="2"/>
            <w:tcBorders>
              <w:top w:val="single" w:sz="18" w:space="0" w:color="000000"/>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1C618A" w:rsidRPr="00B013ED" w:rsidRDefault="001C618A" w:rsidP="00FD76E3">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95% Confidence Interval</w:t>
            </w:r>
          </w:p>
        </w:tc>
      </w:tr>
      <w:tr w:rsidR="001C618A" w:rsidRPr="00B013ED" w:rsidTr="001C618A">
        <w:trPr>
          <w:cantSplit/>
        </w:trPr>
        <w:tc>
          <w:tcPr>
            <w:tcW w:w="1463" w:type="dxa"/>
            <w:vMerge/>
            <w:tcBorders>
              <w:top w:val="single" w:sz="18" w:space="0" w:color="000000"/>
              <w:left w:val="single" w:sz="18" w:space="0" w:color="000000"/>
              <w:bottom w:val="single" w:sz="18" w:space="0" w:color="000000"/>
            </w:tcBorders>
            <w:shd w:val="clear" w:color="auto" w:fill="EAF1DD" w:themeFill="accent3" w:themeFillTint="33"/>
            <w:tcMar>
              <w:top w:w="0" w:type="dxa"/>
              <w:left w:w="0" w:type="dxa"/>
              <w:bottom w:w="0" w:type="dxa"/>
              <w:right w:w="0" w:type="dxa"/>
            </w:tcMa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vMerge/>
            <w:tcBorders>
              <w:top w:val="single" w:sz="18" w:space="0" w:color="000000"/>
              <w:bottom w:val="single" w:sz="18" w:space="0" w:color="000000"/>
              <w:right w:val="single" w:sz="18" w:space="0" w:color="000000"/>
            </w:tcBorders>
            <w:shd w:val="clear" w:color="auto" w:fill="EAF1DD" w:themeFill="accent3" w:themeFillTint="33"/>
            <w:tcMar>
              <w:top w:w="0" w:type="dxa"/>
              <w:left w:w="0" w:type="dxa"/>
              <w:bottom w:w="0" w:type="dxa"/>
              <w:right w:w="0" w:type="dxa"/>
            </w:tcMa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893" w:type="dxa"/>
            <w:vMerge/>
            <w:tcBorders>
              <w:top w:val="single" w:sz="18" w:space="0" w:color="000000"/>
              <w:left w:val="single" w:sz="1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043" w:type="dxa"/>
            <w:vMerge/>
            <w:tcBorders>
              <w:top w:val="single" w:sz="18" w:space="0" w:color="000000"/>
              <w:left w:val="single" w:sz="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387" w:type="dxa"/>
            <w:tcBorders>
              <w:top w:val="single" w:sz="8" w:space="0" w:color="000000"/>
              <w:left w:val="single" w:sz="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1C618A" w:rsidRPr="00B013ED" w:rsidRDefault="001C618A" w:rsidP="001C618A">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Lower Bound</w:t>
            </w:r>
          </w:p>
        </w:tc>
        <w:tc>
          <w:tcPr>
            <w:tcW w:w="1387" w:type="dxa"/>
            <w:tcBorders>
              <w:top w:val="single" w:sz="8" w:space="0" w:color="000000"/>
              <w:left w:val="single" w:sz="8" w:space="0" w:color="000000"/>
              <w:bottom w:val="single" w:sz="18" w:space="0" w:color="000000"/>
              <w:right w:val="single" w:sz="18" w:space="0" w:color="000000"/>
            </w:tcBorders>
            <w:shd w:val="clear" w:color="auto" w:fill="EAF1DD" w:themeFill="accent3" w:themeFillTint="33"/>
            <w:tcMar>
              <w:top w:w="0" w:type="dxa"/>
              <w:left w:w="0" w:type="dxa"/>
              <w:bottom w:w="0" w:type="dxa"/>
              <w:right w:w="0" w:type="dxa"/>
            </w:tcMar>
          </w:tcPr>
          <w:p w:rsidR="001C618A" w:rsidRPr="00B013ED" w:rsidRDefault="001C618A" w:rsidP="001C618A">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Upper Bound</w:t>
            </w:r>
          </w:p>
        </w:tc>
      </w:tr>
      <w:tr w:rsidR="001C618A" w:rsidRPr="00B013ED" w:rsidTr="001C618A">
        <w:trPr>
          <w:cantSplit/>
        </w:trPr>
        <w:tc>
          <w:tcPr>
            <w:tcW w:w="1463" w:type="dxa"/>
            <w:vMerge w:val="restart"/>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464" w:type="dxa"/>
            <w:tcBorders>
              <w:top w:val="single" w:sz="1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893" w:type="dxa"/>
            <w:tcBorders>
              <w:top w:val="single" w:sz="18" w:space="0" w:color="000000"/>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.00000</w:t>
            </w:r>
          </w:p>
        </w:tc>
        <w:tc>
          <w:tcPr>
            <w:tcW w:w="1043" w:type="dxa"/>
            <w:tcBorders>
              <w:top w:val="single" w:sz="18" w:space="0" w:color="000000"/>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1.000</w:t>
            </w:r>
          </w:p>
        </w:tc>
        <w:tc>
          <w:tcPr>
            <w:tcW w:w="1387" w:type="dxa"/>
            <w:tcBorders>
              <w:top w:val="single" w:sz="18" w:space="0" w:color="000000"/>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-1.7797</w:t>
            </w:r>
          </w:p>
        </w:tc>
        <w:tc>
          <w:tcPr>
            <w:tcW w:w="1387" w:type="dxa"/>
            <w:tcBorders>
              <w:top w:val="single" w:sz="18" w:space="0" w:color="000000"/>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1.7797</w:t>
            </w:r>
          </w:p>
        </w:tc>
      </w:tr>
      <w:tr w:rsidR="001C618A" w:rsidRPr="00B013ED" w:rsidTr="001C618A">
        <w:trPr>
          <w:cantSplit/>
        </w:trPr>
        <w:tc>
          <w:tcPr>
            <w:tcW w:w="1463"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893"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-27.42444</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-29.2041</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-25.6448</w:t>
            </w:r>
          </w:p>
        </w:tc>
      </w:tr>
      <w:tr w:rsidR="001C618A" w:rsidRPr="00B013ED" w:rsidTr="001C618A">
        <w:trPr>
          <w:cantSplit/>
        </w:trPr>
        <w:tc>
          <w:tcPr>
            <w:tcW w:w="1463"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893"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-23.09889</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-24.8786</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-21.3192</w:t>
            </w:r>
          </w:p>
        </w:tc>
      </w:tr>
      <w:tr w:rsidR="001C618A" w:rsidRPr="00B013ED" w:rsidTr="001C618A">
        <w:trPr>
          <w:cantSplit/>
        </w:trPr>
        <w:tc>
          <w:tcPr>
            <w:tcW w:w="1463"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893"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.00000</w:t>
            </w:r>
          </w:p>
        </w:tc>
        <w:tc>
          <w:tcPr>
            <w:tcW w:w="1043"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-1.7797</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1.7797</w:t>
            </w:r>
          </w:p>
        </w:tc>
      </w:tr>
      <w:tr w:rsidR="001C618A" w:rsidRPr="00B013ED" w:rsidTr="001C618A">
        <w:trPr>
          <w:cantSplit/>
        </w:trPr>
        <w:tc>
          <w:tcPr>
            <w:tcW w:w="1463"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893"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-22.67556</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-24.4552</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-20.8959</w:t>
            </w:r>
          </w:p>
        </w:tc>
      </w:tr>
      <w:tr w:rsidR="001C618A" w:rsidRPr="00B013ED" w:rsidTr="001C618A">
        <w:trPr>
          <w:cantSplit/>
        </w:trPr>
        <w:tc>
          <w:tcPr>
            <w:tcW w:w="1463" w:type="dxa"/>
            <w:vMerge/>
            <w:tcBorders>
              <w:top w:val="single" w:sz="18" w:space="0" w:color="000000"/>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bottom w:val="single" w:sz="4" w:space="0" w:color="auto"/>
              <w:right w:val="single" w:sz="1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893" w:type="dxa"/>
            <w:tcBorders>
              <w:left w:val="single" w:sz="1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-31.67667</w:t>
            </w:r>
            <w:r w:rsidRPr="00B013ED">
              <w:rPr>
                <w:rFonts w:ascii="Arial" w:eastAsia="Calibri" w:hAnsi="Arial" w:cs="Arial"/>
                <w:color w:val="000000"/>
                <w:sz w:val="18"/>
                <w:szCs w:val="18"/>
                <w:vertAlign w:val="superscript"/>
              </w:rPr>
              <w:t>*</w:t>
            </w:r>
          </w:p>
        </w:tc>
        <w:tc>
          <w:tcPr>
            <w:tcW w:w="1043" w:type="dxa"/>
            <w:tcBorders>
              <w:left w:val="single" w:sz="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-33.4563</w:t>
            </w:r>
          </w:p>
        </w:tc>
        <w:tc>
          <w:tcPr>
            <w:tcW w:w="1387" w:type="dxa"/>
            <w:tcBorders>
              <w:left w:val="single" w:sz="8" w:space="0" w:color="000000"/>
              <w:bottom w:val="single" w:sz="4" w:space="0" w:color="auto"/>
              <w:right w:val="single" w:sz="18" w:space="0" w:color="000000"/>
            </w:tcBorders>
            <w:shd w:val="clear" w:color="auto" w:fill="FDE9D9" w:themeFill="accent6"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-29.8970</w:t>
            </w:r>
          </w:p>
        </w:tc>
      </w:tr>
      <w:tr w:rsidR="001C618A" w:rsidRPr="00B013ED" w:rsidTr="001C618A">
        <w:trPr>
          <w:cantSplit/>
        </w:trPr>
        <w:tc>
          <w:tcPr>
            <w:tcW w:w="1463"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464" w:type="dxa"/>
            <w:tcBorders>
              <w:top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893" w:type="dxa"/>
            <w:tcBorders>
              <w:top w:val="single" w:sz="4" w:space="0" w:color="auto"/>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.00000</w:t>
            </w:r>
          </w:p>
        </w:tc>
        <w:tc>
          <w:tcPr>
            <w:tcW w:w="1043" w:type="dxa"/>
            <w:tcBorders>
              <w:top w:val="single" w:sz="4" w:space="0" w:color="auto"/>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1.000</w:t>
            </w:r>
          </w:p>
        </w:tc>
        <w:tc>
          <w:tcPr>
            <w:tcW w:w="1387" w:type="dxa"/>
            <w:tcBorders>
              <w:top w:val="single" w:sz="4" w:space="0" w:color="auto"/>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-1.7797</w:t>
            </w:r>
          </w:p>
        </w:tc>
        <w:tc>
          <w:tcPr>
            <w:tcW w:w="1387" w:type="dxa"/>
            <w:tcBorders>
              <w:top w:val="single" w:sz="4" w:space="0" w:color="auto"/>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1.7797</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893"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-27.42444</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-29.2041</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-25.6448</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893"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-23.09889</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-24.8786</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-21.3192</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893"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.00000</w:t>
            </w:r>
          </w:p>
        </w:tc>
        <w:tc>
          <w:tcPr>
            <w:tcW w:w="1043"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1.000</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-1.7797</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1.7797</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893"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-22.67556</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-24.4552</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-20.8959</w:t>
            </w:r>
          </w:p>
        </w:tc>
      </w:tr>
      <w:tr w:rsidR="001C618A" w:rsidRPr="00B013ED" w:rsidTr="001C618A">
        <w:trPr>
          <w:cantSplit/>
        </w:trPr>
        <w:tc>
          <w:tcPr>
            <w:tcW w:w="1463"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bottom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893" w:type="dxa"/>
            <w:tcBorders>
              <w:left w:val="single" w:sz="1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-31.67667</w:t>
            </w:r>
            <w:r w:rsidRPr="00B013ED">
              <w:rPr>
                <w:rFonts w:ascii="Arial" w:eastAsia="Calibri" w:hAnsi="Arial" w:cs="Arial"/>
                <w:color w:val="000000"/>
                <w:sz w:val="18"/>
                <w:szCs w:val="18"/>
                <w:vertAlign w:val="superscript"/>
              </w:rPr>
              <w:t>*</w:t>
            </w:r>
          </w:p>
        </w:tc>
        <w:tc>
          <w:tcPr>
            <w:tcW w:w="1043" w:type="dxa"/>
            <w:tcBorders>
              <w:left w:val="single" w:sz="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-33.4563</w:t>
            </w:r>
          </w:p>
        </w:tc>
        <w:tc>
          <w:tcPr>
            <w:tcW w:w="1387" w:type="dxa"/>
            <w:tcBorders>
              <w:left w:val="single" w:sz="8" w:space="0" w:color="000000"/>
              <w:bottom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-29.8970</w:t>
            </w:r>
          </w:p>
        </w:tc>
      </w:tr>
      <w:tr w:rsidR="001C618A" w:rsidRPr="00B013ED" w:rsidTr="001C618A">
        <w:trPr>
          <w:cantSplit/>
        </w:trPr>
        <w:tc>
          <w:tcPr>
            <w:tcW w:w="1463"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464" w:type="dxa"/>
            <w:tcBorders>
              <w:top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893" w:type="dxa"/>
            <w:tcBorders>
              <w:top w:val="single" w:sz="4" w:space="0" w:color="auto"/>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27.42444</w:t>
            </w:r>
            <w:r w:rsidRPr="00B013ED">
              <w:rPr>
                <w:rFonts w:ascii="Arial" w:eastAsia="Calibri" w:hAnsi="Arial" w:cs="Arial"/>
                <w:color w:val="000000"/>
                <w:sz w:val="18"/>
                <w:szCs w:val="18"/>
                <w:vertAlign w:val="superscript"/>
              </w:rPr>
              <w:t>*</w:t>
            </w:r>
          </w:p>
        </w:tc>
        <w:tc>
          <w:tcPr>
            <w:tcW w:w="1043" w:type="dxa"/>
            <w:tcBorders>
              <w:top w:val="single" w:sz="4" w:space="0" w:color="auto"/>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25.6448</w:t>
            </w:r>
          </w:p>
        </w:tc>
        <w:tc>
          <w:tcPr>
            <w:tcW w:w="1387" w:type="dxa"/>
            <w:tcBorders>
              <w:top w:val="single" w:sz="4" w:space="0" w:color="auto"/>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29.2041</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893"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27.42444</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25.6448</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29.2041</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893"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4.32556</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2.5459</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6.1052</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893"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27.42444</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25.6448</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29.2041</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893"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4.74889</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2.9692</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6.5286</w:t>
            </w:r>
          </w:p>
        </w:tc>
      </w:tr>
      <w:tr w:rsidR="001C618A" w:rsidRPr="00B013ED" w:rsidTr="001C618A">
        <w:trPr>
          <w:cantSplit/>
        </w:trPr>
        <w:tc>
          <w:tcPr>
            <w:tcW w:w="1463"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bottom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893" w:type="dxa"/>
            <w:tcBorders>
              <w:left w:val="single" w:sz="1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-4.25222</w:t>
            </w:r>
            <w:r w:rsidRPr="00B013ED">
              <w:rPr>
                <w:rFonts w:ascii="Arial" w:eastAsia="Calibri" w:hAnsi="Arial" w:cs="Arial"/>
                <w:color w:val="000000"/>
                <w:sz w:val="18"/>
                <w:szCs w:val="18"/>
                <w:vertAlign w:val="superscript"/>
              </w:rPr>
              <w:t>*</w:t>
            </w:r>
          </w:p>
        </w:tc>
        <w:tc>
          <w:tcPr>
            <w:tcW w:w="1043" w:type="dxa"/>
            <w:tcBorders>
              <w:left w:val="single" w:sz="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-6.0319</w:t>
            </w:r>
          </w:p>
        </w:tc>
        <w:tc>
          <w:tcPr>
            <w:tcW w:w="1387" w:type="dxa"/>
            <w:tcBorders>
              <w:left w:val="single" w:sz="8" w:space="0" w:color="000000"/>
              <w:bottom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-2.4726</w:t>
            </w:r>
          </w:p>
        </w:tc>
      </w:tr>
      <w:tr w:rsidR="001C618A" w:rsidRPr="00B013ED" w:rsidTr="001C618A">
        <w:trPr>
          <w:cantSplit/>
        </w:trPr>
        <w:tc>
          <w:tcPr>
            <w:tcW w:w="1463"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464" w:type="dxa"/>
            <w:tcBorders>
              <w:top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893" w:type="dxa"/>
            <w:tcBorders>
              <w:top w:val="single" w:sz="4" w:space="0" w:color="auto"/>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23.09889</w:t>
            </w:r>
            <w:r w:rsidRPr="00B013ED">
              <w:rPr>
                <w:rFonts w:ascii="Arial" w:eastAsia="Calibri" w:hAnsi="Arial" w:cs="Arial"/>
                <w:color w:val="000000"/>
                <w:sz w:val="18"/>
                <w:szCs w:val="18"/>
                <w:vertAlign w:val="superscript"/>
              </w:rPr>
              <w:t>*</w:t>
            </w:r>
          </w:p>
        </w:tc>
        <w:tc>
          <w:tcPr>
            <w:tcW w:w="1043" w:type="dxa"/>
            <w:tcBorders>
              <w:top w:val="single" w:sz="4" w:space="0" w:color="auto"/>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21.3192</w:t>
            </w:r>
          </w:p>
        </w:tc>
        <w:tc>
          <w:tcPr>
            <w:tcW w:w="1387" w:type="dxa"/>
            <w:tcBorders>
              <w:top w:val="single" w:sz="4" w:space="0" w:color="auto"/>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24.8786</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893"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23.09889</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21.3192</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24.8786</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893"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-4.32556</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-6.1052</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-2.5459</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893"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23.09889</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21.3192</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24.8786</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893"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.42333</w:t>
            </w:r>
          </w:p>
        </w:tc>
        <w:tc>
          <w:tcPr>
            <w:tcW w:w="1043"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.636</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-1.3563</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2.2030</w:t>
            </w:r>
          </w:p>
        </w:tc>
      </w:tr>
      <w:tr w:rsidR="001C618A" w:rsidRPr="00B013ED" w:rsidTr="001C618A">
        <w:trPr>
          <w:cantSplit/>
        </w:trPr>
        <w:tc>
          <w:tcPr>
            <w:tcW w:w="1463"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bottom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893" w:type="dxa"/>
            <w:tcBorders>
              <w:left w:val="single" w:sz="1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-8.57778</w:t>
            </w:r>
            <w:r w:rsidRPr="00B013ED">
              <w:rPr>
                <w:rFonts w:ascii="Arial" w:eastAsia="Calibri" w:hAnsi="Arial" w:cs="Arial"/>
                <w:color w:val="000000"/>
                <w:sz w:val="18"/>
                <w:szCs w:val="18"/>
                <w:vertAlign w:val="superscript"/>
              </w:rPr>
              <w:t>*</w:t>
            </w:r>
          </w:p>
        </w:tc>
        <w:tc>
          <w:tcPr>
            <w:tcW w:w="1043" w:type="dxa"/>
            <w:tcBorders>
              <w:left w:val="single" w:sz="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-10.3574</w:t>
            </w:r>
          </w:p>
        </w:tc>
        <w:tc>
          <w:tcPr>
            <w:tcW w:w="1387" w:type="dxa"/>
            <w:tcBorders>
              <w:left w:val="single" w:sz="8" w:space="0" w:color="000000"/>
              <w:bottom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-6.7981</w:t>
            </w:r>
          </w:p>
        </w:tc>
      </w:tr>
      <w:tr w:rsidR="001C618A" w:rsidRPr="00B013ED" w:rsidTr="001C618A">
        <w:trPr>
          <w:cantSplit/>
        </w:trPr>
        <w:tc>
          <w:tcPr>
            <w:tcW w:w="1463"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464" w:type="dxa"/>
            <w:tcBorders>
              <w:top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893" w:type="dxa"/>
            <w:tcBorders>
              <w:top w:val="single" w:sz="4" w:space="0" w:color="auto"/>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.00000</w:t>
            </w:r>
          </w:p>
        </w:tc>
        <w:tc>
          <w:tcPr>
            <w:tcW w:w="1043" w:type="dxa"/>
            <w:tcBorders>
              <w:top w:val="single" w:sz="4" w:space="0" w:color="auto"/>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1.000</w:t>
            </w:r>
          </w:p>
        </w:tc>
        <w:tc>
          <w:tcPr>
            <w:tcW w:w="1387" w:type="dxa"/>
            <w:tcBorders>
              <w:top w:val="single" w:sz="4" w:space="0" w:color="auto"/>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-1.7797</w:t>
            </w:r>
          </w:p>
        </w:tc>
        <w:tc>
          <w:tcPr>
            <w:tcW w:w="1387" w:type="dxa"/>
            <w:tcBorders>
              <w:top w:val="single" w:sz="4" w:space="0" w:color="auto"/>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1.7797</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893"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.00000</w:t>
            </w:r>
          </w:p>
        </w:tc>
        <w:tc>
          <w:tcPr>
            <w:tcW w:w="1043"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-1.7797</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1.7797</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893"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-27.42444</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-29.2041</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-25.6448</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893"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-23.09889</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-24.8786</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-21.3192</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893"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-22.67556</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-24.4552</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-20.8959</w:t>
            </w:r>
          </w:p>
        </w:tc>
      </w:tr>
      <w:tr w:rsidR="001C618A" w:rsidRPr="00B013ED" w:rsidTr="001C618A">
        <w:trPr>
          <w:cantSplit/>
        </w:trPr>
        <w:tc>
          <w:tcPr>
            <w:tcW w:w="1463"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bottom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893" w:type="dxa"/>
            <w:tcBorders>
              <w:left w:val="single" w:sz="1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-31.67667</w:t>
            </w:r>
            <w:r w:rsidRPr="00B013ED">
              <w:rPr>
                <w:rFonts w:ascii="Arial" w:eastAsia="Calibri" w:hAnsi="Arial" w:cs="Arial"/>
                <w:color w:val="000000"/>
                <w:sz w:val="18"/>
                <w:szCs w:val="18"/>
                <w:vertAlign w:val="superscript"/>
              </w:rPr>
              <w:t>*</w:t>
            </w:r>
          </w:p>
        </w:tc>
        <w:tc>
          <w:tcPr>
            <w:tcW w:w="1043" w:type="dxa"/>
            <w:tcBorders>
              <w:left w:val="single" w:sz="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-33.4563</w:t>
            </w:r>
          </w:p>
        </w:tc>
        <w:tc>
          <w:tcPr>
            <w:tcW w:w="1387" w:type="dxa"/>
            <w:tcBorders>
              <w:left w:val="single" w:sz="8" w:space="0" w:color="000000"/>
              <w:bottom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-29.8970</w:t>
            </w:r>
          </w:p>
        </w:tc>
      </w:tr>
      <w:tr w:rsidR="001C618A" w:rsidRPr="00B013ED" w:rsidTr="001C618A">
        <w:trPr>
          <w:cantSplit/>
        </w:trPr>
        <w:tc>
          <w:tcPr>
            <w:tcW w:w="1463"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464" w:type="dxa"/>
            <w:tcBorders>
              <w:top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893" w:type="dxa"/>
            <w:tcBorders>
              <w:top w:val="single" w:sz="4" w:space="0" w:color="auto"/>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22.67556</w:t>
            </w:r>
            <w:r w:rsidRPr="00B013ED">
              <w:rPr>
                <w:rFonts w:ascii="Arial" w:eastAsia="Calibri" w:hAnsi="Arial" w:cs="Arial"/>
                <w:color w:val="000000"/>
                <w:sz w:val="18"/>
                <w:szCs w:val="18"/>
                <w:vertAlign w:val="superscript"/>
              </w:rPr>
              <w:t>*</w:t>
            </w:r>
          </w:p>
        </w:tc>
        <w:tc>
          <w:tcPr>
            <w:tcW w:w="1043" w:type="dxa"/>
            <w:tcBorders>
              <w:top w:val="single" w:sz="4" w:space="0" w:color="auto"/>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20.8959</w:t>
            </w:r>
          </w:p>
        </w:tc>
        <w:tc>
          <w:tcPr>
            <w:tcW w:w="1387" w:type="dxa"/>
            <w:tcBorders>
              <w:top w:val="single" w:sz="4" w:space="0" w:color="auto"/>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24.4552</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893"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22.67556</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20.8959</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24.4552</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893"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-4.74889</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-6.5286</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-2.9692</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893"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-.42333</w:t>
            </w:r>
          </w:p>
        </w:tc>
        <w:tc>
          <w:tcPr>
            <w:tcW w:w="1043"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.636</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-2.2030</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1.3563</w:t>
            </w:r>
          </w:p>
        </w:tc>
      </w:tr>
      <w:tr w:rsidR="001C618A" w:rsidRPr="00B013ED" w:rsidTr="001C618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893"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22.67556</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20.8959</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24.4552</w:t>
            </w:r>
          </w:p>
        </w:tc>
      </w:tr>
      <w:tr w:rsidR="001C618A" w:rsidRPr="00B013ED" w:rsidTr="001C618A">
        <w:trPr>
          <w:cantSplit/>
        </w:trPr>
        <w:tc>
          <w:tcPr>
            <w:tcW w:w="1463"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bottom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893" w:type="dxa"/>
            <w:tcBorders>
              <w:left w:val="single" w:sz="1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-9.00111</w:t>
            </w:r>
            <w:r w:rsidRPr="00B013ED">
              <w:rPr>
                <w:rFonts w:ascii="Arial" w:eastAsia="Calibri" w:hAnsi="Arial" w:cs="Arial"/>
                <w:color w:val="000000"/>
                <w:sz w:val="18"/>
                <w:szCs w:val="18"/>
                <w:vertAlign w:val="superscript"/>
              </w:rPr>
              <w:t>*</w:t>
            </w:r>
          </w:p>
        </w:tc>
        <w:tc>
          <w:tcPr>
            <w:tcW w:w="1043" w:type="dxa"/>
            <w:tcBorders>
              <w:left w:val="single" w:sz="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-10.7808</w:t>
            </w:r>
          </w:p>
        </w:tc>
        <w:tc>
          <w:tcPr>
            <w:tcW w:w="1387" w:type="dxa"/>
            <w:tcBorders>
              <w:left w:val="single" w:sz="8" w:space="0" w:color="000000"/>
              <w:bottom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-7.2214</w:t>
            </w:r>
          </w:p>
        </w:tc>
      </w:tr>
      <w:tr w:rsidR="001C618A" w:rsidRPr="00B013ED" w:rsidTr="001C618A">
        <w:trPr>
          <w:cantSplit/>
        </w:trPr>
        <w:tc>
          <w:tcPr>
            <w:tcW w:w="1463" w:type="dxa"/>
            <w:vMerge w:val="restart"/>
            <w:tcBorders>
              <w:top w:val="single" w:sz="4" w:space="0" w:color="auto"/>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464" w:type="dxa"/>
            <w:tcBorders>
              <w:top w:val="single" w:sz="4" w:space="0" w:color="auto"/>
              <w:right w:val="single" w:sz="1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893" w:type="dxa"/>
            <w:tcBorders>
              <w:top w:val="single" w:sz="4" w:space="0" w:color="auto"/>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31.67667</w:t>
            </w:r>
            <w:r w:rsidRPr="00B013ED">
              <w:rPr>
                <w:rFonts w:ascii="Arial" w:eastAsia="Calibri" w:hAnsi="Arial" w:cs="Arial"/>
                <w:color w:val="000000"/>
                <w:sz w:val="18"/>
                <w:szCs w:val="18"/>
                <w:vertAlign w:val="superscript"/>
              </w:rPr>
              <w:t>*</w:t>
            </w:r>
          </w:p>
        </w:tc>
        <w:tc>
          <w:tcPr>
            <w:tcW w:w="1043" w:type="dxa"/>
            <w:tcBorders>
              <w:top w:val="single" w:sz="4" w:space="0" w:color="auto"/>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29.8970</w:t>
            </w:r>
          </w:p>
        </w:tc>
        <w:tc>
          <w:tcPr>
            <w:tcW w:w="1387" w:type="dxa"/>
            <w:tcBorders>
              <w:top w:val="single" w:sz="4" w:space="0" w:color="auto"/>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33.4563</w:t>
            </w:r>
          </w:p>
        </w:tc>
      </w:tr>
      <w:tr w:rsidR="001C618A" w:rsidRPr="00B013ED" w:rsidTr="001C618A">
        <w:trPr>
          <w:cantSplit/>
        </w:trPr>
        <w:tc>
          <w:tcPr>
            <w:tcW w:w="1463"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893"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31.67667</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29.8970</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33.4563</w:t>
            </w:r>
          </w:p>
        </w:tc>
      </w:tr>
      <w:tr w:rsidR="001C618A" w:rsidRPr="00B013ED" w:rsidTr="001C618A">
        <w:trPr>
          <w:cantSplit/>
        </w:trPr>
        <w:tc>
          <w:tcPr>
            <w:tcW w:w="1463"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893"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4.25222</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2.4726</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6.0319</w:t>
            </w:r>
          </w:p>
        </w:tc>
      </w:tr>
      <w:tr w:rsidR="001C618A" w:rsidRPr="00B013ED" w:rsidTr="001C618A">
        <w:trPr>
          <w:cantSplit/>
        </w:trPr>
        <w:tc>
          <w:tcPr>
            <w:tcW w:w="1463"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893"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8.57778</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6.7981</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10.3574</w:t>
            </w:r>
          </w:p>
        </w:tc>
      </w:tr>
      <w:tr w:rsidR="001C618A" w:rsidRPr="00B013ED" w:rsidTr="001C618A">
        <w:trPr>
          <w:cantSplit/>
        </w:trPr>
        <w:tc>
          <w:tcPr>
            <w:tcW w:w="1463"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right w:val="single" w:sz="1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893"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31.67667</w:t>
            </w:r>
            <w:r w:rsidRPr="00B013ED">
              <w:rPr>
                <w:rFonts w:ascii="Arial" w:eastAsia="Calibri" w:hAnsi="Arial" w:cs="Arial"/>
                <w:color w:val="000000"/>
                <w:sz w:val="18"/>
                <w:szCs w:val="18"/>
                <w:vertAlign w:val="superscript"/>
              </w:rPr>
              <w:t>*</w:t>
            </w:r>
          </w:p>
        </w:tc>
        <w:tc>
          <w:tcPr>
            <w:tcW w:w="1043"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29.8970</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33.4563</w:t>
            </w:r>
          </w:p>
        </w:tc>
      </w:tr>
      <w:tr w:rsidR="001C618A" w:rsidRPr="00B013ED" w:rsidTr="001C618A">
        <w:trPr>
          <w:cantSplit/>
        </w:trPr>
        <w:tc>
          <w:tcPr>
            <w:tcW w:w="1463"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tcBorders>
              <w:bottom w:val="single" w:sz="1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893" w:type="dxa"/>
            <w:tcBorders>
              <w:left w:val="single" w:sz="1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Calibri" w:eastAsia="Calibri" w:hAnsi="Calibri" w:cs="Arial"/>
                <w:sz w:val="22"/>
                <w:szCs w:val="22"/>
              </w:rPr>
            </w:pPr>
            <w:r w:rsidRPr="00B013ED">
              <w:rPr>
                <w:rFonts w:ascii="Arial" w:eastAsia="Calibri" w:hAnsi="Arial" w:cs="Arial"/>
                <w:color w:val="000000"/>
                <w:sz w:val="18"/>
                <w:szCs w:val="18"/>
              </w:rPr>
              <w:t>9.00111</w:t>
            </w:r>
            <w:r w:rsidRPr="00B013ED">
              <w:rPr>
                <w:rFonts w:ascii="Arial" w:eastAsia="Calibri" w:hAnsi="Arial" w:cs="Arial"/>
                <w:color w:val="000000"/>
                <w:sz w:val="18"/>
                <w:szCs w:val="18"/>
                <w:vertAlign w:val="superscript"/>
              </w:rPr>
              <w:t>*</w:t>
            </w:r>
          </w:p>
        </w:tc>
        <w:tc>
          <w:tcPr>
            <w:tcW w:w="1043" w:type="dxa"/>
            <w:tcBorders>
              <w:left w:val="single" w:sz="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7.2214</w:t>
            </w:r>
          </w:p>
        </w:tc>
        <w:tc>
          <w:tcPr>
            <w:tcW w:w="1387" w:type="dxa"/>
            <w:tcBorders>
              <w:left w:val="single" w:sz="8" w:space="0" w:color="000000"/>
              <w:bottom w:val="single" w:sz="1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1C618A" w:rsidRPr="00B013ED" w:rsidRDefault="001C618A" w:rsidP="001C618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10.7808</w:t>
            </w:r>
          </w:p>
        </w:tc>
      </w:tr>
    </w:tbl>
    <w:p w:rsidR="00FD76E3" w:rsidRDefault="00FD76E3" w:rsidP="001C618A">
      <w:pPr>
        <w:suppressAutoHyphens/>
        <w:autoSpaceDN w:val="0"/>
        <w:textAlignment w:val="baseline"/>
        <w:rPr>
          <w:rFonts w:cstheme="minorBidi"/>
          <w:b/>
          <w:bCs/>
          <w:sz w:val="20"/>
          <w:szCs w:val="20"/>
        </w:rPr>
      </w:pPr>
    </w:p>
    <w:p w:rsidR="00EC38E2" w:rsidRPr="00FD76E3" w:rsidRDefault="001C618A" w:rsidP="00FD76E3">
      <w:pPr>
        <w:suppressAutoHyphens/>
        <w:autoSpaceDN w:val="0"/>
        <w:textAlignment w:val="baseline"/>
        <w:rPr>
          <w:rFonts w:eastAsia="Calibri" w:cstheme="minorBidi"/>
          <w:sz w:val="20"/>
          <w:szCs w:val="20"/>
        </w:rPr>
      </w:pPr>
      <w:r w:rsidRPr="00B013ED">
        <w:rPr>
          <w:rFonts w:eastAsia="Calibri" w:cstheme="minorBidi"/>
          <w:sz w:val="20"/>
          <w:szCs w:val="20"/>
        </w:rPr>
        <w:t>*. The mean difference is significant at the 0.05 level.</w:t>
      </w:r>
    </w:p>
    <w:p w:rsidR="001C618A" w:rsidRDefault="001C618A">
      <w:pPr>
        <w:rPr>
          <w:rFonts w:eastAsia="Times New Roman"/>
          <w:b/>
          <w:color w:val="000000"/>
          <w:lang w:eastAsia="en-GB"/>
        </w:rPr>
      </w:pPr>
      <w:r>
        <w:rPr>
          <w:rFonts w:eastAsia="Times New Roman"/>
          <w:b/>
          <w:color w:val="000000"/>
          <w:lang w:eastAsia="en-GB"/>
        </w:rPr>
        <w:br w:type="page"/>
      </w:r>
    </w:p>
    <w:p w:rsidR="00DB701E" w:rsidRDefault="00DB701E" w:rsidP="00EC38E2">
      <w:pPr>
        <w:spacing w:after="120" w:line="480" w:lineRule="auto"/>
        <w:jc w:val="both"/>
        <w:rPr>
          <w:rFonts w:eastAsia="Times New Roman"/>
          <w:b/>
          <w:i/>
          <w:iCs/>
          <w:color w:val="000000"/>
          <w:lang w:eastAsia="en-GB"/>
        </w:rPr>
      </w:pPr>
    </w:p>
    <w:p w:rsidR="00EC38E2" w:rsidRDefault="00EC38E2" w:rsidP="00EC38E2">
      <w:pPr>
        <w:spacing w:after="120" w:line="480" w:lineRule="auto"/>
        <w:jc w:val="both"/>
        <w:rPr>
          <w:rFonts w:eastAsia="Times New Roman"/>
          <w:b/>
          <w:color w:val="000000"/>
          <w:lang w:eastAsia="en-GB"/>
        </w:rPr>
      </w:pPr>
      <w:r w:rsidRPr="007E1EC4">
        <w:rPr>
          <w:rFonts w:eastAsia="Times New Roman"/>
          <w:b/>
          <w:i/>
          <w:iCs/>
          <w:color w:val="000000"/>
          <w:lang w:eastAsia="en-GB"/>
        </w:rPr>
        <w:t>P.gingivalis</w:t>
      </w:r>
      <w:r w:rsidRPr="00B013ED">
        <w:rPr>
          <w:rFonts w:eastAsia="Times New Roman"/>
          <w:b/>
          <w:color w:val="000000"/>
          <w:lang w:eastAsia="en-GB"/>
        </w:rPr>
        <w:t xml:space="preserve"> (W50)</w:t>
      </w:r>
    </w:p>
    <w:p w:rsidR="00374B77" w:rsidRPr="00374B77" w:rsidRDefault="0025608B" w:rsidP="00374B77">
      <w:pPr>
        <w:pStyle w:val="table"/>
        <w:rPr>
          <w:szCs w:val="24"/>
        </w:rPr>
      </w:pPr>
      <w:r w:rsidRPr="00390770">
        <w:rPr>
          <w:szCs w:val="24"/>
        </w:rPr>
        <w:t xml:space="preserve">The values for mean zone of inhibition (mm) are shown in </w:t>
      </w:r>
      <w:r w:rsidR="00CE0FDE" w:rsidRPr="00390770">
        <w:rPr>
          <w:szCs w:val="24"/>
        </w:rPr>
        <w:fldChar w:fldCharType="begin"/>
      </w:r>
      <w:r w:rsidR="00CE0FDE" w:rsidRPr="00390770">
        <w:rPr>
          <w:szCs w:val="24"/>
        </w:rPr>
        <w:instrText xml:space="preserve"> REF _Ref361093695 \h  \* MERGEFORMAT </w:instrText>
      </w:r>
      <w:r w:rsidR="00CE0FDE" w:rsidRPr="00390770">
        <w:rPr>
          <w:szCs w:val="24"/>
        </w:rPr>
      </w:r>
      <w:r w:rsidR="00CE0FDE" w:rsidRPr="00390770">
        <w:rPr>
          <w:szCs w:val="24"/>
        </w:rPr>
        <w:fldChar w:fldCharType="separate"/>
      </w:r>
      <w:r w:rsidR="00374B77" w:rsidRPr="00374B77">
        <w:rPr>
          <w:szCs w:val="24"/>
        </w:rPr>
        <w:t xml:space="preserve">Table </w:t>
      </w:r>
      <w:r w:rsidR="00374B77" w:rsidRPr="00374B77">
        <w:rPr>
          <w:szCs w:val="24"/>
          <w:cs/>
        </w:rPr>
        <w:t>‎</w:t>
      </w:r>
      <w:r w:rsidR="00374B77">
        <w:rPr>
          <w:rFonts w:cstheme="minorBidi"/>
          <w:b/>
          <w:bCs w:val="0"/>
          <w:noProof/>
          <w:sz w:val="20"/>
          <w:szCs w:val="20"/>
        </w:rPr>
        <w:t>3.14</w:t>
      </w:r>
      <w:r w:rsidR="00CE0FDE" w:rsidRPr="00390770">
        <w:rPr>
          <w:szCs w:val="24"/>
        </w:rPr>
        <w:fldChar w:fldCharType="end"/>
      </w:r>
      <w:r w:rsidR="00CE0FDE" w:rsidRPr="00390770">
        <w:rPr>
          <w:szCs w:val="24"/>
        </w:rPr>
        <w:t xml:space="preserve"> </w:t>
      </w:r>
      <w:r w:rsidRPr="00390770">
        <w:rPr>
          <w:szCs w:val="24"/>
        </w:rPr>
        <w:t>and</w:t>
      </w:r>
      <w:r w:rsidR="002D37AF" w:rsidRPr="00390770">
        <w:rPr>
          <w:szCs w:val="24"/>
        </w:rPr>
        <w:t xml:space="preserve"> </w:t>
      </w:r>
      <w:r w:rsidR="002D37AF" w:rsidRPr="00390770">
        <w:rPr>
          <w:szCs w:val="24"/>
        </w:rPr>
        <w:fldChar w:fldCharType="begin"/>
      </w:r>
      <w:r w:rsidR="002D37AF" w:rsidRPr="00390770">
        <w:rPr>
          <w:szCs w:val="24"/>
        </w:rPr>
        <w:instrText xml:space="preserve"> REF _Ref360530575 \h  \* MERGEFORMAT </w:instrText>
      </w:r>
      <w:r w:rsidR="002D37AF" w:rsidRPr="00390770">
        <w:rPr>
          <w:szCs w:val="24"/>
        </w:rPr>
      </w:r>
      <w:r w:rsidR="002D37AF" w:rsidRPr="00390770">
        <w:rPr>
          <w:szCs w:val="24"/>
        </w:rPr>
        <w:fldChar w:fldCharType="separate"/>
      </w:r>
    </w:p>
    <w:p w:rsidR="0025608B" w:rsidRPr="00390770" w:rsidRDefault="00374B77" w:rsidP="00390770">
      <w:pPr>
        <w:pStyle w:val="table"/>
        <w:jc w:val="both"/>
        <w:rPr>
          <w:szCs w:val="24"/>
        </w:rPr>
      </w:pPr>
      <w:r w:rsidRPr="00374B77">
        <w:rPr>
          <w:szCs w:val="24"/>
        </w:rPr>
        <w:t xml:space="preserve">Figure </w:t>
      </w:r>
      <w:r w:rsidRPr="00374B77">
        <w:rPr>
          <w:szCs w:val="24"/>
          <w:cs/>
        </w:rPr>
        <w:t>‎</w:t>
      </w:r>
      <w:r>
        <w:rPr>
          <w:rFonts w:cstheme="minorBidi"/>
          <w:b/>
          <w:bCs w:val="0"/>
          <w:noProof/>
          <w:sz w:val="20"/>
          <w:szCs w:val="20"/>
        </w:rPr>
        <w:t>3.15</w:t>
      </w:r>
      <w:r w:rsidR="002D37AF" w:rsidRPr="00390770">
        <w:rPr>
          <w:szCs w:val="24"/>
        </w:rPr>
        <w:fldChar w:fldCharType="end"/>
      </w:r>
      <w:r w:rsidR="0025608B" w:rsidRPr="00390770">
        <w:rPr>
          <w:szCs w:val="24"/>
        </w:rPr>
        <w:t>. It can be seen that all test material</w:t>
      </w:r>
      <w:r w:rsidR="00427966" w:rsidRPr="00390770">
        <w:rPr>
          <w:szCs w:val="24"/>
        </w:rPr>
        <w:t>s</w:t>
      </w:r>
      <w:r w:rsidR="0025608B" w:rsidRPr="00390770">
        <w:rPr>
          <w:szCs w:val="24"/>
        </w:rPr>
        <w:t xml:space="preserve"> </w:t>
      </w:r>
      <w:r w:rsidR="00313C48" w:rsidRPr="00390770">
        <w:rPr>
          <w:szCs w:val="24"/>
        </w:rPr>
        <w:t xml:space="preserve">were </w:t>
      </w:r>
      <w:r w:rsidR="0025608B" w:rsidRPr="00390770">
        <w:rPr>
          <w:szCs w:val="24"/>
        </w:rPr>
        <w:t xml:space="preserve">effective </w:t>
      </w:r>
      <w:r w:rsidR="00313C48" w:rsidRPr="00390770">
        <w:rPr>
          <w:szCs w:val="24"/>
        </w:rPr>
        <w:t>with the largest inhibition zone observed with ciprofloxicillin and the least with metronidazole.</w:t>
      </w:r>
    </w:p>
    <w:p w:rsidR="00DB701E" w:rsidRPr="005305DB" w:rsidRDefault="00DB701E" w:rsidP="005305DB">
      <w:pPr>
        <w:spacing w:after="120" w:line="480" w:lineRule="auto"/>
        <w:jc w:val="both"/>
        <w:rPr>
          <w:rFonts w:eastAsia="Times New Roman" w:cstheme="minorBidi"/>
          <w:b/>
          <w:bCs/>
          <w:color w:val="000000"/>
          <w:sz w:val="20"/>
          <w:szCs w:val="20"/>
          <w:lang w:eastAsia="en-GB"/>
        </w:rPr>
      </w:pPr>
    </w:p>
    <w:p w:rsidR="00CE0FDE" w:rsidRPr="00CE0FDE" w:rsidRDefault="00CE0FDE" w:rsidP="00427966">
      <w:pPr>
        <w:spacing w:after="120" w:line="480" w:lineRule="auto"/>
        <w:jc w:val="both"/>
        <w:rPr>
          <w:rFonts w:cstheme="minorBidi"/>
          <w:b/>
          <w:bCs/>
          <w:sz w:val="20"/>
          <w:szCs w:val="20"/>
        </w:rPr>
      </w:pPr>
      <w:bookmarkStart w:id="587" w:name="_Ref361093695"/>
      <w:bookmarkStart w:id="588" w:name="_Toc370511750"/>
      <w:proofErr w:type="gramStart"/>
      <w:r w:rsidRPr="00CE0FDE">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14</w:t>
      </w:r>
      <w:r w:rsidR="00E7089D">
        <w:rPr>
          <w:rFonts w:cstheme="minorBidi"/>
          <w:b/>
          <w:bCs/>
          <w:sz w:val="20"/>
          <w:szCs w:val="20"/>
        </w:rPr>
        <w:fldChar w:fldCharType="end"/>
      </w:r>
      <w:bookmarkEnd w:id="587"/>
      <w:r w:rsidR="00427966">
        <w:rPr>
          <w:rFonts w:cstheme="minorBidi"/>
          <w:b/>
          <w:bCs/>
          <w:sz w:val="20"/>
          <w:szCs w:val="20"/>
        </w:rPr>
        <w:t xml:space="preserve"> R</w:t>
      </w:r>
      <w:r w:rsidRPr="00CE0FDE">
        <w:rPr>
          <w:rFonts w:cstheme="minorBidi"/>
          <w:b/>
          <w:bCs/>
          <w:sz w:val="20"/>
          <w:szCs w:val="20"/>
        </w:rPr>
        <w:t xml:space="preserve">esults for the inhibition zone (mm) for </w:t>
      </w:r>
      <w:r w:rsidRPr="00CE0FDE">
        <w:rPr>
          <w:rFonts w:eastAsia="Times New Roman" w:cstheme="minorBidi"/>
          <w:b/>
          <w:bCs/>
          <w:i/>
          <w:iCs/>
          <w:color w:val="000000"/>
          <w:sz w:val="20"/>
          <w:szCs w:val="20"/>
          <w:lang w:eastAsia="en-GB"/>
        </w:rPr>
        <w:t>P.gingivalis</w:t>
      </w:r>
      <w:r w:rsidRPr="00CE0FDE">
        <w:rPr>
          <w:rFonts w:eastAsia="Times New Roman" w:cstheme="minorBidi"/>
          <w:b/>
          <w:bCs/>
          <w:color w:val="000000"/>
          <w:sz w:val="20"/>
          <w:szCs w:val="20"/>
          <w:lang w:eastAsia="en-GB"/>
        </w:rPr>
        <w:t xml:space="preserve"> </w:t>
      </w:r>
      <w:r w:rsidRPr="00CE0FDE">
        <w:rPr>
          <w:rFonts w:cstheme="minorBidi"/>
          <w:b/>
          <w:bCs/>
          <w:sz w:val="20"/>
          <w:szCs w:val="20"/>
        </w:rPr>
        <w:t>with all the test materials.</w:t>
      </w:r>
      <w:bookmarkEnd w:id="588"/>
    </w:p>
    <w:p w:rsidR="00CE0FDE" w:rsidRDefault="00CE0FDE" w:rsidP="001D3F19"/>
    <w:tbl>
      <w:tblPr>
        <w:tblStyle w:val="TableGrid"/>
        <w:tblpPr w:leftFromText="180" w:rightFromText="180" w:vertAnchor="text" w:horzAnchor="margin" w:tblpXSpec="center" w:tblpY="161"/>
        <w:tblW w:w="0" w:type="auto"/>
        <w:tblLook w:val="04A0" w:firstRow="1" w:lastRow="0" w:firstColumn="1" w:lastColumn="0" w:noHBand="0" w:noVBand="1"/>
      </w:tblPr>
      <w:tblGrid>
        <w:gridCol w:w="2655"/>
        <w:gridCol w:w="2655"/>
        <w:gridCol w:w="2656"/>
      </w:tblGrid>
      <w:tr w:rsidR="00EC38E2" w:rsidRPr="00B013ED" w:rsidTr="00934FA3">
        <w:trPr>
          <w:trHeight w:val="810"/>
        </w:trPr>
        <w:tc>
          <w:tcPr>
            <w:tcW w:w="2655" w:type="dxa"/>
            <w:shd w:val="clear" w:color="auto" w:fill="17365D" w:themeFill="text2" w:themeFillShade="BF"/>
            <w:vAlign w:val="center"/>
          </w:tcPr>
          <w:p w:rsidR="00EC38E2" w:rsidRPr="00C00AE3" w:rsidRDefault="00EC38E2" w:rsidP="00C00AE3">
            <w:pPr>
              <w:spacing w:after="120" w:line="480" w:lineRule="auto"/>
              <w:jc w:val="center"/>
              <w:rPr>
                <w:b/>
                <w:color w:val="FFFFFF" w:themeColor="background1"/>
                <w:sz w:val="20"/>
                <w:lang w:eastAsia="en-GB"/>
              </w:rPr>
            </w:pPr>
            <w:r w:rsidRPr="00C00AE3">
              <w:rPr>
                <w:b/>
                <w:color w:val="FFFFFF" w:themeColor="background1"/>
                <w:sz w:val="20"/>
                <w:lang w:eastAsia="en-GB"/>
              </w:rPr>
              <w:t>Test materials</w:t>
            </w:r>
          </w:p>
        </w:tc>
        <w:tc>
          <w:tcPr>
            <w:tcW w:w="2655" w:type="dxa"/>
            <w:shd w:val="clear" w:color="auto" w:fill="17365D" w:themeFill="text2" w:themeFillShade="BF"/>
            <w:vAlign w:val="center"/>
          </w:tcPr>
          <w:p w:rsidR="00EC38E2" w:rsidRPr="00C00AE3" w:rsidRDefault="00EC38E2" w:rsidP="00C00AE3">
            <w:pPr>
              <w:spacing w:after="120"/>
              <w:jc w:val="center"/>
              <w:rPr>
                <w:b/>
                <w:color w:val="FFFFFF" w:themeColor="background1"/>
                <w:sz w:val="20"/>
                <w:lang w:eastAsia="en-GB"/>
              </w:rPr>
            </w:pPr>
            <w:r w:rsidRPr="00C00AE3">
              <w:rPr>
                <w:b/>
                <w:color w:val="FFFFFF" w:themeColor="background1"/>
                <w:sz w:val="20"/>
                <w:lang w:eastAsia="en-GB"/>
              </w:rPr>
              <w:t>Mean Zone of inhibition (MM) against P.gingivalis (W50)</w:t>
            </w:r>
          </w:p>
        </w:tc>
        <w:tc>
          <w:tcPr>
            <w:tcW w:w="2656" w:type="dxa"/>
            <w:shd w:val="clear" w:color="auto" w:fill="17365D" w:themeFill="text2" w:themeFillShade="BF"/>
            <w:vAlign w:val="center"/>
          </w:tcPr>
          <w:p w:rsidR="00EC38E2" w:rsidRPr="00C00AE3" w:rsidRDefault="00EC38E2" w:rsidP="00C00AE3">
            <w:pPr>
              <w:spacing w:after="120" w:line="480" w:lineRule="auto"/>
              <w:jc w:val="center"/>
              <w:rPr>
                <w:b/>
                <w:color w:val="FFFFFF" w:themeColor="background1"/>
                <w:lang w:eastAsia="en-GB"/>
              </w:rPr>
            </w:pPr>
            <w:r w:rsidRPr="00C00AE3">
              <w:rPr>
                <w:b/>
                <w:color w:val="FFFFFF" w:themeColor="background1"/>
                <w:lang w:eastAsia="en-GB"/>
              </w:rPr>
              <w:t>SD</w:t>
            </w:r>
          </w:p>
        </w:tc>
      </w:tr>
      <w:tr w:rsidR="00EC38E2" w:rsidRPr="00B013ED" w:rsidTr="00934FA3">
        <w:trPr>
          <w:trHeight w:val="810"/>
        </w:trPr>
        <w:tc>
          <w:tcPr>
            <w:tcW w:w="2655" w:type="dxa"/>
            <w:shd w:val="clear" w:color="auto" w:fill="FDE9D9" w:themeFill="accent6" w:themeFillTint="33"/>
            <w:vAlign w:val="center"/>
          </w:tcPr>
          <w:p w:rsidR="00EC38E2" w:rsidRPr="00B013ED" w:rsidRDefault="00EC38E2" w:rsidP="00C00AE3">
            <w:pPr>
              <w:spacing w:after="120" w:line="480" w:lineRule="auto"/>
              <w:jc w:val="center"/>
              <w:rPr>
                <w:b/>
                <w:color w:val="000000"/>
                <w:sz w:val="20"/>
                <w:lang w:eastAsia="en-GB"/>
              </w:rPr>
            </w:pPr>
            <w:r w:rsidRPr="00B013ED">
              <w:rPr>
                <w:b/>
                <w:color w:val="000000"/>
                <w:sz w:val="20"/>
                <w:lang w:eastAsia="en-GB"/>
              </w:rPr>
              <w:t>NSCH</w:t>
            </w:r>
          </w:p>
        </w:tc>
        <w:tc>
          <w:tcPr>
            <w:tcW w:w="2655" w:type="dxa"/>
            <w:vAlign w:val="center"/>
          </w:tcPr>
          <w:p w:rsidR="00EC38E2" w:rsidRPr="00B013ED" w:rsidRDefault="00EC38E2" w:rsidP="00C00AE3">
            <w:pPr>
              <w:spacing w:after="120" w:line="480" w:lineRule="auto"/>
              <w:jc w:val="center"/>
              <w:rPr>
                <w:b/>
                <w:color w:val="000000"/>
                <w:lang w:eastAsia="en-GB"/>
              </w:rPr>
            </w:pPr>
            <w:r w:rsidRPr="00B013ED">
              <w:rPr>
                <w:b/>
                <w:color w:val="000000"/>
                <w:lang w:eastAsia="en-GB"/>
              </w:rPr>
              <w:t>23</w:t>
            </w:r>
            <w:r w:rsidR="002D37AF">
              <w:rPr>
                <w:b/>
                <w:color w:val="000000"/>
                <w:lang w:eastAsia="en-GB"/>
              </w:rPr>
              <w:t xml:space="preserve"> </w:t>
            </w:r>
            <w:r w:rsidRPr="00B013ED">
              <w:rPr>
                <w:b/>
                <w:color w:val="000000"/>
                <w:lang w:eastAsia="en-GB"/>
              </w:rPr>
              <w:t>mm</w:t>
            </w:r>
          </w:p>
        </w:tc>
        <w:tc>
          <w:tcPr>
            <w:tcW w:w="2656" w:type="dxa"/>
            <w:vAlign w:val="center"/>
          </w:tcPr>
          <w:p w:rsidR="00EC38E2" w:rsidRPr="00B013ED" w:rsidRDefault="00EC38E2" w:rsidP="00C00AE3">
            <w:pPr>
              <w:spacing w:after="120" w:line="480" w:lineRule="auto"/>
              <w:jc w:val="center"/>
              <w:rPr>
                <w:b/>
                <w:color w:val="000000"/>
                <w:lang w:eastAsia="en-GB"/>
              </w:rPr>
            </w:pPr>
            <w:r w:rsidRPr="00B013ED">
              <w:t>1.32</w:t>
            </w:r>
          </w:p>
        </w:tc>
      </w:tr>
      <w:tr w:rsidR="00EC38E2" w:rsidRPr="00B013ED" w:rsidTr="00934FA3">
        <w:trPr>
          <w:trHeight w:val="810"/>
        </w:trPr>
        <w:tc>
          <w:tcPr>
            <w:tcW w:w="2655" w:type="dxa"/>
            <w:shd w:val="clear" w:color="auto" w:fill="FDE9D9" w:themeFill="accent6" w:themeFillTint="33"/>
            <w:vAlign w:val="center"/>
          </w:tcPr>
          <w:p w:rsidR="00EC38E2" w:rsidRPr="00B013ED" w:rsidRDefault="00EC38E2" w:rsidP="00C00AE3">
            <w:pPr>
              <w:spacing w:after="120" w:line="480" w:lineRule="auto"/>
              <w:jc w:val="center"/>
              <w:rPr>
                <w:b/>
                <w:color w:val="000000"/>
                <w:sz w:val="20"/>
                <w:lang w:eastAsia="en-GB"/>
              </w:rPr>
            </w:pPr>
            <w:r w:rsidRPr="00B013ED">
              <w:rPr>
                <w:b/>
                <w:color w:val="000000"/>
                <w:sz w:val="20"/>
                <w:lang w:eastAsia="en-GB"/>
              </w:rPr>
              <w:t>MTA</w:t>
            </w:r>
          </w:p>
        </w:tc>
        <w:tc>
          <w:tcPr>
            <w:tcW w:w="2655" w:type="dxa"/>
            <w:vAlign w:val="center"/>
          </w:tcPr>
          <w:p w:rsidR="00EC38E2" w:rsidRPr="00B013ED" w:rsidRDefault="00EC38E2" w:rsidP="00C00AE3">
            <w:pPr>
              <w:spacing w:after="120" w:line="480" w:lineRule="auto"/>
              <w:jc w:val="center"/>
              <w:rPr>
                <w:b/>
                <w:color w:val="000000"/>
                <w:lang w:eastAsia="en-GB"/>
              </w:rPr>
            </w:pPr>
            <w:r w:rsidRPr="00B013ED">
              <w:rPr>
                <w:b/>
                <w:color w:val="000000"/>
                <w:lang w:eastAsia="en-GB"/>
              </w:rPr>
              <w:t>30.04</w:t>
            </w:r>
            <w:r w:rsidR="002D37AF">
              <w:rPr>
                <w:b/>
                <w:color w:val="000000"/>
                <w:lang w:eastAsia="en-GB"/>
              </w:rPr>
              <w:t xml:space="preserve"> </w:t>
            </w:r>
            <w:r w:rsidRPr="00B013ED">
              <w:rPr>
                <w:b/>
                <w:color w:val="000000"/>
                <w:lang w:eastAsia="en-GB"/>
              </w:rPr>
              <w:t>mm</w:t>
            </w:r>
          </w:p>
        </w:tc>
        <w:tc>
          <w:tcPr>
            <w:tcW w:w="2656" w:type="dxa"/>
            <w:vAlign w:val="center"/>
          </w:tcPr>
          <w:p w:rsidR="00EC38E2" w:rsidRPr="00B013ED" w:rsidRDefault="00EC38E2" w:rsidP="00C00AE3">
            <w:pPr>
              <w:spacing w:after="120" w:line="480" w:lineRule="auto"/>
              <w:jc w:val="center"/>
              <w:rPr>
                <w:b/>
                <w:color w:val="000000"/>
                <w:lang w:eastAsia="en-GB"/>
              </w:rPr>
            </w:pPr>
            <w:r w:rsidRPr="00B013ED">
              <w:t>4.40</w:t>
            </w:r>
          </w:p>
        </w:tc>
      </w:tr>
      <w:tr w:rsidR="00EC38E2" w:rsidRPr="00B013ED" w:rsidTr="00934FA3">
        <w:trPr>
          <w:trHeight w:val="810"/>
        </w:trPr>
        <w:tc>
          <w:tcPr>
            <w:tcW w:w="2655" w:type="dxa"/>
            <w:shd w:val="clear" w:color="auto" w:fill="FDE9D9" w:themeFill="accent6" w:themeFillTint="33"/>
            <w:vAlign w:val="center"/>
          </w:tcPr>
          <w:p w:rsidR="00EC38E2" w:rsidRPr="00B013ED" w:rsidRDefault="00EC38E2" w:rsidP="00C00AE3">
            <w:pPr>
              <w:spacing w:after="120" w:line="480" w:lineRule="auto"/>
              <w:jc w:val="center"/>
              <w:rPr>
                <w:b/>
                <w:color w:val="000000"/>
                <w:sz w:val="20"/>
                <w:lang w:eastAsia="en-GB"/>
              </w:rPr>
            </w:pPr>
            <w:r w:rsidRPr="00B013ED">
              <w:rPr>
                <w:b/>
                <w:color w:val="000000"/>
                <w:sz w:val="20"/>
                <w:lang w:eastAsia="en-GB"/>
              </w:rPr>
              <w:t>Minocycline (Mino)</w:t>
            </w:r>
          </w:p>
        </w:tc>
        <w:tc>
          <w:tcPr>
            <w:tcW w:w="2655" w:type="dxa"/>
            <w:vAlign w:val="center"/>
          </w:tcPr>
          <w:p w:rsidR="00EC38E2" w:rsidRPr="00B013ED" w:rsidRDefault="00EC38E2" w:rsidP="00C00AE3">
            <w:pPr>
              <w:spacing w:after="120" w:line="480" w:lineRule="auto"/>
              <w:jc w:val="center"/>
              <w:rPr>
                <w:b/>
                <w:color w:val="000000"/>
                <w:lang w:eastAsia="en-GB"/>
              </w:rPr>
            </w:pPr>
            <w:r w:rsidRPr="00B013ED">
              <w:rPr>
                <w:b/>
                <w:color w:val="000000"/>
                <w:lang w:eastAsia="en-GB"/>
              </w:rPr>
              <w:t>33.67</w:t>
            </w:r>
            <w:r w:rsidR="002D37AF">
              <w:rPr>
                <w:b/>
                <w:color w:val="000000"/>
                <w:lang w:eastAsia="en-GB"/>
              </w:rPr>
              <w:t xml:space="preserve"> </w:t>
            </w:r>
            <w:r w:rsidRPr="00B013ED">
              <w:rPr>
                <w:b/>
                <w:color w:val="000000"/>
                <w:lang w:eastAsia="en-GB"/>
              </w:rPr>
              <w:t>mm</w:t>
            </w:r>
          </w:p>
        </w:tc>
        <w:tc>
          <w:tcPr>
            <w:tcW w:w="2656" w:type="dxa"/>
            <w:vAlign w:val="center"/>
          </w:tcPr>
          <w:p w:rsidR="00EC38E2" w:rsidRPr="00B013ED" w:rsidRDefault="00EC38E2" w:rsidP="00C00AE3">
            <w:pPr>
              <w:spacing w:after="120" w:line="480" w:lineRule="auto"/>
              <w:jc w:val="center"/>
              <w:rPr>
                <w:b/>
                <w:color w:val="000000"/>
                <w:lang w:eastAsia="en-GB"/>
              </w:rPr>
            </w:pPr>
            <w:r w:rsidRPr="00B013ED">
              <w:t>3.58</w:t>
            </w:r>
          </w:p>
        </w:tc>
      </w:tr>
      <w:tr w:rsidR="00EC38E2" w:rsidRPr="00B013ED" w:rsidTr="00934FA3">
        <w:trPr>
          <w:trHeight w:val="810"/>
        </w:trPr>
        <w:tc>
          <w:tcPr>
            <w:tcW w:w="2655" w:type="dxa"/>
            <w:shd w:val="clear" w:color="auto" w:fill="FDE9D9" w:themeFill="accent6" w:themeFillTint="33"/>
            <w:vAlign w:val="center"/>
          </w:tcPr>
          <w:p w:rsidR="00EC38E2" w:rsidRPr="00B013ED" w:rsidRDefault="00EC38E2" w:rsidP="00C00AE3">
            <w:pPr>
              <w:spacing w:after="120" w:line="480" w:lineRule="auto"/>
              <w:jc w:val="center"/>
              <w:rPr>
                <w:b/>
                <w:color w:val="000000"/>
                <w:sz w:val="20"/>
                <w:lang w:eastAsia="en-GB"/>
              </w:rPr>
            </w:pPr>
            <w:r w:rsidRPr="00B013ED">
              <w:rPr>
                <w:b/>
                <w:color w:val="000000"/>
                <w:sz w:val="20"/>
                <w:lang w:eastAsia="en-GB"/>
              </w:rPr>
              <w:t>Ciprofloxacin (Cip)</w:t>
            </w:r>
          </w:p>
        </w:tc>
        <w:tc>
          <w:tcPr>
            <w:tcW w:w="2655" w:type="dxa"/>
            <w:vAlign w:val="center"/>
          </w:tcPr>
          <w:p w:rsidR="00EC38E2" w:rsidRPr="00B013ED" w:rsidRDefault="00EC38E2" w:rsidP="00C00AE3">
            <w:pPr>
              <w:spacing w:after="120" w:line="480" w:lineRule="auto"/>
              <w:jc w:val="center"/>
              <w:rPr>
                <w:b/>
                <w:color w:val="000000"/>
                <w:lang w:eastAsia="en-GB"/>
              </w:rPr>
            </w:pPr>
            <w:r w:rsidRPr="00B013ED">
              <w:rPr>
                <w:b/>
                <w:color w:val="000000"/>
                <w:lang w:eastAsia="en-GB"/>
              </w:rPr>
              <w:t>35.05</w:t>
            </w:r>
            <w:r w:rsidR="002D37AF">
              <w:rPr>
                <w:b/>
                <w:color w:val="000000"/>
                <w:lang w:eastAsia="en-GB"/>
              </w:rPr>
              <w:t xml:space="preserve"> </w:t>
            </w:r>
            <w:r w:rsidRPr="00B013ED">
              <w:rPr>
                <w:b/>
                <w:color w:val="000000"/>
                <w:lang w:eastAsia="en-GB"/>
              </w:rPr>
              <w:t>mm</w:t>
            </w:r>
          </w:p>
        </w:tc>
        <w:tc>
          <w:tcPr>
            <w:tcW w:w="2656" w:type="dxa"/>
            <w:vAlign w:val="center"/>
          </w:tcPr>
          <w:p w:rsidR="00EC38E2" w:rsidRPr="00B013ED" w:rsidRDefault="00EC38E2" w:rsidP="00C00AE3">
            <w:pPr>
              <w:spacing w:after="120" w:line="480" w:lineRule="auto"/>
              <w:jc w:val="center"/>
              <w:rPr>
                <w:b/>
                <w:color w:val="000000"/>
                <w:lang w:eastAsia="en-GB"/>
              </w:rPr>
            </w:pPr>
            <w:r w:rsidRPr="00B013ED">
              <w:t>1.92</w:t>
            </w:r>
          </w:p>
        </w:tc>
      </w:tr>
      <w:tr w:rsidR="00EC38E2" w:rsidRPr="00B013ED" w:rsidTr="00934FA3">
        <w:trPr>
          <w:trHeight w:val="810"/>
        </w:trPr>
        <w:tc>
          <w:tcPr>
            <w:tcW w:w="2655" w:type="dxa"/>
            <w:shd w:val="clear" w:color="auto" w:fill="FDE9D9" w:themeFill="accent6" w:themeFillTint="33"/>
            <w:vAlign w:val="center"/>
          </w:tcPr>
          <w:p w:rsidR="00EC38E2" w:rsidRPr="00B013ED" w:rsidRDefault="00EC38E2" w:rsidP="00C00AE3">
            <w:pPr>
              <w:spacing w:after="120" w:line="480" w:lineRule="auto"/>
              <w:jc w:val="center"/>
              <w:rPr>
                <w:b/>
                <w:color w:val="000000"/>
                <w:sz w:val="20"/>
                <w:lang w:eastAsia="en-GB"/>
              </w:rPr>
            </w:pPr>
            <w:r w:rsidRPr="00B013ED">
              <w:rPr>
                <w:b/>
                <w:color w:val="000000"/>
                <w:sz w:val="20"/>
                <w:lang w:eastAsia="en-GB"/>
              </w:rPr>
              <w:t>Metronidazol</w:t>
            </w:r>
            <w:r w:rsidR="00127D0A">
              <w:rPr>
                <w:b/>
                <w:color w:val="000000"/>
                <w:sz w:val="20"/>
                <w:lang w:eastAsia="en-GB"/>
              </w:rPr>
              <w:t>e</w:t>
            </w:r>
            <w:r w:rsidRPr="00B013ED">
              <w:rPr>
                <w:b/>
                <w:color w:val="000000"/>
                <w:sz w:val="20"/>
                <w:lang w:eastAsia="en-GB"/>
              </w:rPr>
              <w:t xml:space="preserve"> (Met)</w:t>
            </w:r>
          </w:p>
        </w:tc>
        <w:tc>
          <w:tcPr>
            <w:tcW w:w="2655" w:type="dxa"/>
            <w:vAlign w:val="center"/>
          </w:tcPr>
          <w:p w:rsidR="00EC38E2" w:rsidRPr="00B013ED" w:rsidRDefault="00EC38E2" w:rsidP="00C00AE3">
            <w:pPr>
              <w:spacing w:after="120" w:line="480" w:lineRule="auto"/>
              <w:jc w:val="center"/>
              <w:rPr>
                <w:b/>
                <w:color w:val="000000"/>
                <w:lang w:eastAsia="en-GB"/>
              </w:rPr>
            </w:pPr>
            <w:r w:rsidRPr="00B013ED">
              <w:rPr>
                <w:b/>
                <w:color w:val="000000"/>
                <w:lang w:eastAsia="en-GB"/>
              </w:rPr>
              <w:t>21.21</w:t>
            </w:r>
            <w:r w:rsidR="002D37AF">
              <w:rPr>
                <w:b/>
                <w:color w:val="000000"/>
                <w:lang w:eastAsia="en-GB"/>
              </w:rPr>
              <w:t xml:space="preserve"> </w:t>
            </w:r>
            <w:r w:rsidRPr="00B013ED">
              <w:rPr>
                <w:b/>
                <w:color w:val="000000"/>
                <w:lang w:eastAsia="en-GB"/>
              </w:rPr>
              <w:t>mm</w:t>
            </w:r>
          </w:p>
        </w:tc>
        <w:tc>
          <w:tcPr>
            <w:tcW w:w="2656" w:type="dxa"/>
            <w:vAlign w:val="center"/>
          </w:tcPr>
          <w:p w:rsidR="00EC38E2" w:rsidRPr="00B013ED" w:rsidRDefault="00EC38E2" w:rsidP="00C00AE3">
            <w:pPr>
              <w:spacing w:after="120" w:line="480" w:lineRule="auto"/>
              <w:jc w:val="center"/>
              <w:rPr>
                <w:b/>
                <w:color w:val="000000"/>
                <w:lang w:eastAsia="en-GB"/>
              </w:rPr>
            </w:pPr>
            <w:r w:rsidRPr="00B013ED">
              <w:t>2.95</w:t>
            </w:r>
          </w:p>
        </w:tc>
      </w:tr>
      <w:tr w:rsidR="00EC38E2" w:rsidRPr="00B013ED" w:rsidTr="00934FA3">
        <w:trPr>
          <w:trHeight w:val="810"/>
        </w:trPr>
        <w:tc>
          <w:tcPr>
            <w:tcW w:w="2655" w:type="dxa"/>
            <w:shd w:val="clear" w:color="auto" w:fill="FDE9D9" w:themeFill="accent6" w:themeFillTint="33"/>
            <w:vAlign w:val="center"/>
          </w:tcPr>
          <w:p w:rsidR="00EC38E2" w:rsidRPr="00B013ED" w:rsidRDefault="00EC38E2" w:rsidP="00C00AE3">
            <w:pPr>
              <w:spacing w:after="120" w:line="480" w:lineRule="auto"/>
              <w:jc w:val="center"/>
              <w:rPr>
                <w:b/>
                <w:color w:val="000000"/>
                <w:sz w:val="20"/>
                <w:lang w:eastAsia="en-GB"/>
              </w:rPr>
            </w:pPr>
            <w:r w:rsidRPr="00B013ED">
              <w:rPr>
                <w:b/>
                <w:color w:val="000000"/>
                <w:sz w:val="20"/>
                <w:lang w:eastAsia="en-GB"/>
              </w:rPr>
              <w:t>(Cip + Met)</w:t>
            </w:r>
          </w:p>
        </w:tc>
        <w:tc>
          <w:tcPr>
            <w:tcW w:w="2655" w:type="dxa"/>
            <w:vAlign w:val="center"/>
          </w:tcPr>
          <w:p w:rsidR="00EC38E2" w:rsidRPr="00B013ED" w:rsidRDefault="00EC38E2" w:rsidP="00C00AE3">
            <w:pPr>
              <w:spacing w:after="120" w:line="480" w:lineRule="auto"/>
              <w:jc w:val="center"/>
              <w:rPr>
                <w:b/>
                <w:color w:val="000000"/>
                <w:lang w:eastAsia="en-GB"/>
              </w:rPr>
            </w:pPr>
            <w:r w:rsidRPr="00B013ED">
              <w:rPr>
                <w:b/>
                <w:color w:val="000000"/>
                <w:lang w:eastAsia="en-GB"/>
              </w:rPr>
              <w:t>32.12</w:t>
            </w:r>
            <w:r w:rsidR="002D37AF">
              <w:rPr>
                <w:b/>
                <w:color w:val="000000"/>
                <w:lang w:eastAsia="en-GB"/>
              </w:rPr>
              <w:t xml:space="preserve"> </w:t>
            </w:r>
            <w:r w:rsidRPr="00B013ED">
              <w:rPr>
                <w:b/>
                <w:color w:val="000000"/>
                <w:lang w:eastAsia="en-GB"/>
              </w:rPr>
              <w:t>mm</w:t>
            </w:r>
          </w:p>
        </w:tc>
        <w:tc>
          <w:tcPr>
            <w:tcW w:w="2656" w:type="dxa"/>
            <w:vAlign w:val="center"/>
          </w:tcPr>
          <w:p w:rsidR="00EC38E2" w:rsidRPr="00B013ED" w:rsidRDefault="00EC38E2" w:rsidP="00C00AE3">
            <w:pPr>
              <w:spacing w:after="120" w:line="480" w:lineRule="auto"/>
              <w:jc w:val="center"/>
              <w:rPr>
                <w:b/>
                <w:color w:val="000000"/>
                <w:lang w:eastAsia="en-GB"/>
              </w:rPr>
            </w:pPr>
            <w:r w:rsidRPr="00B013ED">
              <w:t>.85</w:t>
            </w:r>
          </w:p>
        </w:tc>
      </w:tr>
      <w:tr w:rsidR="00EC38E2" w:rsidRPr="00B013ED" w:rsidTr="00934FA3">
        <w:trPr>
          <w:trHeight w:val="810"/>
        </w:trPr>
        <w:tc>
          <w:tcPr>
            <w:tcW w:w="2655" w:type="dxa"/>
            <w:shd w:val="clear" w:color="auto" w:fill="FDE9D9" w:themeFill="accent6" w:themeFillTint="33"/>
            <w:vAlign w:val="center"/>
          </w:tcPr>
          <w:p w:rsidR="00EC38E2" w:rsidRPr="00B013ED" w:rsidRDefault="00EC38E2" w:rsidP="00C00AE3">
            <w:pPr>
              <w:spacing w:after="120" w:line="480" w:lineRule="auto"/>
              <w:jc w:val="center"/>
              <w:rPr>
                <w:b/>
                <w:color w:val="000000"/>
                <w:sz w:val="20"/>
                <w:lang w:eastAsia="en-GB"/>
              </w:rPr>
            </w:pPr>
            <w:r w:rsidRPr="00B013ED">
              <w:rPr>
                <w:b/>
                <w:color w:val="000000"/>
                <w:sz w:val="20"/>
                <w:lang w:eastAsia="en-GB"/>
              </w:rPr>
              <w:t>(Mino+ Cip + Met)</w:t>
            </w:r>
          </w:p>
        </w:tc>
        <w:tc>
          <w:tcPr>
            <w:tcW w:w="2655" w:type="dxa"/>
            <w:vAlign w:val="center"/>
          </w:tcPr>
          <w:p w:rsidR="00EC38E2" w:rsidRPr="00B013ED" w:rsidRDefault="00EC38E2" w:rsidP="00C00AE3">
            <w:pPr>
              <w:spacing w:after="120" w:line="480" w:lineRule="auto"/>
              <w:jc w:val="center"/>
              <w:rPr>
                <w:b/>
                <w:color w:val="000000"/>
                <w:lang w:eastAsia="en-GB"/>
              </w:rPr>
            </w:pPr>
            <w:r w:rsidRPr="00B013ED">
              <w:rPr>
                <w:b/>
                <w:color w:val="000000"/>
                <w:lang w:eastAsia="en-GB"/>
              </w:rPr>
              <w:t>33.49</w:t>
            </w:r>
            <w:r w:rsidR="002D37AF">
              <w:rPr>
                <w:b/>
                <w:color w:val="000000"/>
                <w:lang w:eastAsia="en-GB"/>
              </w:rPr>
              <w:t xml:space="preserve"> </w:t>
            </w:r>
            <w:r w:rsidRPr="00B013ED">
              <w:rPr>
                <w:b/>
                <w:color w:val="000000"/>
                <w:lang w:eastAsia="en-GB"/>
              </w:rPr>
              <w:t>mm</w:t>
            </w:r>
          </w:p>
        </w:tc>
        <w:tc>
          <w:tcPr>
            <w:tcW w:w="2656" w:type="dxa"/>
            <w:vAlign w:val="center"/>
          </w:tcPr>
          <w:p w:rsidR="00EC38E2" w:rsidRPr="00B013ED" w:rsidRDefault="00EC38E2" w:rsidP="00C00AE3">
            <w:pPr>
              <w:spacing w:after="120" w:line="480" w:lineRule="auto"/>
              <w:jc w:val="center"/>
              <w:rPr>
                <w:b/>
                <w:color w:val="000000"/>
                <w:lang w:eastAsia="en-GB"/>
              </w:rPr>
            </w:pPr>
            <w:r w:rsidRPr="00B013ED">
              <w:t>3.39</w:t>
            </w:r>
          </w:p>
        </w:tc>
      </w:tr>
    </w:tbl>
    <w:p w:rsidR="00A96D26" w:rsidRDefault="00A96D26" w:rsidP="00EC38E2">
      <w:pPr>
        <w:spacing w:after="120" w:line="480" w:lineRule="auto"/>
        <w:jc w:val="both"/>
        <w:rPr>
          <w:rFonts w:eastAsia="Times New Roman"/>
          <w:b/>
          <w:color w:val="000000"/>
          <w:lang w:eastAsia="en-GB"/>
        </w:rPr>
      </w:pPr>
    </w:p>
    <w:p w:rsidR="00A96D26" w:rsidRDefault="00A96D26">
      <w:r>
        <w:br w:type="page"/>
      </w:r>
    </w:p>
    <w:p w:rsidR="00DB701E" w:rsidRDefault="00DB701E" w:rsidP="006C56CA">
      <w:pPr>
        <w:spacing w:after="120" w:line="240" w:lineRule="auto"/>
        <w:jc w:val="both"/>
        <w:rPr>
          <w:rFonts w:cstheme="minorBidi"/>
          <w:b/>
          <w:bCs/>
          <w:sz w:val="20"/>
          <w:szCs w:val="20"/>
        </w:rPr>
      </w:pPr>
    </w:p>
    <w:p w:rsidR="007D5372" w:rsidRDefault="007D5372" w:rsidP="006C56CA">
      <w:pPr>
        <w:spacing w:after="120" w:line="240" w:lineRule="auto"/>
        <w:jc w:val="both"/>
        <w:rPr>
          <w:rFonts w:cstheme="minorBidi"/>
          <w:b/>
          <w:bCs/>
          <w:sz w:val="20"/>
          <w:szCs w:val="20"/>
        </w:rPr>
      </w:pPr>
      <w:bookmarkStart w:id="589" w:name="_Ref360530575"/>
    </w:p>
    <w:p w:rsidR="00EC38E2" w:rsidRPr="00DB701E" w:rsidRDefault="00C67C41" w:rsidP="006C56CA">
      <w:pPr>
        <w:spacing w:after="120" w:line="240" w:lineRule="auto"/>
        <w:jc w:val="both"/>
        <w:rPr>
          <w:rFonts w:eastAsia="Times New Roman" w:cstheme="minorBidi"/>
          <w:b/>
          <w:bCs/>
          <w:color w:val="000000"/>
          <w:sz w:val="20"/>
          <w:szCs w:val="20"/>
          <w:lang w:eastAsia="en-GB"/>
        </w:rPr>
      </w:pPr>
      <w:bookmarkStart w:id="590" w:name="_Toc361733629"/>
      <w:bookmarkStart w:id="591" w:name="_Toc361734272"/>
      <w:r>
        <w:rPr>
          <w:rFonts w:cstheme="minorBidi"/>
          <w:b/>
          <w:bCs/>
          <w:sz w:val="20"/>
          <w:szCs w:val="20"/>
        </w:rPr>
        <w:t>Figure</w:t>
      </w:r>
      <w:r w:rsidR="00A96D26" w:rsidRPr="00DB701E">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15</w:t>
      </w:r>
      <w:r w:rsidR="00DF37B0">
        <w:rPr>
          <w:rFonts w:cstheme="minorBidi"/>
          <w:b/>
          <w:bCs/>
          <w:sz w:val="20"/>
          <w:szCs w:val="20"/>
        </w:rPr>
        <w:fldChar w:fldCharType="end"/>
      </w:r>
      <w:bookmarkEnd w:id="589"/>
      <w:r w:rsidR="00127D0A">
        <w:rPr>
          <w:rFonts w:cstheme="minorBidi"/>
          <w:b/>
          <w:bCs/>
          <w:color w:val="000000"/>
          <w:sz w:val="20"/>
          <w:szCs w:val="20"/>
          <w:lang w:eastAsia="en-GB"/>
        </w:rPr>
        <w:t xml:space="preserve"> C</w:t>
      </w:r>
      <w:r w:rsidR="000760EF" w:rsidRPr="00DB701E">
        <w:rPr>
          <w:rFonts w:cstheme="minorBidi"/>
          <w:b/>
          <w:bCs/>
          <w:color w:val="000000"/>
          <w:sz w:val="20"/>
          <w:szCs w:val="20"/>
          <w:lang w:eastAsia="en-GB"/>
        </w:rPr>
        <w:t xml:space="preserve">omparison of inhibition zone for all test material and antibiotics against </w:t>
      </w:r>
      <w:r w:rsidR="00DB701E" w:rsidRPr="00DB701E">
        <w:rPr>
          <w:rFonts w:eastAsia="Times New Roman" w:cstheme="minorBidi"/>
          <w:b/>
          <w:bCs/>
          <w:i/>
          <w:iCs/>
          <w:color w:val="000000"/>
          <w:sz w:val="20"/>
          <w:szCs w:val="20"/>
          <w:lang w:eastAsia="en-GB"/>
        </w:rPr>
        <w:t>P.gingivalis</w:t>
      </w:r>
      <w:bookmarkEnd w:id="590"/>
      <w:bookmarkEnd w:id="591"/>
    </w:p>
    <w:p w:rsidR="00EC38E2" w:rsidRPr="00B013ED" w:rsidRDefault="00A96D26" w:rsidP="00EC38E2">
      <w:pPr>
        <w:spacing w:after="120" w:line="480" w:lineRule="auto"/>
        <w:jc w:val="both"/>
        <w:rPr>
          <w:rFonts w:eastAsia="Times New Roman"/>
          <w:b/>
          <w:color w:val="000000"/>
          <w:lang w:eastAsia="en-GB"/>
        </w:rPr>
      </w:pPr>
      <w:r w:rsidRPr="00B013ED">
        <w:rPr>
          <w:noProof/>
          <w:lang w:eastAsia="en-GB"/>
        </w:rPr>
        <w:drawing>
          <wp:anchor distT="0" distB="0" distL="114300" distR="114300" simplePos="0" relativeHeight="251727872" behindDoc="0" locked="0" layoutInCell="1" allowOverlap="1" wp14:anchorId="48030798" wp14:editId="374726F7">
            <wp:simplePos x="0" y="0"/>
            <wp:positionH relativeFrom="column">
              <wp:posOffset>381000</wp:posOffset>
            </wp:positionH>
            <wp:positionV relativeFrom="paragraph">
              <wp:posOffset>419735</wp:posOffset>
            </wp:positionV>
            <wp:extent cx="4715510" cy="3347720"/>
            <wp:effectExtent l="0" t="0" r="8890" b="5080"/>
            <wp:wrapSquare wrapText="bothSides"/>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EC38E2" w:rsidRPr="00B013ED" w:rsidRDefault="00EC38E2" w:rsidP="00EC38E2">
      <w:pPr>
        <w:spacing w:after="120" w:line="480" w:lineRule="auto"/>
        <w:jc w:val="both"/>
        <w:rPr>
          <w:rFonts w:eastAsia="Times New Roman"/>
          <w:b/>
          <w:color w:val="000000"/>
          <w:lang w:eastAsia="en-GB"/>
        </w:rPr>
      </w:pPr>
    </w:p>
    <w:p w:rsidR="00C12840" w:rsidRDefault="00C12840">
      <w:pPr>
        <w:rPr>
          <w:rFonts w:eastAsia="Times New Roman"/>
          <w:b/>
          <w:color w:val="000000"/>
          <w:lang w:eastAsia="en-GB"/>
        </w:rPr>
      </w:pPr>
    </w:p>
    <w:p w:rsidR="00C12840" w:rsidRDefault="00C12840">
      <w:pPr>
        <w:rPr>
          <w:rFonts w:eastAsia="Times New Roman"/>
          <w:b/>
          <w:color w:val="000000"/>
          <w:lang w:eastAsia="en-GB"/>
        </w:rPr>
      </w:pPr>
    </w:p>
    <w:p w:rsidR="00C12840" w:rsidRDefault="00C12840">
      <w:pPr>
        <w:rPr>
          <w:rFonts w:eastAsia="Times New Roman"/>
          <w:b/>
          <w:color w:val="000000"/>
          <w:lang w:eastAsia="en-GB"/>
        </w:rPr>
      </w:pPr>
    </w:p>
    <w:p w:rsidR="00C12840" w:rsidRDefault="00C12840">
      <w:pPr>
        <w:rPr>
          <w:rFonts w:eastAsia="Times New Roman"/>
          <w:b/>
          <w:color w:val="000000"/>
          <w:lang w:eastAsia="en-GB"/>
        </w:rPr>
      </w:pPr>
    </w:p>
    <w:p w:rsidR="00C12840" w:rsidRDefault="00C12840">
      <w:pPr>
        <w:rPr>
          <w:rFonts w:eastAsia="Times New Roman"/>
          <w:b/>
          <w:color w:val="000000"/>
          <w:lang w:eastAsia="en-GB"/>
        </w:rPr>
      </w:pPr>
    </w:p>
    <w:p w:rsidR="00C12840" w:rsidRPr="00C12840" w:rsidRDefault="00C12840" w:rsidP="00421ED6">
      <w:pPr>
        <w:spacing w:after="120" w:line="480" w:lineRule="auto"/>
        <w:jc w:val="both"/>
        <w:rPr>
          <w:rFonts w:eastAsia="Times New Roman"/>
          <w:bCs/>
          <w:color w:val="000000"/>
          <w:szCs w:val="24"/>
          <w:lang w:eastAsia="en-GB"/>
        </w:rPr>
      </w:pPr>
      <w:r w:rsidRPr="00C12840">
        <w:rPr>
          <w:rFonts w:eastAsia="Times New Roman"/>
          <w:bCs/>
          <w:color w:val="000000"/>
          <w:szCs w:val="24"/>
          <w:lang w:eastAsia="en-GB"/>
        </w:rPr>
        <w:t>The statistical analysis is presented in</w:t>
      </w:r>
      <w:r w:rsidR="00C00AE3">
        <w:rPr>
          <w:rFonts w:eastAsia="Times New Roman"/>
          <w:bCs/>
          <w:color w:val="000000"/>
          <w:szCs w:val="24"/>
          <w:lang w:eastAsia="en-GB"/>
        </w:rPr>
        <w:t xml:space="preserve"> </w:t>
      </w:r>
      <w:r w:rsidR="00C00AE3" w:rsidRPr="00C00AE3">
        <w:rPr>
          <w:rFonts w:eastAsia="Times New Roman" w:cstheme="minorBidi"/>
          <w:bCs/>
          <w:color w:val="000000"/>
          <w:szCs w:val="24"/>
          <w:lang w:eastAsia="en-GB"/>
        </w:rPr>
        <w:fldChar w:fldCharType="begin"/>
      </w:r>
      <w:r w:rsidR="00C00AE3" w:rsidRPr="00C00AE3">
        <w:rPr>
          <w:rFonts w:eastAsia="Times New Roman" w:cstheme="minorBidi"/>
          <w:bCs/>
          <w:color w:val="000000"/>
          <w:szCs w:val="24"/>
          <w:lang w:eastAsia="en-GB"/>
        </w:rPr>
        <w:instrText xml:space="preserve"> REF _Ref361093843 \h  \* MERGEFORMAT </w:instrText>
      </w:r>
      <w:r w:rsidR="00C00AE3" w:rsidRPr="00C00AE3">
        <w:rPr>
          <w:rFonts w:eastAsia="Times New Roman" w:cstheme="minorBidi"/>
          <w:bCs/>
          <w:color w:val="000000"/>
          <w:szCs w:val="24"/>
          <w:lang w:eastAsia="en-GB"/>
        </w:rPr>
      </w:r>
      <w:r w:rsidR="00C00AE3" w:rsidRPr="00C00AE3">
        <w:rPr>
          <w:rFonts w:eastAsia="Times New Roman" w:cstheme="minorBidi"/>
          <w:bCs/>
          <w:color w:val="000000"/>
          <w:szCs w:val="24"/>
          <w:lang w:eastAsia="en-GB"/>
        </w:rPr>
        <w:fldChar w:fldCharType="separate"/>
      </w:r>
      <w:r w:rsidR="00374B77" w:rsidRPr="00374B77">
        <w:rPr>
          <w:rFonts w:cstheme="minorBidi"/>
          <w:bCs/>
          <w:szCs w:val="24"/>
        </w:rPr>
        <w:t xml:space="preserve">Table </w:t>
      </w:r>
      <w:r w:rsidR="00374B77" w:rsidRPr="00374B77">
        <w:rPr>
          <w:rFonts w:cstheme="minorBidi"/>
          <w:bCs/>
          <w:noProof/>
          <w:szCs w:val="24"/>
          <w:cs/>
        </w:rPr>
        <w:t>‎</w:t>
      </w:r>
      <w:r w:rsidR="00374B77">
        <w:rPr>
          <w:rFonts w:cstheme="minorBidi"/>
          <w:b/>
          <w:bCs/>
          <w:noProof/>
          <w:sz w:val="20"/>
          <w:szCs w:val="20"/>
        </w:rPr>
        <w:t>3.15</w:t>
      </w:r>
      <w:r w:rsidR="00C00AE3" w:rsidRPr="00C00AE3">
        <w:rPr>
          <w:rFonts w:eastAsia="Times New Roman" w:cstheme="minorBidi"/>
          <w:bCs/>
          <w:color w:val="000000"/>
          <w:szCs w:val="24"/>
          <w:lang w:eastAsia="en-GB"/>
        </w:rPr>
        <w:fldChar w:fldCharType="end"/>
      </w:r>
      <w:r w:rsidR="00DC0870">
        <w:rPr>
          <w:rFonts w:eastAsia="Times New Roman" w:cstheme="minorBidi"/>
          <w:bCs/>
          <w:color w:val="000000"/>
          <w:szCs w:val="24"/>
          <w:lang w:eastAsia="en-GB"/>
        </w:rPr>
        <w:t xml:space="preserve">. </w:t>
      </w:r>
      <w:r w:rsidR="00313C48" w:rsidRPr="00C00AE3">
        <w:rPr>
          <w:rFonts w:eastAsia="Times New Roman" w:cstheme="minorBidi"/>
          <w:bCs/>
          <w:color w:val="000000"/>
          <w:szCs w:val="24"/>
          <w:lang w:eastAsia="en-GB"/>
        </w:rPr>
        <w:t>It</w:t>
      </w:r>
      <w:r w:rsidR="00313C48">
        <w:rPr>
          <w:rFonts w:eastAsia="Times New Roman"/>
          <w:bCs/>
          <w:color w:val="000000"/>
          <w:szCs w:val="24"/>
          <w:lang w:eastAsia="en-GB"/>
        </w:rPr>
        <w:t xml:space="preserve"> can be clearly seen that although all materials were effective in inhibiting </w:t>
      </w:r>
      <w:r w:rsidR="00313C48" w:rsidRPr="00313C48">
        <w:rPr>
          <w:rFonts w:eastAsia="Times New Roman"/>
          <w:bCs/>
          <w:i/>
          <w:color w:val="000000"/>
          <w:szCs w:val="24"/>
          <w:lang w:eastAsia="en-GB"/>
        </w:rPr>
        <w:t>P.gingivalis</w:t>
      </w:r>
      <w:r w:rsidR="00313C48">
        <w:rPr>
          <w:rFonts w:eastAsia="Times New Roman"/>
          <w:bCs/>
          <w:color w:val="000000"/>
          <w:szCs w:val="24"/>
          <w:lang w:eastAsia="en-GB"/>
        </w:rPr>
        <w:t>, a combination of the three antibiotics (Mino+Cip+Met) was significantly more effective compared with other materials or antibiotics individually and in combination.</w:t>
      </w:r>
    </w:p>
    <w:p w:rsidR="001C618A" w:rsidRDefault="001C618A">
      <w:pPr>
        <w:rPr>
          <w:rFonts w:eastAsia="Times New Roman"/>
          <w:b/>
          <w:color w:val="000000"/>
          <w:lang w:eastAsia="en-GB"/>
        </w:rPr>
      </w:pPr>
      <w:r>
        <w:rPr>
          <w:rFonts w:eastAsia="Times New Roman"/>
          <w:b/>
          <w:color w:val="000000"/>
          <w:lang w:eastAsia="en-GB"/>
        </w:rPr>
        <w:br w:type="page"/>
      </w:r>
    </w:p>
    <w:p w:rsidR="00C00AE3" w:rsidRPr="00421ED6" w:rsidRDefault="00C00AE3" w:rsidP="00421ED6">
      <w:pPr>
        <w:rPr>
          <w:rFonts w:eastAsia="Calibri" w:cstheme="minorBidi"/>
          <w:b/>
          <w:bCs/>
          <w:i/>
          <w:iCs/>
          <w:sz w:val="20"/>
          <w:szCs w:val="20"/>
        </w:rPr>
      </w:pPr>
      <w:bookmarkStart w:id="592" w:name="_Ref361093843"/>
      <w:bookmarkStart w:id="593" w:name="_Toc370511751"/>
      <w:proofErr w:type="gramStart"/>
      <w:r w:rsidRPr="00421ED6">
        <w:rPr>
          <w:rFonts w:cstheme="minorBidi"/>
          <w:b/>
          <w:bCs/>
          <w:sz w:val="20"/>
          <w:szCs w:val="20"/>
        </w:rPr>
        <w:lastRenderedPageBreak/>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15</w:t>
      </w:r>
      <w:r w:rsidR="00E7089D">
        <w:rPr>
          <w:rFonts w:cstheme="minorBidi"/>
          <w:b/>
          <w:bCs/>
          <w:sz w:val="20"/>
          <w:szCs w:val="20"/>
        </w:rPr>
        <w:fldChar w:fldCharType="end"/>
      </w:r>
      <w:bookmarkEnd w:id="592"/>
      <w:r w:rsidRPr="00421ED6">
        <w:rPr>
          <w:rFonts w:cstheme="minorBidi"/>
          <w:b/>
          <w:bCs/>
          <w:sz w:val="20"/>
          <w:szCs w:val="20"/>
        </w:rPr>
        <w:t xml:space="preserve"> </w:t>
      </w:r>
      <w:r w:rsidR="00421ED6" w:rsidRPr="00421ED6">
        <w:rPr>
          <w:rFonts w:cstheme="minorBidi"/>
          <w:b/>
          <w:bCs/>
          <w:sz w:val="20"/>
          <w:szCs w:val="20"/>
        </w:rPr>
        <w:t>Comparison of antibacterial effectiveness of different material NSCH, MTA</w:t>
      </w:r>
      <w:proofErr w:type="gramStart"/>
      <w:r w:rsidR="00421ED6" w:rsidRPr="00421ED6">
        <w:rPr>
          <w:rFonts w:cstheme="minorBidi"/>
          <w:b/>
          <w:bCs/>
          <w:sz w:val="20"/>
          <w:szCs w:val="20"/>
        </w:rPr>
        <w:t>,  Minocycline</w:t>
      </w:r>
      <w:proofErr w:type="gramEnd"/>
      <w:r w:rsidR="00421ED6" w:rsidRPr="00421ED6">
        <w:rPr>
          <w:rFonts w:cstheme="minorBidi"/>
          <w:b/>
          <w:bCs/>
          <w:sz w:val="20"/>
          <w:szCs w:val="20"/>
        </w:rPr>
        <w:t>, Ciprofloxacin and Metronidazole, on</w:t>
      </w:r>
      <w:r w:rsidR="00421ED6" w:rsidRPr="00421ED6">
        <w:rPr>
          <w:rFonts w:cstheme="minorBidi"/>
          <w:b/>
          <w:bCs/>
          <w:i/>
          <w:iCs/>
          <w:sz w:val="20"/>
          <w:szCs w:val="20"/>
        </w:rPr>
        <w:t xml:space="preserve"> </w:t>
      </w:r>
      <w:r w:rsidR="00421ED6" w:rsidRPr="00421ED6">
        <w:rPr>
          <w:rFonts w:cstheme="minorBidi"/>
          <w:b/>
          <w:bCs/>
          <w:i/>
          <w:iCs/>
          <w:sz w:val="20"/>
          <w:szCs w:val="20"/>
          <w:lang w:val="en-US"/>
        </w:rPr>
        <w:t>P. gingivalis</w:t>
      </w:r>
      <w:r w:rsidRPr="00421ED6">
        <w:rPr>
          <w:rFonts w:eastAsia="Calibri" w:cstheme="minorBidi"/>
          <w:b/>
          <w:bCs/>
          <w:i/>
          <w:iCs/>
          <w:sz w:val="20"/>
          <w:szCs w:val="20"/>
        </w:rPr>
        <w:t>.</w:t>
      </w:r>
      <w:bookmarkEnd w:id="593"/>
    </w:p>
    <w:tbl>
      <w:tblPr>
        <w:tblpPr w:leftFromText="180" w:rightFromText="180" w:vertAnchor="text" w:horzAnchor="margin" w:tblpY="259"/>
        <w:tblW w:w="8584" w:type="dxa"/>
        <w:tblLayout w:type="fixed"/>
        <w:tblCellMar>
          <w:left w:w="10" w:type="dxa"/>
          <w:right w:w="10" w:type="dxa"/>
        </w:tblCellMar>
        <w:tblLook w:val="0000" w:firstRow="0" w:lastRow="0" w:firstColumn="0" w:lastColumn="0" w:noHBand="0" w:noVBand="0"/>
      </w:tblPr>
      <w:tblGrid>
        <w:gridCol w:w="1299"/>
        <w:gridCol w:w="1575"/>
        <w:gridCol w:w="1931"/>
        <w:gridCol w:w="1005"/>
        <w:gridCol w:w="1387"/>
        <w:gridCol w:w="1387"/>
      </w:tblGrid>
      <w:tr w:rsidR="00C00AE3" w:rsidRPr="00B013ED" w:rsidTr="00C00AE3">
        <w:trPr>
          <w:cantSplit/>
        </w:trPr>
        <w:tc>
          <w:tcPr>
            <w:tcW w:w="1299" w:type="dxa"/>
            <w:vMerge w:val="restart"/>
            <w:tcBorders>
              <w:top w:val="single" w:sz="18" w:space="0" w:color="000000"/>
              <w:left w:val="single" w:sz="18" w:space="0" w:color="000000"/>
            </w:tcBorders>
            <w:shd w:val="clear" w:color="auto" w:fill="EAF1DD" w:themeFill="accent3" w:themeFillTint="33"/>
            <w:tcMar>
              <w:top w:w="0" w:type="dxa"/>
              <w:left w:w="0" w:type="dxa"/>
              <w:bottom w:w="0" w:type="dxa"/>
              <w:right w:w="0" w:type="dxa"/>
            </w:tcMa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(I) Treatment</w:t>
            </w:r>
          </w:p>
        </w:tc>
        <w:tc>
          <w:tcPr>
            <w:tcW w:w="1575" w:type="dxa"/>
            <w:vMerge w:val="restart"/>
            <w:tcBorders>
              <w:top w:val="single" w:sz="18" w:space="0" w:color="000000"/>
              <w:right w:val="single" w:sz="18" w:space="0" w:color="000000"/>
            </w:tcBorders>
            <w:shd w:val="clear" w:color="auto" w:fill="EAF1DD" w:themeFill="accent3" w:themeFillTint="33"/>
            <w:tcMar>
              <w:top w:w="0" w:type="dxa"/>
              <w:left w:w="0" w:type="dxa"/>
              <w:bottom w:w="0" w:type="dxa"/>
              <w:right w:w="0" w:type="dxa"/>
            </w:tcMa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(J) Treatment</w:t>
            </w:r>
          </w:p>
        </w:tc>
        <w:tc>
          <w:tcPr>
            <w:tcW w:w="1931" w:type="dxa"/>
            <w:vMerge w:val="restart"/>
            <w:tcBorders>
              <w:top w:val="single" w:sz="18" w:space="0" w:color="000000"/>
              <w:left w:val="single" w:sz="1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C00AE3" w:rsidRPr="00B013ED" w:rsidRDefault="00C00AE3" w:rsidP="00C00AE3">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Mean Difference (I-J)</w:t>
            </w:r>
          </w:p>
        </w:tc>
        <w:tc>
          <w:tcPr>
            <w:tcW w:w="1005" w:type="dxa"/>
            <w:vMerge w:val="restart"/>
            <w:tcBorders>
              <w:top w:val="single" w:sz="18" w:space="0" w:color="000000"/>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C00AE3" w:rsidRPr="00B013ED" w:rsidRDefault="00C00AE3" w:rsidP="00C00AE3">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Sig.</w:t>
            </w:r>
          </w:p>
        </w:tc>
        <w:tc>
          <w:tcPr>
            <w:tcW w:w="2774" w:type="dxa"/>
            <w:gridSpan w:val="2"/>
            <w:tcBorders>
              <w:top w:val="single" w:sz="18" w:space="0" w:color="000000"/>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C00AE3" w:rsidRPr="00B013ED" w:rsidRDefault="00C00AE3" w:rsidP="00C00AE3">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95% Confidence Interval</w:t>
            </w:r>
          </w:p>
        </w:tc>
      </w:tr>
      <w:tr w:rsidR="00C00AE3" w:rsidRPr="00B013ED" w:rsidTr="00C00AE3">
        <w:trPr>
          <w:cantSplit/>
        </w:trPr>
        <w:tc>
          <w:tcPr>
            <w:tcW w:w="1299" w:type="dxa"/>
            <w:vMerge/>
            <w:tcBorders>
              <w:top w:val="single" w:sz="18" w:space="0" w:color="000000"/>
              <w:left w:val="single" w:sz="18" w:space="0" w:color="000000"/>
              <w:bottom w:val="single" w:sz="18" w:space="0" w:color="000000"/>
            </w:tcBorders>
            <w:shd w:val="clear" w:color="auto" w:fill="EAF1DD" w:themeFill="accent3" w:themeFillTint="33"/>
            <w:tcMar>
              <w:top w:w="0" w:type="dxa"/>
              <w:left w:w="0" w:type="dxa"/>
              <w:bottom w:w="0" w:type="dxa"/>
              <w:right w:w="0" w:type="dxa"/>
            </w:tcMa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vMerge/>
            <w:tcBorders>
              <w:top w:val="single" w:sz="18" w:space="0" w:color="000000"/>
              <w:bottom w:val="single" w:sz="18" w:space="0" w:color="000000"/>
              <w:right w:val="single" w:sz="18" w:space="0" w:color="000000"/>
            </w:tcBorders>
            <w:shd w:val="clear" w:color="auto" w:fill="EAF1DD" w:themeFill="accent3" w:themeFillTint="33"/>
            <w:tcMar>
              <w:top w:w="0" w:type="dxa"/>
              <w:left w:w="0" w:type="dxa"/>
              <w:bottom w:w="0" w:type="dxa"/>
              <w:right w:w="0" w:type="dxa"/>
            </w:tcMa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931" w:type="dxa"/>
            <w:vMerge/>
            <w:tcBorders>
              <w:top w:val="single" w:sz="18" w:space="0" w:color="000000"/>
              <w:left w:val="single" w:sz="1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005" w:type="dxa"/>
            <w:vMerge/>
            <w:tcBorders>
              <w:top w:val="single" w:sz="18" w:space="0" w:color="000000"/>
              <w:left w:val="single" w:sz="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387" w:type="dxa"/>
            <w:tcBorders>
              <w:top w:val="single" w:sz="8" w:space="0" w:color="000000"/>
              <w:left w:val="single" w:sz="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C00AE3" w:rsidRPr="00B013ED" w:rsidRDefault="00C00AE3" w:rsidP="00C00AE3">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Lower Bound</w:t>
            </w:r>
          </w:p>
        </w:tc>
        <w:tc>
          <w:tcPr>
            <w:tcW w:w="1387" w:type="dxa"/>
            <w:tcBorders>
              <w:top w:val="single" w:sz="8" w:space="0" w:color="000000"/>
              <w:left w:val="single" w:sz="8" w:space="0" w:color="000000"/>
              <w:bottom w:val="single" w:sz="18" w:space="0" w:color="000000"/>
              <w:right w:val="single" w:sz="18" w:space="0" w:color="000000"/>
            </w:tcBorders>
            <w:shd w:val="clear" w:color="auto" w:fill="EAF1DD" w:themeFill="accent3" w:themeFillTint="33"/>
            <w:tcMar>
              <w:top w:w="0" w:type="dxa"/>
              <w:left w:w="0" w:type="dxa"/>
              <w:bottom w:w="0" w:type="dxa"/>
              <w:right w:w="0" w:type="dxa"/>
            </w:tcMar>
          </w:tcPr>
          <w:p w:rsidR="00C00AE3" w:rsidRPr="00B013ED" w:rsidRDefault="00C00AE3" w:rsidP="00C00AE3">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Upper Bound</w:t>
            </w:r>
          </w:p>
        </w:tc>
      </w:tr>
      <w:tr w:rsidR="00C00AE3" w:rsidRPr="00B013ED" w:rsidTr="00C00AE3">
        <w:trPr>
          <w:cantSplit/>
        </w:trPr>
        <w:tc>
          <w:tcPr>
            <w:tcW w:w="1299" w:type="dxa"/>
            <w:vMerge w:val="restart"/>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575" w:type="dxa"/>
            <w:tcBorders>
              <w:top w:val="single" w:sz="1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931" w:type="dxa"/>
            <w:tcBorders>
              <w:top w:val="single" w:sz="18" w:space="0" w:color="000000"/>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-7.15444</w:t>
            </w:r>
            <w:r w:rsidRPr="00B013ED">
              <w:rPr>
                <w:rFonts w:ascii="Arial" w:eastAsia="Calibri" w:hAnsi="Arial" w:cs="Arial"/>
                <w:color w:val="000000"/>
                <w:sz w:val="18"/>
                <w:szCs w:val="18"/>
                <w:vertAlign w:val="superscript"/>
              </w:rPr>
              <w:t>*</w:t>
            </w:r>
          </w:p>
        </w:tc>
        <w:tc>
          <w:tcPr>
            <w:tcW w:w="1005" w:type="dxa"/>
            <w:tcBorders>
              <w:top w:val="single" w:sz="18" w:space="0" w:color="000000"/>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18" w:space="0" w:color="000000"/>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-9.8842</w:t>
            </w:r>
          </w:p>
        </w:tc>
        <w:tc>
          <w:tcPr>
            <w:tcW w:w="1387" w:type="dxa"/>
            <w:tcBorders>
              <w:top w:val="single" w:sz="18" w:space="0" w:color="000000"/>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-4.4247</w:t>
            </w:r>
          </w:p>
        </w:tc>
      </w:tr>
      <w:tr w:rsidR="00C00AE3" w:rsidRPr="00B013ED" w:rsidTr="00C00AE3">
        <w:trPr>
          <w:cantSplit/>
        </w:trPr>
        <w:tc>
          <w:tcPr>
            <w:tcW w:w="1299"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931"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-10.78444</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-13.5142</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-8.0547</w:t>
            </w:r>
          </w:p>
        </w:tc>
      </w:tr>
      <w:tr w:rsidR="00C00AE3" w:rsidRPr="00B013ED" w:rsidTr="00C00AE3">
        <w:trPr>
          <w:cantSplit/>
        </w:trPr>
        <w:tc>
          <w:tcPr>
            <w:tcW w:w="1299"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931"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-12.16556</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-14.8953</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-9.4358</w:t>
            </w:r>
          </w:p>
        </w:tc>
      </w:tr>
      <w:tr w:rsidR="00C00AE3" w:rsidRPr="00B013ED" w:rsidTr="00C00AE3">
        <w:trPr>
          <w:cantSplit/>
        </w:trPr>
        <w:tc>
          <w:tcPr>
            <w:tcW w:w="1299"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931"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1.67778</w:t>
            </w:r>
          </w:p>
        </w:tc>
        <w:tc>
          <w:tcPr>
            <w:tcW w:w="1005"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.223</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-1.0519</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4.4075</w:t>
            </w:r>
          </w:p>
        </w:tc>
      </w:tr>
      <w:tr w:rsidR="00C00AE3" w:rsidRPr="00B013ED" w:rsidTr="00C00AE3">
        <w:trPr>
          <w:cantSplit/>
        </w:trPr>
        <w:tc>
          <w:tcPr>
            <w:tcW w:w="1299"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931"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-9.23000</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-11.9597</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-6.5003</w:t>
            </w:r>
          </w:p>
        </w:tc>
      </w:tr>
      <w:tr w:rsidR="00C00AE3" w:rsidRPr="00B013ED" w:rsidTr="00C00AE3">
        <w:trPr>
          <w:cantSplit/>
        </w:trPr>
        <w:tc>
          <w:tcPr>
            <w:tcW w:w="1299" w:type="dxa"/>
            <w:vMerge/>
            <w:tcBorders>
              <w:top w:val="single" w:sz="18" w:space="0" w:color="000000"/>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bottom w:val="single" w:sz="4" w:space="0" w:color="auto"/>
              <w:right w:val="single" w:sz="1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931" w:type="dxa"/>
            <w:tcBorders>
              <w:left w:val="single" w:sz="1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-10.60444</w:t>
            </w:r>
            <w:r w:rsidRPr="00B013ED">
              <w:rPr>
                <w:rFonts w:ascii="Arial" w:eastAsia="Calibri" w:hAnsi="Arial" w:cs="Arial"/>
                <w:color w:val="000000"/>
                <w:sz w:val="18"/>
                <w:szCs w:val="18"/>
                <w:vertAlign w:val="superscript"/>
              </w:rPr>
              <w:t>*</w:t>
            </w:r>
          </w:p>
        </w:tc>
        <w:tc>
          <w:tcPr>
            <w:tcW w:w="1005" w:type="dxa"/>
            <w:tcBorders>
              <w:left w:val="single" w:sz="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-13.3342</w:t>
            </w:r>
          </w:p>
        </w:tc>
        <w:tc>
          <w:tcPr>
            <w:tcW w:w="1387" w:type="dxa"/>
            <w:tcBorders>
              <w:left w:val="single" w:sz="8" w:space="0" w:color="000000"/>
              <w:bottom w:val="single" w:sz="4" w:space="0" w:color="auto"/>
              <w:right w:val="single" w:sz="18" w:space="0" w:color="000000"/>
            </w:tcBorders>
            <w:shd w:val="clear" w:color="auto" w:fill="FDE9D9" w:themeFill="accent6"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-7.8747</w:t>
            </w:r>
          </w:p>
        </w:tc>
      </w:tr>
      <w:tr w:rsidR="00C00AE3" w:rsidRPr="00B013ED" w:rsidTr="00C00AE3">
        <w:trPr>
          <w:cantSplit/>
        </w:trPr>
        <w:tc>
          <w:tcPr>
            <w:tcW w:w="1299"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575" w:type="dxa"/>
            <w:tcBorders>
              <w:top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931" w:type="dxa"/>
            <w:tcBorders>
              <w:top w:val="single" w:sz="4" w:space="0" w:color="auto"/>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7.15444</w:t>
            </w:r>
            <w:r w:rsidRPr="00B013ED">
              <w:rPr>
                <w:rFonts w:ascii="Arial" w:eastAsia="Calibri" w:hAnsi="Arial" w:cs="Arial"/>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4.4247</w:t>
            </w:r>
          </w:p>
        </w:tc>
        <w:tc>
          <w:tcPr>
            <w:tcW w:w="1387" w:type="dxa"/>
            <w:tcBorders>
              <w:top w:val="single" w:sz="4" w:space="0" w:color="auto"/>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9.8842</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931"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-3.63000</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.010</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-6.3597</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-.9003</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931"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-5.01111</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.001</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-7.7408</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-2.2814</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931"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8.83222</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6.1025</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11.5619</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931"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-2.07556</w:t>
            </w:r>
          </w:p>
        </w:tc>
        <w:tc>
          <w:tcPr>
            <w:tcW w:w="1005"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.133</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-4.8053</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.6542</w:t>
            </w:r>
          </w:p>
        </w:tc>
      </w:tr>
      <w:tr w:rsidR="00C00AE3" w:rsidRPr="00B013ED" w:rsidTr="00C00AE3">
        <w:trPr>
          <w:cantSplit/>
        </w:trPr>
        <w:tc>
          <w:tcPr>
            <w:tcW w:w="1299"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bottom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931" w:type="dxa"/>
            <w:tcBorders>
              <w:left w:val="single" w:sz="1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-3.45000</w:t>
            </w:r>
            <w:r w:rsidRPr="00B013ED">
              <w:rPr>
                <w:rFonts w:ascii="Arial" w:eastAsia="Calibri" w:hAnsi="Arial" w:cs="Arial"/>
                <w:color w:val="000000"/>
                <w:sz w:val="18"/>
                <w:szCs w:val="18"/>
                <w:vertAlign w:val="superscript"/>
              </w:rPr>
              <w:t>*</w:t>
            </w:r>
          </w:p>
        </w:tc>
        <w:tc>
          <w:tcPr>
            <w:tcW w:w="1005" w:type="dxa"/>
            <w:tcBorders>
              <w:left w:val="single" w:sz="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.014</w:t>
            </w:r>
          </w:p>
        </w:tc>
        <w:tc>
          <w:tcPr>
            <w:tcW w:w="1387" w:type="dxa"/>
            <w:tcBorders>
              <w:left w:val="single" w:sz="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-6.1797</w:t>
            </w:r>
          </w:p>
        </w:tc>
        <w:tc>
          <w:tcPr>
            <w:tcW w:w="1387" w:type="dxa"/>
            <w:tcBorders>
              <w:left w:val="single" w:sz="8" w:space="0" w:color="000000"/>
              <w:bottom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-.7203</w:t>
            </w:r>
          </w:p>
        </w:tc>
      </w:tr>
      <w:tr w:rsidR="00C00AE3" w:rsidRPr="00B013ED" w:rsidTr="00C00AE3">
        <w:trPr>
          <w:cantSplit/>
        </w:trPr>
        <w:tc>
          <w:tcPr>
            <w:tcW w:w="1299"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575" w:type="dxa"/>
            <w:tcBorders>
              <w:top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931" w:type="dxa"/>
            <w:tcBorders>
              <w:top w:val="single" w:sz="4" w:space="0" w:color="auto"/>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10.78444</w:t>
            </w:r>
            <w:r w:rsidRPr="00B013ED">
              <w:rPr>
                <w:rFonts w:ascii="Arial" w:eastAsia="Calibri" w:hAnsi="Arial" w:cs="Arial"/>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8.0547</w:t>
            </w:r>
          </w:p>
        </w:tc>
        <w:tc>
          <w:tcPr>
            <w:tcW w:w="1387" w:type="dxa"/>
            <w:tcBorders>
              <w:top w:val="single" w:sz="4" w:space="0" w:color="auto"/>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13.5142</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931"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3.63000</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.010</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.9003</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6.3597</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931"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-1.38111</w:t>
            </w:r>
          </w:p>
        </w:tc>
        <w:tc>
          <w:tcPr>
            <w:tcW w:w="1005"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.315</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-4.1108</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1.3486</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931"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12.46222</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9.7325</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15.1919</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931"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1.55444</w:t>
            </w:r>
          </w:p>
        </w:tc>
        <w:tc>
          <w:tcPr>
            <w:tcW w:w="1005"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.259</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-1.1753</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4.2842</w:t>
            </w:r>
          </w:p>
        </w:tc>
      </w:tr>
      <w:tr w:rsidR="00C00AE3" w:rsidRPr="00B013ED" w:rsidTr="00C00AE3">
        <w:trPr>
          <w:cantSplit/>
        </w:trPr>
        <w:tc>
          <w:tcPr>
            <w:tcW w:w="1299"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bottom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931" w:type="dxa"/>
            <w:tcBorders>
              <w:left w:val="single" w:sz="1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.18000</w:t>
            </w:r>
          </w:p>
        </w:tc>
        <w:tc>
          <w:tcPr>
            <w:tcW w:w="1005" w:type="dxa"/>
            <w:tcBorders>
              <w:left w:val="single" w:sz="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.895</w:t>
            </w:r>
          </w:p>
        </w:tc>
        <w:tc>
          <w:tcPr>
            <w:tcW w:w="1387" w:type="dxa"/>
            <w:tcBorders>
              <w:left w:val="single" w:sz="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-2.5497</w:t>
            </w:r>
          </w:p>
        </w:tc>
        <w:tc>
          <w:tcPr>
            <w:tcW w:w="1387" w:type="dxa"/>
            <w:tcBorders>
              <w:left w:val="single" w:sz="8" w:space="0" w:color="000000"/>
              <w:bottom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2.9097</w:t>
            </w:r>
          </w:p>
        </w:tc>
      </w:tr>
      <w:tr w:rsidR="00C00AE3" w:rsidRPr="00B013ED" w:rsidTr="00C00AE3">
        <w:trPr>
          <w:cantSplit/>
        </w:trPr>
        <w:tc>
          <w:tcPr>
            <w:tcW w:w="1299"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575" w:type="dxa"/>
            <w:tcBorders>
              <w:top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931" w:type="dxa"/>
            <w:tcBorders>
              <w:top w:val="single" w:sz="4" w:space="0" w:color="auto"/>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12.16556</w:t>
            </w:r>
            <w:r w:rsidRPr="00B013ED">
              <w:rPr>
                <w:rFonts w:ascii="Arial" w:eastAsia="Calibri" w:hAnsi="Arial" w:cs="Arial"/>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9.4358</w:t>
            </w:r>
          </w:p>
        </w:tc>
        <w:tc>
          <w:tcPr>
            <w:tcW w:w="1387" w:type="dxa"/>
            <w:tcBorders>
              <w:top w:val="single" w:sz="4" w:space="0" w:color="auto"/>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14.8953</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931"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5.01111</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.001</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2.2814</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7.7408</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931"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1.38111</w:t>
            </w:r>
          </w:p>
        </w:tc>
        <w:tc>
          <w:tcPr>
            <w:tcW w:w="1005"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.315</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-1.3486</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4.1108</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931"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13.84333</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11.1136</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16.5730</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931"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2.93556</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.036</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.2058</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5.6653</w:t>
            </w:r>
          </w:p>
        </w:tc>
      </w:tr>
      <w:tr w:rsidR="00C00AE3" w:rsidRPr="00B013ED" w:rsidTr="00C00AE3">
        <w:trPr>
          <w:cantSplit/>
        </w:trPr>
        <w:tc>
          <w:tcPr>
            <w:tcW w:w="1299"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bottom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931" w:type="dxa"/>
            <w:tcBorders>
              <w:left w:val="single" w:sz="1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1.56111</w:t>
            </w:r>
          </w:p>
        </w:tc>
        <w:tc>
          <w:tcPr>
            <w:tcW w:w="1005" w:type="dxa"/>
            <w:tcBorders>
              <w:left w:val="single" w:sz="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.257</w:t>
            </w:r>
          </w:p>
        </w:tc>
        <w:tc>
          <w:tcPr>
            <w:tcW w:w="1387" w:type="dxa"/>
            <w:tcBorders>
              <w:left w:val="single" w:sz="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-1.1686</w:t>
            </w:r>
          </w:p>
        </w:tc>
        <w:tc>
          <w:tcPr>
            <w:tcW w:w="1387" w:type="dxa"/>
            <w:tcBorders>
              <w:left w:val="single" w:sz="8" w:space="0" w:color="000000"/>
              <w:bottom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4.2908</w:t>
            </w:r>
          </w:p>
        </w:tc>
      </w:tr>
      <w:tr w:rsidR="00C00AE3" w:rsidRPr="00B013ED" w:rsidTr="00C00AE3">
        <w:trPr>
          <w:cantSplit/>
        </w:trPr>
        <w:tc>
          <w:tcPr>
            <w:tcW w:w="1299"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575" w:type="dxa"/>
            <w:tcBorders>
              <w:top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931" w:type="dxa"/>
            <w:tcBorders>
              <w:top w:val="single" w:sz="4" w:space="0" w:color="auto"/>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-1.67778</w:t>
            </w:r>
          </w:p>
        </w:tc>
        <w:tc>
          <w:tcPr>
            <w:tcW w:w="1005" w:type="dxa"/>
            <w:tcBorders>
              <w:top w:val="single" w:sz="4" w:space="0" w:color="auto"/>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.223</w:t>
            </w:r>
          </w:p>
        </w:tc>
        <w:tc>
          <w:tcPr>
            <w:tcW w:w="1387" w:type="dxa"/>
            <w:tcBorders>
              <w:top w:val="single" w:sz="4" w:space="0" w:color="auto"/>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-4.4075</w:t>
            </w:r>
          </w:p>
        </w:tc>
        <w:tc>
          <w:tcPr>
            <w:tcW w:w="1387" w:type="dxa"/>
            <w:tcBorders>
              <w:top w:val="single" w:sz="4" w:space="0" w:color="auto"/>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1.0519</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931"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-8.83222</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-11.5619</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-6.1025</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931"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-12.46222</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-15.1919</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-9.7325</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931"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-13.84333</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-16.5730</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-11.1136</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931"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-10.90778</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-13.6375</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-8.1781</w:t>
            </w:r>
          </w:p>
        </w:tc>
      </w:tr>
      <w:tr w:rsidR="00C00AE3" w:rsidRPr="00B013ED" w:rsidTr="00C00AE3">
        <w:trPr>
          <w:cantSplit/>
        </w:trPr>
        <w:tc>
          <w:tcPr>
            <w:tcW w:w="1299"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bottom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931" w:type="dxa"/>
            <w:tcBorders>
              <w:left w:val="single" w:sz="1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-12.28222</w:t>
            </w:r>
            <w:r w:rsidRPr="00B013ED">
              <w:rPr>
                <w:rFonts w:ascii="Arial" w:eastAsia="Calibri" w:hAnsi="Arial" w:cs="Arial"/>
                <w:color w:val="000000"/>
                <w:sz w:val="18"/>
                <w:szCs w:val="18"/>
                <w:vertAlign w:val="superscript"/>
              </w:rPr>
              <w:t>*</w:t>
            </w:r>
          </w:p>
        </w:tc>
        <w:tc>
          <w:tcPr>
            <w:tcW w:w="1005" w:type="dxa"/>
            <w:tcBorders>
              <w:left w:val="single" w:sz="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-15.0119</w:t>
            </w:r>
          </w:p>
        </w:tc>
        <w:tc>
          <w:tcPr>
            <w:tcW w:w="1387" w:type="dxa"/>
            <w:tcBorders>
              <w:left w:val="single" w:sz="8" w:space="0" w:color="000000"/>
              <w:bottom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-9.5525</w:t>
            </w:r>
          </w:p>
        </w:tc>
      </w:tr>
      <w:tr w:rsidR="00C00AE3" w:rsidRPr="00B013ED" w:rsidTr="00C00AE3">
        <w:trPr>
          <w:cantSplit/>
        </w:trPr>
        <w:tc>
          <w:tcPr>
            <w:tcW w:w="1299"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575" w:type="dxa"/>
            <w:tcBorders>
              <w:top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931" w:type="dxa"/>
            <w:tcBorders>
              <w:top w:val="single" w:sz="4" w:space="0" w:color="auto"/>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9.23000</w:t>
            </w:r>
            <w:r w:rsidRPr="00B013ED">
              <w:rPr>
                <w:rFonts w:ascii="Arial" w:eastAsia="Calibri" w:hAnsi="Arial" w:cs="Arial"/>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6.5003</w:t>
            </w:r>
          </w:p>
        </w:tc>
        <w:tc>
          <w:tcPr>
            <w:tcW w:w="1387" w:type="dxa"/>
            <w:tcBorders>
              <w:top w:val="single" w:sz="4" w:space="0" w:color="auto"/>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11.9597</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931"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2.07556</w:t>
            </w:r>
          </w:p>
        </w:tc>
        <w:tc>
          <w:tcPr>
            <w:tcW w:w="1005"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.133</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-.6542</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4.8053</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931"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-1.55444</w:t>
            </w:r>
          </w:p>
        </w:tc>
        <w:tc>
          <w:tcPr>
            <w:tcW w:w="1005"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.259</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-4.2842</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1.1753</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931"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-2.93556</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.036</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-5.6653</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-.2058</w:t>
            </w:r>
          </w:p>
        </w:tc>
      </w:tr>
      <w:tr w:rsidR="00C00AE3" w:rsidRPr="00B013ED" w:rsidTr="00C00AE3">
        <w:trPr>
          <w:cantSplit/>
        </w:trPr>
        <w:tc>
          <w:tcPr>
            <w:tcW w:w="1299"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931"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10.90778</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8.1781</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13.6375</w:t>
            </w:r>
          </w:p>
        </w:tc>
      </w:tr>
      <w:tr w:rsidR="00C00AE3" w:rsidRPr="00B013ED" w:rsidTr="00C00AE3">
        <w:trPr>
          <w:cantSplit/>
        </w:trPr>
        <w:tc>
          <w:tcPr>
            <w:tcW w:w="1299"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bottom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931" w:type="dxa"/>
            <w:tcBorders>
              <w:left w:val="single" w:sz="1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-1.37444</w:t>
            </w:r>
          </w:p>
        </w:tc>
        <w:tc>
          <w:tcPr>
            <w:tcW w:w="1005" w:type="dxa"/>
            <w:tcBorders>
              <w:left w:val="single" w:sz="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.317</w:t>
            </w:r>
          </w:p>
        </w:tc>
        <w:tc>
          <w:tcPr>
            <w:tcW w:w="1387" w:type="dxa"/>
            <w:tcBorders>
              <w:left w:val="single" w:sz="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-4.1042</w:t>
            </w:r>
          </w:p>
        </w:tc>
        <w:tc>
          <w:tcPr>
            <w:tcW w:w="1387" w:type="dxa"/>
            <w:tcBorders>
              <w:left w:val="single" w:sz="8" w:space="0" w:color="000000"/>
              <w:bottom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1.3553</w:t>
            </w:r>
          </w:p>
        </w:tc>
      </w:tr>
      <w:tr w:rsidR="00C00AE3" w:rsidRPr="00B013ED" w:rsidTr="00C00AE3">
        <w:trPr>
          <w:cantSplit/>
        </w:trPr>
        <w:tc>
          <w:tcPr>
            <w:tcW w:w="1299" w:type="dxa"/>
            <w:vMerge w:val="restart"/>
            <w:tcBorders>
              <w:top w:val="single" w:sz="4" w:space="0" w:color="auto"/>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575" w:type="dxa"/>
            <w:tcBorders>
              <w:top w:val="single" w:sz="4" w:space="0" w:color="auto"/>
              <w:right w:val="single" w:sz="1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931" w:type="dxa"/>
            <w:tcBorders>
              <w:top w:val="single" w:sz="4" w:space="0" w:color="auto"/>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10.60444</w:t>
            </w:r>
            <w:r w:rsidRPr="00B013ED">
              <w:rPr>
                <w:rFonts w:ascii="Arial" w:eastAsia="Calibri" w:hAnsi="Arial" w:cs="Arial"/>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7.8747</w:t>
            </w:r>
          </w:p>
        </w:tc>
        <w:tc>
          <w:tcPr>
            <w:tcW w:w="1387" w:type="dxa"/>
            <w:tcBorders>
              <w:top w:val="single" w:sz="4" w:space="0" w:color="auto"/>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13.3342</w:t>
            </w:r>
          </w:p>
        </w:tc>
      </w:tr>
      <w:tr w:rsidR="00C00AE3" w:rsidRPr="00B013ED" w:rsidTr="00C00AE3">
        <w:trPr>
          <w:cantSplit/>
        </w:trPr>
        <w:tc>
          <w:tcPr>
            <w:tcW w:w="1299"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931"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3.45000</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.014</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.7203</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6.1797</w:t>
            </w:r>
          </w:p>
        </w:tc>
      </w:tr>
      <w:tr w:rsidR="00C00AE3" w:rsidRPr="00B013ED" w:rsidTr="00C00AE3">
        <w:trPr>
          <w:cantSplit/>
        </w:trPr>
        <w:tc>
          <w:tcPr>
            <w:tcW w:w="1299"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931"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-.18000</w:t>
            </w:r>
          </w:p>
        </w:tc>
        <w:tc>
          <w:tcPr>
            <w:tcW w:w="1005"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.895</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-2.9097</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2.5497</w:t>
            </w:r>
          </w:p>
        </w:tc>
      </w:tr>
      <w:tr w:rsidR="00C00AE3" w:rsidRPr="00B013ED" w:rsidTr="00C00AE3">
        <w:trPr>
          <w:cantSplit/>
        </w:trPr>
        <w:tc>
          <w:tcPr>
            <w:tcW w:w="1299"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931"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-1.56111</w:t>
            </w:r>
          </w:p>
        </w:tc>
        <w:tc>
          <w:tcPr>
            <w:tcW w:w="1005"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.257</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-4.2908</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1.1686</w:t>
            </w:r>
          </w:p>
        </w:tc>
      </w:tr>
      <w:tr w:rsidR="00C00AE3" w:rsidRPr="00B013ED" w:rsidTr="00C00AE3">
        <w:trPr>
          <w:cantSplit/>
        </w:trPr>
        <w:tc>
          <w:tcPr>
            <w:tcW w:w="1299"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right w:val="single" w:sz="1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931"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12.28222</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9.5525</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15.0119</w:t>
            </w:r>
          </w:p>
        </w:tc>
      </w:tr>
      <w:tr w:rsidR="00C00AE3" w:rsidRPr="00B013ED" w:rsidTr="00C00AE3">
        <w:trPr>
          <w:cantSplit/>
        </w:trPr>
        <w:tc>
          <w:tcPr>
            <w:tcW w:w="1299"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textAlignment w:val="baseline"/>
              <w:rPr>
                <w:rFonts w:ascii="Arial" w:eastAsia="Calibri" w:hAnsi="Arial" w:cs="Arial"/>
                <w:color w:val="000000"/>
                <w:sz w:val="18"/>
                <w:szCs w:val="18"/>
              </w:rPr>
            </w:pPr>
          </w:p>
        </w:tc>
        <w:tc>
          <w:tcPr>
            <w:tcW w:w="1575" w:type="dxa"/>
            <w:tcBorders>
              <w:bottom w:val="single" w:sz="1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931" w:type="dxa"/>
            <w:tcBorders>
              <w:left w:val="single" w:sz="1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1.37444</w:t>
            </w:r>
          </w:p>
        </w:tc>
        <w:tc>
          <w:tcPr>
            <w:tcW w:w="1005" w:type="dxa"/>
            <w:tcBorders>
              <w:left w:val="single" w:sz="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.317</w:t>
            </w:r>
          </w:p>
        </w:tc>
        <w:tc>
          <w:tcPr>
            <w:tcW w:w="1387" w:type="dxa"/>
            <w:tcBorders>
              <w:left w:val="single" w:sz="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-1.3553</w:t>
            </w:r>
          </w:p>
        </w:tc>
        <w:tc>
          <w:tcPr>
            <w:tcW w:w="1387" w:type="dxa"/>
            <w:tcBorders>
              <w:left w:val="single" w:sz="8" w:space="0" w:color="000000"/>
              <w:bottom w:val="single" w:sz="1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C00AE3" w:rsidRPr="00B013ED" w:rsidRDefault="00C00AE3" w:rsidP="00C00AE3">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4.1042</w:t>
            </w:r>
          </w:p>
        </w:tc>
      </w:tr>
    </w:tbl>
    <w:p w:rsidR="00C00AE3" w:rsidRPr="00C00AE3" w:rsidRDefault="00C00AE3" w:rsidP="00C00AE3">
      <w:pPr>
        <w:rPr>
          <w:lang w:eastAsia="zh-CN"/>
        </w:rPr>
      </w:pPr>
    </w:p>
    <w:p w:rsidR="00EC38E2" w:rsidRPr="00C00AE3" w:rsidRDefault="001C618A" w:rsidP="00C00AE3">
      <w:pPr>
        <w:suppressAutoHyphens/>
        <w:autoSpaceDN w:val="0"/>
        <w:textAlignment w:val="baseline"/>
        <w:rPr>
          <w:rFonts w:eastAsia="Calibri" w:cstheme="minorBidi"/>
          <w:sz w:val="20"/>
          <w:szCs w:val="20"/>
        </w:rPr>
      </w:pPr>
      <w:r w:rsidRPr="00B013ED">
        <w:rPr>
          <w:rFonts w:eastAsia="Calibri" w:cstheme="minorBidi"/>
          <w:sz w:val="20"/>
          <w:szCs w:val="20"/>
        </w:rPr>
        <w:t>*. The mean difference is significant at the 0.05 level.</w:t>
      </w:r>
    </w:p>
    <w:p w:rsidR="001C618A" w:rsidRDefault="001C618A">
      <w:pPr>
        <w:rPr>
          <w:rFonts w:eastAsia="Times New Roman"/>
          <w:b/>
          <w:color w:val="000000"/>
          <w:lang w:eastAsia="en-GB"/>
        </w:rPr>
      </w:pPr>
      <w:r>
        <w:rPr>
          <w:rFonts w:eastAsia="Times New Roman"/>
          <w:b/>
          <w:color w:val="000000"/>
          <w:lang w:eastAsia="en-GB"/>
        </w:rPr>
        <w:br w:type="page"/>
      </w:r>
    </w:p>
    <w:p w:rsidR="007D5372" w:rsidRDefault="007D5372" w:rsidP="00EC38E2">
      <w:pPr>
        <w:spacing w:after="120" w:line="480" w:lineRule="auto"/>
        <w:jc w:val="both"/>
        <w:rPr>
          <w:rFonts w:eastAsia="Times New Roman"/>
          <w:b/>
          <w:i/>
          <w:iCs/>
          <w:color w:val="000000"/>
          <w:szCs w:val="24"/>
          <w:lang w:eastAsia="en-GB"/>
        </w:rPr>
      </w:pPr>
    </w:p>
    <w:p w:rsidR="00EC38E2" w:rsidRPr="00E776B0" w:rsidRDefault="00E776B0" w:rsidP="00EC38E2">
      <w:pPr>
        <w:spacing w:after="120" w:line="480" w:lineRule="auto"/>
        <w:jc w:val="both"/>
        <w:rPr>
          <w:rFonts w:eastAsia="Times New Roman"/>
          <w:b/>
          <w:color w:val="000000"/>
          <w:szCs w:val="24"/>
          <w:lang w:eastAsia="en-GB"/>
        </w:rPr>
      </w:pPr>
      <w:r w:rsidRPr="00E776B0">
        <w:rPr>
          <w:rFonts w:eastAsia="Times New Roman"/>
          <w:b/>
          <w:i/>
          <w:iCs/>
          <w:color w:val="000000"/>
          <w:szCs w:val="24"/>
          <w:lang w:eastAsia="en-GB"/>
        </w:rPr>
        <w:t xml:space="preserve">F. </w:t>
      </w:r>
      <w:r w:rsidR="00EC38E2" w:rsidRPr="00E776B0">
        <w:rPr>
          <w:rFonts w:eastAsia="Times New Roman"/>
          <w:b/>
          <w:i/>
          <w:iCs/>
          <w:color w:val="000000"/>
          <w:szCs w:val="24"/>
          <w:lang w:eastAsia="en-GB"/>
        </w:rPr>
        <w:t>nucleatum</w:t>
      </w:r>
      <w:r w:rsidR="00EC38E2" w:rsidRPr="00E776B0">
        <w:rPr>
          <w:rFonts w:eastAsia="Times New Roman"/>
          <w:b/>
          <w:color w:val="000000"/>
          <w:szCs w:val="24"/>
          <w:lang w:eastAsia="en-GB"/>
        </w:rPr>
        <w:t xml:space="preserve"> (ACTC 10953)</w:t>
      </w:r>
    </w:p>
    <w:p w:rsidR="00374B77" w:rsidRPr="00374B77" w:rsidRDefault="0025608B" w:rsidP="00374B77">
      <w:pPr>
        <w:spacing w:after="120" w:line="480" w:lineRule="auto"/>
        <w:jc w:val="both"/>
        <w:rPr>
          <w:rFonts w:cstheme="minorBidi"/>
          <w:bCs/>
          <w:szCs w:val="24"/>
        </w:rPr>
      </w:pPr>
      <w:r w:rsidRPr="00C00AE3">
        <w:rPr>
          <w:rFonts w:eastAsia="Times New Roman" w:cstheme="minorBidi"/>
          <w:bCs/>
          <w:szCs w:val="24"/>
          <w:lang w:eastAsia="en-GB"/>
        </w:rPr>
        <w:t xml:space="preserve">The values for mean zone of inhibition (mm) are shown in </w:t>
      </w:r>
      <w:r w:rsidR="00C00AE3" w:rsidRPr="00C00AE3">
        <w:rPr>
          <w:rFonts w:eastAsia="Times New Roman" w:cstheme="minorBidi"/>
          <w:bCs/>
          <w:szCs w:val="24"/>
          <w:lang w:eastAsia="en-GB"/>
        </w:rPr>
        <w:fldChar w:fldCharType="begin"/>
      </w:r>
      <w:r w:rsidR="00C00AE3" w:rsidRPr="00C00AE3">
        <w:rPr>
          <w:rFonts w:eastAsia="Times New Roman" w:cstheme="minorBidi"/>
          <w:bCs/>
          <w:szCs w:val="24"/>
          <w:lang w:eastAsia="en-GB"/>
        </w:rPr>
        <w:instrText xml:space="preserve"> REF _Ref361093904 \h  \* MERGEFORMAT </w:instrText>
      </w:r>
      <w:r w:rsidR="00C00AE3" w:rsidRPr="00C00AE3">
        <w:rPr>
          <w:rFonts w:eastAsia="Times New Roman" w:cstheme="minorBidi"/>
          <w:bCs/>
          <w:szCs w:val="24"/>
          <w:lang w:eastAsia="en-GB"/>
        </w:rPr>
      </w:r>
      <w:r w:rsidR="00C00AE3" w:rsidRPr="00C00AE3">
        <w:rPr>
          <w:rFonts w:eastAsia="Times New Roman" w:cstheme="minorBidi"/>
          <w:bCs/>
          <w:szCs w:val="24"/>
          <w:lang w:eastAsia="en-GB"/>
        </w:rPr>
        <w:fldChar w:fldCharType="separate"/>
      </w:r>
      <w:r w:rsidR="00374B77" w:rsidRPr="00374B77">
        <w:rPr>
          <w:rFonts w:cstheme="minorBidi"/>
          <w:bCs/>
          <w:szCs w:val="24"/>
        </w:rPr>
        <w:t xml:space="preserve">Table </w:t>
      </w:r>
      <w:r w:rsidR="00374B77" w:rsidRPr="00374B77">
        <w:rPr>
          <w:rFonts w:cstheme="minorBidi"/>
          <w:bCs/>
          <w:noProof/>
          <w:szCs w:val="24"/>
          <w:cs/>
        </w:rPr>
        <w:t>‎</w:t>
      </w:r>
      <w:r w:rsidR="00374B77">
        <w:rPr>
          <w:rFonts w:cstheme="minorBidi"/>
          <w:b/>
          <w:bCs/>
          <w:noProof/>
          <w:sz w:val="20"/>
          <w:szCs w:val="20"/>
        </w:rPr>
        <w:t>3.16</w:t>
      </w:r>
      <w:r w:rsidR="00C00AE3" w:rsidRPr="00C00AE3">
        <w:rPr>
          <w:rFonts w:eastAsia="Times New Roman" w:cstheme="minorBidi"/>
          <w:bCs/>
          <w:szCs w:val="24"/>
          <w:lang w:eastAsia="en-GB"/>
        </w:rPr>
        <w:fldChar w:fldCharType="end"/>
      </w:r>
      <w:r w:rsidR="002C70D6">
        <w:rPr>
          <w:rFonts w:eastAsia="Times New Roman" w:cstheme="minorBidi"/>
          <w:bCs/>
          <w:szCs w:val="24"/>
          <w:lang w:eastAsia="en-GB"/>
        </w:rPr>
        <w:t xml:space="preserve"> </w:t>
      </w:r>
      <w:r w:rsidRPr="00C00AE3">
        <w:rPr>
          <w:rFonts w:eastAsia="Times New Roman" w:cstheme="minorBidi"/>
          <w:bCs/>
          <w:szCs w:val="24"/>
          <w:lang w:eastAsia="en-GB"/>
        </w:rPr>
        <w:t xml:space="preserve">and </w:t>
      </w:r>
      <w:r w:rsidRPr="00C00AE3">
        <w:rPr>
          <w:rFonts w:eastAsia="Times New Roman" w:cstheme="minorBidi"/>
          <w:bCs/>
          <w:szCs w:val="24"/>
          <w:lang w:eastAsia="en-GB"/>
        </w:rPr>
        <w:fldChar w:fldCharType="begin"/>
      </w:r>
      <w:r w:rsidRPr="00C00AE3">
        <w:rPr>
          <w:rFonts w:eastAsia="Times New Roman" w:cstheme="minorBidi"/>
          <w:bCs/>
          <w:szCs w:val="24"/>
          <w:lang w:eastAsia="en-GB"/>
        </w:rPr>
        <w:instrText xml:space="preserve"> REF _Ref360530211 \h  \* MERGEFORMAT </w:instrText>
      </w:r>
      <w:r w:rsidRPr="00C00AE3">
        <w:rPr>
          <w:rFonts w:eastAsia="Times New Roman" w:cstheme="minorBidi"/>
          <w:bCs/>
          <w:szCs w:val="24"/>
          <w:lang w:eastAsia="en-GB"/>
        </w:rPr>
      </w:r>
      <w:r w:rsidRPr="00C00AE3">
        <w:rPr>
          <w:rFonts w:eastAsia="Times New Roman" w:cstheme="minorBidi"/>
          <w:bCs/>
          <w:szCs w:val="24"/>
          <w:lang w:eastAsia="en-GB"/>
        </w:rPr>
        <w:fldChar w:fldCharType="separate"/>
      </w:r>
    </w:p>
    <w:p w:rsidR="0025608B" w:rsidRPr="00C00AE3" w:rsidRDefault="00374B77" w:rsidP="00C00AE3">
      <w:pPr>
        <w:spacing w:after="120" w:line="480" w:lineRule="auto"/>
        <w:jc w:val="both"/>
        <w:rPr>
          <w:rFonts w:eastAsia="Times New Roman" w:cstheme="minorBidi"/>
          <w:bCs/>
          <w:szCs w:val="24"/>
          <w:lang w:eastAsia="en-GB"/>
        </w:rPr>
      </w:pPr>
      <w:r w:rsidRPr="00374B77">
        <w:rPr>
          <w:rFonts w:cstheme="minorBidi"/>
          <w:bCs/>
          <w:szCs w:val="24"/>
        </w:rPr>
        <w:t>Figure</w:t>
      </w:r>
      <w:r w:rsidRPr="00374B77">
        <w:rPr>
          <w:rFonts w:cstheme="minorBidi"/>
          <w:bCs/>
          <w:noProof/>
          <w:szCs w:val="24"/>
        </w:rPr>
        <w:t xml:space="preserve"> </w:t>
      </w:r>
      <w:r w:rsidRPr="00374B77">
        <w:rPr>
          <w:rFonts w:cstheme="minorBidi"/>
          <w:bCs/>
          <w:noProof/>
          <w:szCs w:val="24"/>
          <w:cs/>
        </w:rPr>
        <w:t>‎</w:t>
      </w:r>
      <w:r>
        <w:rPr>
          <w:rFonts w:cstheme="minorBidi"/>
          <w:b/>
          <w:bCs/>
          <w:noProof/>
          <w:sz w:val="20"/>
          <w:szCs w:val="20"/>
        </w:rPr>
        <w:t>3.16</w:t>
      </w:r>
      <w:r w:rsidR="0025608B" w:rsidRPr="00C00AE3">
        <w:rPr>
          <w:rFonts w:eastAsia="Times New Roman" w:cstheme="minorBidi"/>
          <w:bCs/>
          <w:szCs w:val="24"/>
          <w:lang w:eastAsia="en-GB"/>
        </w:rPr>
        <w:fldChar w:fldCharType="end"/>
      </w:r>
      <w:r w:rsidR="0025608B" w:rsidRPr="00C00AE3">
        <w:rPr>
          <w:rFonts w:eastAsia="Times New Roman" w:cstheme="minorBidi"/>
          <w:bCs/>
          <w:szCs w:val="24"/>
          <w:lang w:eastAsia="en-GB"/>
        </w:rPr>
        <w:t xml:space="preserve">. It can be seen that </w:t>
      </w:r>
      <w:r w:rsidR="006D7451" w:rsidRPr="00C00AE3">
        <w:rPr>
          <w:rFonts w:eastAsia="Times New Roman" w:cstheme="minorBidi"/>
          <w:bCs/>
          <w:szCs w:val="24"/>
          <w:lang w:eastAsia="en-GB"/>
        </w:rPr>
        <w:t>(</w:t>
      </w:r>
      <w:r w:rsidR="0025608B" w:rsidRPr="00C00AE3">
        <w:rPr>
          <w:rFonts w:eastAsia="Times New Roman" w:cstheme="minorBidi"/>
          <w:bCs/>
          <w:szCs w:val="24"/>
          <w:lang w:eastAsia="en-GB"/>
        </w:rPr>
        <w:t>NSCH</w:t>
      </w:r>
      <w:r w:rsidR="006D7451" w:rsidRPr="00C00AE3">
        <w:rPr>
          <w:rFonts w:eastAsia="Times New Roman" w:cstheme="minorBidi"/>
          <w:bCs/>
          <w:szCs w:val="24"/>
          <w:lang w:eastAsia="en-GB"/>
        </w:rPr>
        <w:t>)</w:t>
      </w:r>
      <w:r w:rsidR="0025608B" w:rsidRPr="00C00AE3">
        <w:rPr>
          <w:rFonts w:eastAsia="Times New Roman" w:cstheme="minorBidi"/>
          <w:bCs/>
          <w:szCs w:val="24"/>
          <w:lang w:eastAsia="en-GB"/>
        </w:rPr>
        <w:t xml:space="preserve"> had no effect against </w:t>
      </w:r>
      <w:r w:rsidR="0025608B" w:rsidRPr="00C00AE3">
        <w:rPr>
          <w:rFonts w:eastAsia="Times New Roman"/>
          <w:bCs/>
          <w:i/>
          <w:iCs/>
          <w:szCs w:val="24"/>
          <w:lang w:eastAsia="en-GB"/>
        </w:rPr>
        <w:t>F.nucleatum</w:t>
      </w:r>
      <w:r w:rsidR="006D7451" w:rsidRPr="00C00AE3">
        <w:rPr>
          <w:rFonts w:eastAsia="Times New Roman" w:cstheme="minorBidi"/>
          <w:bCs/>
          <w:szCs w:val="24"/>
          <w:lang w:eastAsia="en-GB"/>
        </w:rPr>
        <w:t xml:space="preserve"> and the largest inhibition zone was </w:t>
      </w:r>
      <w:r w:rsidR="006D7451" w:rsidRPr="00C00AE3">
        <w:rPr>
          <w:bCs/>
          <w:szCs w:val="24"/>
          <w:lang w:eastAsia="en-GB"/>
        </w:rPr>
        <w:t xml:space="preserve">43.42 </w:t>
      </w:r>
      <w:r w:rsidR="00313C48" w:rsidRPr="00C00AE3">
        <w:rPr>
          <w:bCs/>
          <w:szCs w:val="24"/>
          <w:lang w:eastAsia="en-GB"/>
        </w:rPr>
        <w:t>mm (1.82)</w:t>
      </w:r>
      <w:r w:rsidR="006D7451" w:rsidRPr="00C00AE3">
        <w:rPr>
          <w:rFonts w:eastAsia="Times New Roman" w:cstheme="minorBidi"/>
          <w:bCs/>
          <w:szCs w:val="24"/>
          <w:lang w:eastAsia="en-GB"/>
        </w:rPr>
        <w:t xml:space="preserve"> for</w:t>
      </w:r>
      <w:r w:rsidR="0025608B" w:rsidRPr="00C00AE3">
        <w:rPr>
          <w:rFonts w:cstheme="minorBidi"/>
          <w:bCs/>
          <w:szCs w:val="24"/>
          <w:lang w:eastAsia="en-GB"/>
        </w:rPr>
        <w:t xml:space="preserve"> </w:t>
      </w:r>
      <w:r w:rsidR="006D7451" w:rsidRPr="00C00AE3">
        <w:rPr>
          <w:bCs/>
          <w:szCs w:val="24"/>
          <w:lang w:eastAsia="en-GB"/>
        </w:rPr>
        <w:t>Minocycline</w:t>
      </w:r>
      <w:r w:rsidR="0025608B" w:rsidRPr="00C00AE3">
        <w:rPr>
          <w:rFonts w:eastAsia="Times New Roman" w:cstheme="minorBidi"/>
          <w:bCs/>
          <w:szCs w:val="24"/>
          <w:lang w:eastAsia="en-GB"/>
        </w:rPr>
        <w:t xml:space="preserve">. </w:t>
      </w:r>
    </w:p>
    <w:p w:rsidR="0025608B" w:rsidRDefault="0025608B" w:rsidP="00EC38E2">
      <w:pPr>
        <w:spacing w:after="120" w:line="480" w:lineRule="auto"/>
        <w:jc w:val="both"/>
        <w:rPr>
          <w:rFonts w:eastAsia="Times New Roman"/>
          <w:b/>
          <w:color w:val="000000"/>
          <w:lang w:eastAsia="en-GB"/>
        </w:rPr>
      </w:pPr>
    </w:p>
    <w:p w:rsidR="00C00AE3" w:rsidRPr="00C00AE3" w:rsidRDefault="00C00AE3" w:rsidP="00FA5144">
      <w:pPr>
        <w:spacing w:after="120" w:line="480" w:lineRule="auto"/>
        <w:jc w:val="both"/>
        <w:rPr>
          <w:rFonts w:eastAsia="Times New Roman" w:cstheme="minorBidi"/>
          <w:b/>
          <w:bCs/>
          <w:color w:val="000000"/>
          <w:sz w:val="20"/>
          <w:szCs w:val="20"/>
          <w:lang w:eastAsia="en-GB"/>
        </w:rPr>
      </w:pPr>
      <w:bookmarkStart w:id="594" w:name="_Ref361093904"/>
      <w:bookmarkStart w:id="595" w:name="_Toc370511752"/>
      <w:proofErr w:type="gramStart"/>
      <w:r w:rsidRPr="00C00AE3">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16</w:t>
      </w:r>
      <w:r w:rsidR="00E7089D">
        <w:rPr>
          <w:rFonts w:cstheme="minorBidi"/>
          <w:b/>
          <w:bCs/>
          <w:sz w:val="20"/>
          <w:szCs w:val="20"/>
        </w:rPr>
        <w:fldChar w:fldCharType="end"/>
      </w:r>
      <w:bookmarkEnd w:id="594"/>
      <w:r w:rsidR="00FA5144">
        <w:rPr>
          <w:rFonts w:cstheme="minorBidi"/>
          <w:b/>
          <w:bCs/>
          <w:sz w:val="20"/>
          <w:szCs w:val="20"/>
        </w:rPr>
        <w:t xml:space="preserve"> R</w:t>
      </w:r>
      <w:r w:rsidRPr="00C00AE3">
        <w:rPr>
          <w:rFonts w:cstheme="minorBidi"/>
          <w:b/>
          <w:bCs/>
          <w:sz w:val="20"/>
          <w:szCs w:val="20"/>
        </w:rPr>
        <w:t xml:space="preserve">esults for the inhibition zone (mm) for </w:t>
      </w:r>
      <w:r w:rsidRPr="00C00AE3">
        <w:rPr>
          <w:rFonts w:eastAsia="Times New Roman" w:cstheme="minorBidi"/>
          <w:b/>
          <w:bCs/>
          <w:i/>
          <w:iCs/>
          <w:color w:val="000000"/>
          <w:sz w:val="20"/>
          <w:szCs w:val="20"/>
          <w:lang w:eastAsia="en-GB"/>
        </w:rPr>
        <w:t>F.nucleatum</w:t>
      </w:r>
      <w:r w:rsidRPr="00C00AE3">
        <w:rPr>
          <w:rFonts w:eastAsia="Times New Roman" w:cstheme="minorBidi"/>
          <w:b/>
          <w:bCs/>
          <w:color w:val="000000"/>
          <w:sz w:val="20"/>
          <w:szCs w:val="20"/>
          <w:lang w:eastAsia="en-GB"/>
        </w:rPr>
        <w:t xml:space="preserve"> </w:t>
      </w:r>
      <w:r w:rsidRPr="00C00AE3">
        <w:rPr>
          <w:rFonts w:cstheme="minorBidi"/>
          <w:b/>
          <w:bCs/>
          <w:sz w:val="20"/>
          <w:szCs w:val="20"/>
        </w:rPr>
        <w:t>with all the test materials.</w:t>
      </w:r>
      <w:bookmarkEnd w:id="595"/>
    </w:p>
    <w:p w:rsidR="00C00AE3" w:rsidRDefault="00C00AE3" w:rsidP="001D3F19"/>
    <w:tbl>
      <w:tblPr>
        <w:tblStyle w:val="TableGrid"/>
        <w:tblpPr w:leftFromText="180" w:rightFromText="180" w:vertAnchor="text" w:horzAnchor="margin" w:tblpXSpec="center" w:tblpY="161"/>
        <w:tblW w:w="0" w:type="auto"/>
        <w:tblLook w:val="04A0" w:firstRow="1" w:lastRow="0" w:firstColumn="1" w:lastColumn="0" w:noHBand="0" w:noVBand="1"/>
      </w:tblPr>
      <w:tblGrid>
        <w:gridCol w:w="2852"/>
        <w:gridCol w:w="2852"/>
        <w:gridCol w:w="2852"/>
      </w:tblGrid>
      <w:tr w:rsidR="00EC38E2" w:rsidRPr="00B013ED" w:rsidTr="00934FA3">
        <w:trPr>
          <w:trHeight w:val="681"/>
        </w:trPr>
        <w:tc>
          <w:tcPr>
            <w:tcW w:w="2852" w:type="dxa"/>
            <w:shd w:val="clear" w:color="auto" w:fill="17365D" w:themeFill="text2" w:themeFillShade="BF"/>
            <w:vAlign w:val="center"/>
          </w:tcPr>
          <w:p w:rsidR="00EC38E2" w:rsidRPr="002C70D6" w:rsidRDefault="00EC38E2" w:rsidP="002C70D6">
            <w:pPr>
              <w:spacing w:after="120" w:line="480" w:lineRule="auto"/>
              <w:jc w:val="center"/>
              <w:rPr>
                <w:b/>
                <w:color w:val="FFFFFF" w:themeColor="background1"/>
                <w:sz w:val="20"/>
                <w:lang w:eastAsia="en-GB"/>
              </w:rPr>
            </w:pPr>
            <w:r w:rsidRPr="002C70D6">
              <w:rPr>
                <w:b/>
                <w:color w:val="FFFFFF" w:themeColor="background1"/>
                <w:sz w:val="20"/>
                <w:lang w:eastAsia="en-GB"/>
              </w:rPr>
              <w:t>Test materials</w:t>
            </w:r>
          </w:p>
        </w:tc>
        <w:tc>
          <w:tcPr>
            <w:tcW w:w="2852" w:type="dxa"/>
            <w:shd w:val="clear" w:color="auto" w:fill="17365D" w:themeFill="text2" w:themeFillShade="BF"/>
            <w:vAlign w:val="center"/>
          </w:tcPr>
          <w:p w:rsidR="00EC38E2" w:rsidRPr="002C70D6" w:rsidRDefault="00EC38E2" w:rsidP="002C70D6">
            <w:pPr>
              <w:spacing w:after="120"/>
              <w:jc w:val="center"/>
              <w:rPr>
                <w:b/>
                <w:color w:val="FFFFFF" w:themeColor="background1"/>
                <w:sz w:val="20"/>
                <w:lang w:eastAsia="en-GB"/>
              </w:rPr>
            </w:pPr>
            <w:r w:rsidRPr="002C70D6">
              <w:rPr>
                <w:b/>
                <w:color w:val="FFFFFF" w:themeColor="background1"/>
                <w:sz w:val="20"/>
                <w:lang w:eastAsia="en-GB"/>
              </w:rPr>
              <w:t>Mean Zone of inhibition (MM) against P.gingivalis (W50)</w:t>
            </w:r>
          </w:p>
        </w:tc>
        <w:tc>
          <w:tcPr>
            <w:tcW w:w="2852" w:type="dxa"/>
            <w:shd w:val="clear" w:color="auto" w:fill="17365D" w:themeFill="text2" w:themeFillShade="BF"/>
            <w:vAlign w:val="center"/>
          </w:tcPr>
          <w:p w:rsidR="00EC38E2" w:rsidRPr="002C70D6" w:rsidRDefault="00EC38E2" w:rsidP="002C70D6">
            <w:pPr>
              <w:spacing w:after="120" w:line="480" w:lineRule="auto"/>
              <w:jc w:val="center"/>
              <w:rPr>
                <w:b/>
                <w:color w:val="FFFFFF" w:themeColor="background1"/>
                <w:lang w:eastAsia="en-GB"/>
              </w:rPr>
            </w:pPr>
            <w:r w:rsidRPr="002C70D6">
              <w:rPr>
                <w:b/>
                <w:color w:val="FFFFFF" w:themeColor="background1"/>
                <w:lang w:eastAsia="en-GB"/>
              </w:rPr>
              <w:t>SD</w:t>
            </w:r>
          </w:p>
        </w:tc>
      </w:tr>
      <w:tr w:rsidR="00EC38E2" w:rsidRPr="00B013ED" w:rsidTr="00934FA3">
        <w:trPr>
          <w:trHeight w:val="681"/>
        </w:trPr>
        <w:tc>
          <w:tcPr>
            <w:tcW w:w="2852" w:type="dxa"/>
            <w:shd w:val="clear" w:color="auto" w:fill="FDE9D9" w:themeFill="accent6" w:themeFillTint="33"/>
            <w:vAlign w:val="center"/>
          </w:tcPr>
          <w:p w:rsidR="00EC38E2" w:rsidRPr="00B013ED" w:rsidRDefault="00EC38E2" w:rsidP="002C70D6">
            <w:pPr>
              <w:spacing w:after="120" w:line="480" w:lineRule="auto"/>
              <w:jc w:val="center"/>
              <w:rPr>
                <w:b/>
                <w:color w:val="000000"/>
                <w:sz w:val="20"/>
                <w:lang w:eastAsia="en-GB"/>
              </w:rPr>
            </w:pPr>
            <w:r w:rsidRPr="00B013ED">
              <w:rPr>
                <w:b/>
                <w:color w:val="000000"/>
                <w:sz w:val="20"/>
                <w:lang w:eastAsia="en-GB"/>
              </w:rPr>
              <w:t>NSCH</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rPr>
                <w:b/>
                <w:color w:val="000000"/>
                <w:lang w:eastAsia="en-GB"/>
              </w:rPr>
              <w:t>No</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t>.00</w:t>
            </w:r>
          </w:p>
        </w:tc>
      </w:tr>
      <w:tr w:rsidR="00EC38E2" w:rsidRPr="00B013ED" w:rsidTr="00934FA3">
        <w:trPr>
          <w:trHeight w:val="681"/>
        </w:trPr>
        <w:tc>
          <w:tcPr>
            <w:tcW w:w="2852" w:type="dxa"/>
            <w:shd w:val="clear" w:color="auto" w:fill="FDE9D9" w:themeFill="accent6" w:themeFillTint="33"/>
            <w:vAlign w:val="center"/>
          </w:tcPr>
          <w:p w:rsidR="00EC38E2" w:rsidRPr="00B013ED" w:rsidRDefault="00EC38E2" w:rsidP="002C70D6">
            <w:pPr>
              <w:spacing w:after="120" w:line="480" w:lineRule="auto"/>
              <w:jc w:val="center"/>
              <w:rPr>
                <w:b/>
                <w:color w:val="000000"/>
                <w:sz w:val="20"/>
                <w:lang w:eastAsia="en-GB"/>
              </w:rPr>
            </w:pPr>
            <w:r w:rsidRPr="00B013ED">
              <w:rPr>
                <w:b/>
                <w:color w:val="000000"/>
                <w:sz w:val="20"/>
                <w:lang w:eastAsia="en-GB"/>
              </w:rPr>
              <w:t>MTA</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rPr>
                <w:b/>
                <w:color w:val="000000"/>
                <w:lang w:eastAsia="en-GB"/>
              </w:rPr>
              <w:t>25.55</w:t>
            </w:r>
            <w:r w:rsidR="0025608B">
              <w:rPr>
                <w:b/>
                <w:color w:val="000000"/>
                <w:lang w:eastAsia="en-GB"/>
              </w:rPr>
              <w:t xml:space="preserve"> </w:t>
            </w:r>
            <w:r w:rsidRPr="00B013ED">
              <w:rPr>
                <w:b/>
                <w:color w:val="000000"/>
                <w:lang w:eastAsia="en-GB"/>
              </w:rPr>
              <w:t>mm</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t>3.58</w:t>
            </w:r>
          </w:p>
        </w:tc>
      </w:tr>
      <w:tr w:rsidR="00EC38E2" w:rsidRPr="00B013ED" w:rsidTr="00934FA3">
        <w:trPr>
          <w:trHeight w:val="681"/>
        </w:trPr>
        <w:tc>
          <w:tcPr>
            <w:tcW w:w="2852" w:type="dxa"/>
            <w:shd w:val="clear" w:color="auto" w:fill="FDE9D9" w:themeFill="accent6" w:themeFillTint="33"/>
            <w:vAlign w:val="center"/>
          </w:tcPr>
          <w:p w:rsidR="00EC38E2" w:rsidRPr="00B013ED" w:rsidRDefault="00EC38E2" w:rsidP="002C70D6">
            <w:pPr>
              <w:spacing w:after="120" w:line="480" w:lineRule="auto"/>
              <w:jc w:val="center"/>
              <w:rPr>
                <w:b/>
                <w:color w:val="000000"/>
                <w:sz w:val="20"/>
                <w:lang w:eastAsia="en-GB"/>
              </w:rPr>
            </w:pPr>
            <w:r w:rsidRPr="00B013ED">
              <w:rPr>
                <w:b/>
                <w:color w:val="000000"/>
                <w:sz w:val="20"/>
                <w:lang w:eastAsia="en-GB"/>
              </w:rPr>
              <w:t>Minocycline (Mino)</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rPr>
                <w:b/>
                <w:color w:val="000000"/>
                <w:lang w:eastAsia="en-GB"/>
              </w:rPr>
              <w:t>43.42</w:t>
            </w:r>
            <w:r w:rsidR="0025608B">
              <w:rPr>
                <w:b/>
                <w:color w:val="000000"/>
                <w:lang w:eastAsia="en-GB"/>
              </w:rPr>
              <w:t xml:space="preserve"> </w:t>
            </w:r>
            <w:r w:rsidRPr="00B013ED">
              <w:rPr>
                <w:b/>
                <w:color w:val="000000"/>
                <w:lang w:eastAsia="en-GB"/>
              </w:rPr>
              <w:t>mm</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t>1.82</w:t>
            </w:r>
          </w:p>
        </w:tc>
      </w:tr>
      <w:tr w:rsidR="00EC38E2" w:rsidRPr="00B013ED" w:rsidTr="00934FA3">
        <w:trPr>
          <w:trHeight w:val="681"/>
        </w:trPr>
        <w:tc>
          <w:tcPr>
            <w:tcW w:w="2852" w:type="dxa"/>
            <w:shd w:val="clear" w:color="auto" w:fill="FDE9D9" w:themeFill="accent6" w:themeFillTint="33"/>
            <w:vAlign w:val="center"/>
          </w:tcPr>
          <w:p w:rsidR="00EC38E2" w:rsidRPr="00B013ED" w:rsidRDefault="00EC38E2" w:rsidP="002C70D6">
            <w:pPr>
              <w:spacing w:after="120" w:line="480" w:lineRule="auto"/>
              <w:jc w:val="center"/>
              <w:rPr>
                <w:b/>
                <w:color w:val="000000"/>
                <w:sz w:val="20"/>
                <w:lang w:eastAsia="en-GB"/>
              </w:rPr>
            </w:pPr>
            <w:r w:rsidRPr="00B013ED">
              <w:rPr>
                <w:b/>
                <w:color w:val="000000"/>
                <w:sz w:val="20"/>
                <w:lang w:eastAsia="en-GB"/>
              </w:rPr>
              <w:t>Ciprofloxacin (Cip)</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rPr>
                <w:b/>
                <w:color w:val="000000"/>
                <w:lang w:eastAsia="en-GB"/>
              </w:rPr>
              <w:t>43.02</w:t>
            </w:r>
            <w:r w:rsidR="0025608B">
              <w:rPr>
                <w:b/>
                <w:color w:val="000000"/>
                <w:lang w:eastAsia="en-GB"/>
              </w:rPr>
              <w:t xml:space="preserve"> </w:t>
            </w:r>
            <w:r w:rsidRPr="00B013ED">
              <w:rPr>
                <w:b/>
                <w:color w:val="000000"/>
                <w:lang w:eastAsia="en-GB"/>
              </w:rPr>
              <w:t>mm</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t>2.70</w:t>
            </w:r>
          </w:p>
        </w:tc>
      </w:tr>
      <w:tr w:rsidR="00EC38E2" w:rsidRPr="00B013ED" w:rsidTr="00934FA3">
        <w:trPr>
          <w:trHeight w:val="681"/>
        </w:trPr>
        <w:tc>
          <w:tcPr>
            <w:tcW w:w="2852" w:type="dxa"/>
            <w:shd w:val="clear" w:color="auto" w:fill="FDE9D9" w:themeFill="accent6" w:themeFillTint="33"/>
            <w:vAlign w:val="center"/>
          </w:tcPr>
          <w:p w:rsidR="00EC38E2" w:rsidRPr="00B013ED" w:rsidRDefault="00EC38E2" w:rsidP="002C70D6">
            <w:pPr>
              <w:spacing w:after="120" w:line="480" w:lineRule="auto"/>
              <w:jc w:val="center"/>
              <w:rPr>
                <w:b/>
                <w:color w:val="000000"/>
                <w:sz w:val="20"/>
                <w:lang w:eastAsia="en-GB"/>
              </w:rPr>
            </w:pPr>
            <w:r w:rsidRPr="00B013ED">
              <w:rPr>
                <w:b/>
                <w:color w:val="000000"/>
                <w:sz w:val="20"/>
                <w:lang w:eastAsia="en-GB"/>
              </w:rPr>
              <w:t>Metronidazol</w:t>
            </w:r>
            <w:r w:rsidR="00655AF0">
              <w:rPr>
                <w:b/>
                <w:color w:val="000000"/>
                <w:sz w:val="20"/>
                <w:lang w:eastAsia="en-GB"/>
              </w:rPr>
              <w:t>e</w:t>
            </w:r>
            <w:r w:rsidRPr="00B013ED">
              <w:rPr>
                <w:b/>
                <w:color w:val="000000"/>
                <w:sz w:val="20"/>
                <w:lang w:eastAsia="en-GB"/>
              </w:rPr>
              <w:t xml:space="preserve"> (Met)</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rPr>
                <w:b/>
                <w:color w:val="000000"/>
                <w:lang w:eastAsia="en-GB"/>
              </w:rPr>
              <w:t>34.44</w:t>
            </w:r>
            <w:r w:rsidR="0025608B">
              <w:rPr>
                <w:b/>
                <w:color w:val="000000"/>
                <w:lang w:eastAsia="en-GB"/>
              </w:rPr>
              <w:t xml:space="preserve"> </w:t>
            </w:r>
            <w:r w:rsidRPr="00B013ED">
              <w:rPr>
                <w:b/>
                <w:color w:val="000000"/>
                <w:lang w:eastAsia="en-GB"/>
              </w:rPr>
              <w:t>mm</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t>2.66</w:t>
            </w:r>
          </w:p>
        </w:tc>
      </w:tr>
      <w:tr w:rsidR="00EC38E2" w:rsidRPr="00B013ED" w:rsidTr="00934FA3">
        <w:trPr>
          <w:trHeight w:val="681"/>
        </w:trPr>
        <w:tc>
          <w:tcPr>
            <w:tcW w:w="2852" w:type="dxa"/>
            <w:shd w:val="clear" w:color="auto" w:fill="FDE9D9" w:themeFill="accent6" w:themeFillTint="33"/>
            <w:vAlign w:val="center"/>
          </w:tcPr>
          <w:p w:rsidR="00EC38E2" w:rsidRPr="00B013ED" w:rsidRDefault="00EC38E2" w:rsidP="002C70D6">
            <w:pPr>
              <w:spacing w:after="120" w:line="480" w:lineRule="auto"/>
              <w:jc w:val="center"/>
              <w:rPr>
                <w:b/>
                <w:color w:val="000000"/>
                <w:sz w:val="20"/>
                <w:lang w:eastAsia="en-GB"/>
              </w:rPr>
            </w:pPr>
            <w:r w:rsidRPr="00B013ED">
              <w:rPr>
                <w:b/>
                <w:color w:val="000000"/>
                <w:sz w:val="20"/>
                <w:lang w:eastAsia="en-GB"/>
              </w:rPr>
              <w:t>(Cip + Met)</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rPr>
                <w:b/>
                <w:color w:val="000000"/>
                <w:lang w:eastAsia="en-GB"/>
              </w:rPr>
              <w:t>40.23</w:t>
            </w:r>
            <w:r w:rsidR="0025608B">
              <w:rPr>
                <w:b/>
                <w:color w:val="000000"/>
                <w:lang w:eastAsia="en-GB"/>
              </w:rPr>
              <w:t xml:space="preserve"> </w:t>
            </w:r>
            <w:r w:rsidRPr="00B013ED">
              <w:rPr>
                <w:b/>
                <w:color w:val="000000"/>
                <w:lang w:eastAsia="en-GB"/>
              </w:rPr>
              <w:t>mm</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t>1.35</w:t>
            </w:r>
          </w:p>
        </w:tc>
      </w:tr>
      <w:tr w:rsidR="00EC38E2" w:rsidRPr="00B013ED" w:rsidTr="00934FA3">
        <w:trPr>
          <w:trHeight w:val="681"/>
        </w:trPr>
        <w:tc>
          <w:tcPr>
            <w:tcW w:w="2852" w:type="dxa"/>
            <w:shd w:val="clear" w:color="auto" w:fill="FDE9D9" w:themeFill="accent6" w:themeFillTint="33"/>
            <w:vAlign w:val="center"/>
          </w:tcPr>
          <w:p w:rsidR="00EC38E2" w:rsidRPr="00B013ED" w:rsidRDefault="00EC38E2" w:rsidP="002C70D6">
            <w:pPr>
              <w:spacing w:after="120" w:line="480" w:lineRule="auto"/>
              <w:jc w:val="center"/>
              <w:rPr>
                <w:b/>
                <w:color w:val="000000"/>
                <w:sz w:val="20"/>
                <w:lang w:eastAsia="en-GB"/>
              </w:rPr>
            </w:pPr>
            <w:r w:rsidRPr="00B013ED">
              <w:rPr>
                <w:b/>
                <w:color w:val="000000"/>
                <w:sz w:val="20"/>
                <w:lang w:eastAsia="en-GB"/>
              </w:rPr>
              <w:t>(Mino+ Cip + Met)</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rPr>
                <w:b/>
                <w:color w:val="000000"/>
                <w:lang w:eastAsia="en-GB"/>
              </w:rPr>
              <w:t>41.03</w:t>
            </w:r>
            <w:r w:rsidR="0025608B">
              <w:rPr>
                <w:b/>
                <w:color w:val="000000"/>
                <w:lang w:eastAsia="en-GB"/>
              </w:rPr>
              <w:t xml:space="preserve"> </w:t>
            </w:r>
            <w:r w:rsidRPr="00B013ED">
              <w:rPr>
                <w:b/>
                <w:color w:val="000000"/>
                <w:lang w:eastAsia="en-GB"/>
              </w:rPr>
              <w:t>mm</w:t>
            </w:r>
          </w:p>
        </w:tc>
        <w:tc>
          <w:tcPr>
            <w:tcW w:w="2852" w:type="dxa"/>
            <w:vAlign w:val="center"/>
          </w:tcPr>
          <w:p w:rsidR="00EC38E2" w:rsidRPr="00B013ED" w:rsidRDefault="00EC38E2" w:rsidP="002C70D6">
            <w:pPr>
              <w:spacing w:after="120" w:line="480" w:lineRule="auto"/>
              <w:jc w:val="center"/>
              <w:rPr>
                <w:b/>
                <w:color w:val="000000"/>
                <w:lang w:eastAsia="en-GB"/>
              </w:rPr>
            </w:pPr>
            <w:r w:rsidRPr="00B013ED">
              <w:t>1.59</w:t>
            </w:r>
          </w:p>
        </w:tc>
      </w:tr>
    </w:tbl>
    <w:p w:rsidR="00EC38E2" w:rsidRPr="00A96D26" w:rsidRDefault="00EC38E2" w:rsidP="00EC38E2">
      <w:pPr>
        <w:spacing w:after="120" w:line="480" w:lineRule="auto"/>
        <w:jc w:val="both"/>
        <w:rPr>
          <w:rFonts w:eastAsia="Times New Roman"/>
          <w:b/>
          <w:bCs/>
          <w:color w:val="000000"/>
          <w:sz w:val="20"/>
          <w:szCs w:val="20"/>
          <w:lang w:eastAsia="en-GB"/>
        </w:rPr>
      </w:pPr>
    </w:p>
    <w:p w:rsidR="00A96D26" w:rsidRDefault="00A96D26">
      <w:pPr>
        <w:rPr>
          <w:b/>
          <w:bCs/>
          <w:sz w:val="20"/>
          <w:szCs w:val="20"/>
        </w:rPr>
      </w:pPr>
      <w:r>
        <w:rPr>
          <w:b/>
          <w:bCs/>
          <w:sz w:val="20"/>
          <w:szCs w:val="20"/>
        </w:rPr>
        <w:br w:type="page"/>
      </w:r>
    </w:p>
    <w:p w:rsidR="00390770" w:rsidRDefault="00390770" w:rsidP="00655AF0">
      <w:pPr>
        <w:spacing w:after="120" w:line="240" w:lineRule="auto"/>
        <w:jc w:val="both"/>
        <w:rPr>
          <w:rFonts w:cstheme="minorBidi"/>
          <w:b/>
          <w:bCs/>
          <w:sz w:val="20"/>
          <w:szCs w:val="20"/>
        </w:rPr>
      </w:pPr>
      <w:bookmarkStart w:id="596" w:name="_Ref360530211"/>
    </w:p>
    <w:p w:rsidR="00EC38E2" w:rsidRPr="00DB701E" w:rsidRDefault="00C67C41" w:rsidP="00655AF0">
      <w:pPr>
        <w:spacing w:after="120" w:line="240" w:lineRule="auto"/>
        <w:jc w:val="both"/>
        <w:rPr>
          <w:rFonts w:eastAsia="Times New Roman" w:cstheme="minorBidi"/>
          <w:b/>
          <w:bCs/>
          <w:color w:val="000000"/>
          <w:sz w:val="20"/>
          <w:szCs w:val="20"/>
          <w:lang w:eastAsia="en-GB"/>
        </w:rPr>
      </w:pPr>
      <w:bookmarkStart w:id="597" w:name="_Toc361733630"/>
      <w:bookmarkStart w:id="598" w:name="_Toc361734273"/>
      <w:r>
        <w:rPr>
          <w:rFonts w:cstheme="minorBidi"/>
          <w:b/>
          <w:bCs/>
          <w:sz w:val="20"/>
          <w:szCs w:val="20"/>
        </w:rPr>
        <w:t>Figure</w:t>
      </w:r>
      <w:r w:rsidR="00A96D26" w:rsidRPr="00DB701E">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16</w:t>
      </w:r>
      <w:r w:rsidR="00DF37B0">
        <w:rPr>
          <w:rFonts w:cstheme="minorBidi"/>
          <w:b/>
          <w:bCs/>
          <w:sz w:val="20"/>
          <w:szCs w:val="20"/>
        </w:rPr>
        <w:fldChar w:fldCharType="end"/>
      </w:r>
      <w:bookmarkEnd w:id="596"/>
      <w:r w:rsidR="00E776B0">
        <w:rPr>
          <w:rFonts w:cstheme="minorBidi"/>
          <w:b/>
          <w:bCs/>
          <w:color w:val="000000"/>
          <w:sz w:val="20"/>
          <w:szCs w:val="20"/>
          <w:lang w:eastAsia="en-GB"/>
        </w:rPr>
        <w:t xml:space="preserve"> C</w:t>
      </w:r>
      <w:r w:rsidR="000760EF" w:rsidRPr="00DB701E">
        <w:rPr>
          <w:rFonts w:cstheme="minorBidi"/>
          <w:b/>
          <w:bCs/>
          <w:color w:val="000000"/>
          <w:sz w:val="20"/>
          <w:szCs w:val="20"/>
          <w:lang w:eastAsia="en-GB"/>
        </w:rPr>
        <w:t xml:space="preserve">omparison of inhibition zone for all test material and antibiotics against </w:t>
      </w:r>
      <w:r w:rsidR="00DB701E" w:rsidRPr="00DB701E">
        <w:rPr>
          <w:rFonts w:eastAsia="Times New Roman" w:cstheme="minorBidi"/>
          <w:b/>
          <w:bCs/>
          <w:i/>
          <w:iCs/>
          <w:color w:val="000000"/>
          <w:sz w:val="20"/>
          <w:szCs w:val="20"/>
          <w:lang w:eastAsia="en-GB"/>
        </w:rPr>
        <w:t>F. nucleatum</w:t>
      </w:r>
      <w:bookmarkEnd w:id="597"/>
      <w:bookmarkEnd w:id="598"/>
    </w:p>
    <w:p w:rsidR="00EC38E2" w:rsidRPr="00B013ED" w:rsidRDefault="00EC38E2" w:rsidP="00EC38E2">
      <w:pPr>
        <w:spacing w:after="120" w:line="480" w:lineRule="auto"/>
        <w:jc w:val="both"/>
        <w:rPr>
          <w:rFonts w:eastAsia="Times New Roman"/>
          <w:b/>
          <w:color w:val="000000"/>
          <w:lang w:eastAsia="en-GB"/>
        </w:rPr>
      </w:pPr>
    </w:p>
    <w:p w:rsidR="00C12840" w:rsidRDefault="00655AF0" w:rsidP="006C56CA">
      <w:pPr>
        <w:spacing w:after="120" w:line="480" w:lineRule="auto"/>
        <w:jc w:val="both"/>
        <w:rPr>
          <w:rFonts w:eastAsia="Times New Roman"/>
          <w:b/>
          <w:color w:val="000000"/>
          <w:lang w:eastAsia="en-GB"/>
        </w:rPr>
      </w:pPr>
      <w:r w:rsidRPr="00B013ED">
        <w:rPr>
          <w:noProof/>
          <w:lang w:eastAsia="en-GB"/>
        </w:rPr>
        <w:drawing>
          <wp:anchor distT="0" distB="0" distL="114300" distR="114300" simplePos="0" relativeHeight="251728896" behindDoc="0" locked="0" layoutInCell="1" allowOverlap="1" wp14:anchorId="3FAE95EA" wp14:editId="27BA1716">
            <wp:simplePos x="0" y="0"/>
            <wp:positionH relativeFrom="column">
              <wp:posOffset>314325</wp:posOffset>
            </wp:positionH>
            <wp:positionV relativeFrom="paragraph">
              <wp:posOffset>83185</wp:posOffset>
            </wp:positionV>
            <wp:extent cx="4716000" cy="3240000"/>
            <wp:effectExtent l="0" t="0" r="8890" b="0"/>
            <wp:wrapSquare wrapText="bothSides"/>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rsidR="007D5372" w:rsidRDefault="007D5372" w:rsidP="002C70D6">
      <w:pPr>
        <w:spacing w:after="120" w:line="480" w:lineRule="auto"/>
        <w:jc w:val="both"/>
        <w:rPr>
          <w:rFonts w:eastAsia="Times New Roman"/>
          <w:bCs/>
          <w:color w:val="000000"/>
          <w:szCs w:val="24"/>
          <w:lang w:eastAsia="en-GB"/>
        </w:rPr>
      </w:pPr>
    </w:p>
    <w:p w:rsidR="005A4838" w:rsidRPr="002C70D6" w:rsidRDefault="00C12840" w:rsidP="002C70D6">
      <w:pPr>
        <w:spacing w:after="120" w:line="480" w:lineRule="auto"/>
        <w:jc w:val="both"/>
        <w:rPr>
          <w:rFonts w:eastAsia="Times New Roman"/>
          <w:bCs/>
          <w:color w:val="000000"/>
          <w:szCs w:val="24"/>
          <w:lang w:eastAsia="en-GB"/>
        </w:rPr>
      </w:pPr>
      <w:r w:rsidRPr="002C70D6">
        <w:rPr>
          <w:rFonts w:eastAsia="Times New Roman"/>
          <w:bCs/>
          <w:color w:val="000000"/>
          <w:szCs w:val="24"/>
          <w:lang w:eastAsia="en-GB"/>
        </w:rPr>
        <w:t>The statistical analysis is presented in</w:t>
      </w:r>
      <w:r w:rsidR="002C70D6">
        <w:rPr>
          <w:rFonts w:eastAsia="Times New Roman"/>
          <w:bCs/>
          <w:color w:val="000000"/>
          <w:szCs w:val="24"/>
          <w:lang w:eastAsia="en-GB"/>
        </w:rPr>
        <w:t xml:space="preserve"> </w:t>
      </w:r>
      <w:r w:rsidR="002C70D6" w:rsidRPr="002C70D6">
        <w:rPr>
          <w:rFonts w:eastAsia="Times New Roman"/>
          <w:bCs/>
          <w:color w:val="000000"/>
          <w:szCs w:val="24"/>
          <w:lang w:eastAsia="en-GB"/>
        </w:rPr>
        <w:fldChar w:fldCharType="begin"/>
      </w:r>
      <w:r w:rsidR="002C70D6" w:rsidRPr="002C70D6">
        <w:rPr>
          <w:rFonts w:eastAsia="Times New Roman"/>
          <w:bCs/>
          <w:color w:val="000000"/>
          <w:szCs w:val="24"/>
          <w:lang w:eastAsia="en-GB"/>
        </w:rPr>
        <w:instrText xml:space="preserve"> REF _Ref361094009 \h  \* MERGEFORMAT </w:instrText>
      </w:r>
      <w:r w:rsidR="002C70D6" w:rsidRPr="002C70D6">
        <w:rPr>
          <w:rFonts w:eastAsia="Times New Roman"/>
          <w:bCs/>
          <w:color w:val="000000"/>
          <w:szCs w:val="24"/>
          <w:lang w:eastAsia="en-GB"/>
        </w:rPr>
      </w:r>
      <w:r w:rsidR="002C70D6" w:rsidRPr="002C70D6">
        <w:rPr>
          <w:rFonts w:eastAsia="Times New Roman"/>
          <w:bCs/>
          <w:color w:val="000000"/>
          <w:szCs w:val="24"/>
          <w:lang w:eastAsia="en-GB"/>
        </w:rPr>
        <w:fldChar w:fldCharType="separate"/>
      </w:r>
      <w:r w:rsidR="00374B77" w:rsidRPr="00374B77">
        <w:rPr>
          <w:rFonts w:cstheme="minorBidi"/>
          <w:bCs/>
          <w:szCs w:val="24"/>
        </w:rPr>
        <w:t xml:space="preserve">Table </w:t>
      </w:r>
      <w:r w:rsidR="00374B77" w:rsidRPr="00374B77">
        <w:rPr>
          <w:rFonts w:cstheme="minorBidi"/>
          <w:bCs/>
          <w:noProof/>
          <w:szCs w:val="24"/>
          <w:cs/>
        </w:rPr>
        <w:t>‎</w:t>
      </w:r>
      <w:r w:rsidR="00374B77">
        <w:rPr>
          <w:rFonts w:cstheme="minorBidi"/>
          <w:b/>
          <w:bCs/>
          <w:noProof/>
          <w:sz w:val="20"/>
          <w:szCs w:val="20"/>
        </w:rPr>
        <w:t>3.17</w:t>
      </w:r>
      <w:r w:rsidR="002C70D6" w:rsidRPr="002C70D6">
        <w:rPr>
          <w:rFonts w:eastAsia="Times New Roman"/>
          <w:bCs/>
          <w:color w:val="000000"/>
          <w:szCs w:val="24"/>
          <w:lang w:eastAsia="en-GB"/>
        </w:rPr>
        <w:fldChar w:fldCharType="end"/>
      </w:r>
      <w:r w:rsidR="0065488C" w:rsidRPr="002C70D6">
        <w:rPr>
          <w:rFonts w:eastAsia="Times New Roman"/>
          <w:bCs/>
          <w:color w:val="000000"/>
          <w:szCs w:val="24"/>
          <w:lang w:eastAsia="en-GB"/>
        </w:rPr>
        <w:t>.</w:t>
      </w:r>
      <w:r w:rsidRPr="002C70D6">
        <w:rPr>
          <w:rFonts w:eastAsia="Times New Roman"/>
          <w:bCs/>
          <w:color w:val="000000"/>
          <w:szCs w:val="24"/>
          <w:lang w:eastAsia="en-GB"/>
        </w:rPr>
        <w:t xml:space="preserve"> It can be seen that the NSCH</w:t>
      </w:r>
      <w:r w:rsidR="00313C48" w:rsidRPr="002C70D6">
        <w:rPr>
          <w:rFonts w:eastAsia="Times New Roman"/>
          <w:bCs/>
          <w:color w:val="000000"/>
          <w:szCs w:val="24"/>
          <w:lang w:eastAsia="en-GB"/>
        </w:rPr>
        <w:t xml:space="preserve"> was the least effective compared with all other groups. Also </w:t>
      </w:r>
      <w:r w:rsidR="0099114B" w:rsidRPr="002C70D6">
        <w:rPr>
          <w:rFonts w:eastAsia="Times New Roman"/>
          <w:bCs/>
          <w:color w:val="000000"/>
          <w:szCs w:val="24"/>
          <w:lang w:eastAsia="en-GB"/>
        </w:rPr>
        <w:t>Cip+</w:t>
      </w:r>
      <w:r w:rsidRPr="002C70D6">
        <w:rPr>
          <w:rFonts w:eastAsia="Times New Roman"/>
          <w:bCs/>
          <w:color w:val="000000"/>
          <w:szCs w:val="24"/>
          <w:lang w:eastAsia="en-GB"/>
        </w:rPr>
        <w:t xml:space="preserve">Met </w:t>
      </w:r>
      <w:r w:rsidR="00313C48" w:rsidRPr="002C70D6">
        <w:rPr>
          <w:rFonts w:eastAsia="Times New Roman"/>
          <w:bCs/>
          <w:color w:val="000000"/>
          <w:szCs w:val="24"/>
          <w:lang w:eastAsia="en-GB"/>
        </w:rPr>
        <w:t xml:space="preserve">were </w:t>
      </w:r>
      <w:r w:rsidRPr="002C70D6">
        <w:rPr>
          <w:rFonts w:eastAsia="Times New Roman"/>
          <w:bCs/>
          <w:color w:val="000000"/>
          <w:szCs w:val="24"/>
          <w:lang w:eastAsia="en-GB"/>
        </w:rPr>
        <w:t xml:space="preserve">significantly </w:t>
      </w:r>
      <w:r w:rsidR="00313C48" w:rsidRPr="002C70D6">
        <w:rPr>
          <w:rFonts w:eastAsia="Times New Roman"/>
          <w:bCs/>
          <w:color w:val="000000"/>
          <w:szCs w:val="24"/>
          <w:lang w:eastAsia="en-GB"/>
        </w:rPr>
        <w:t xml:space="preserve">more </w:t>
      </w:r>
      <w:r w:rsidRPr="002C70D6">
        <w:rPr>
          <w:rFonts w:eastAsia="Times New Roman"/>
          <w:bCs/>
          <w:color w:val="000000"/>
          <w:szCs w:val="24"/>
          <w:lang w:eastAsia="en-GB"/>
        </w:rPr>
        <w:t xml:space="preserve">effective compared to </w:t>
      </w:r>
      <w:r w:rsidR="00313C48" w:rsidRPr="002C70D6">
        <w:rPr>
          <w:rFonts w:eastAsia="Times New Roman"/>
          <w:bCs/>
          <w:color w:val="000000"/>
          <w:szCs w:val="24"/>
          <w:lang w:eastAsia="en-GB"/>
        </w:rPr>
        <w:t xml:space="preserve">all </w:t>
      </w:r>
      <w:r w:rsidRPr="002C70D6">
        <w:rPr>
          <w:rFonts w:eastAsia="Times New Roman"/>
          <w:bCs/>
          <w:color w:val="000000"/>
          <w:szCs w:val="24"/>
          <w:lang w:eastAsia="en-GB"/>
        </w:rPr>
        <w:t>other material</w:t>
      </w:r>
      <w:r w:rsidR="00313C48" w:rsidRPr="002C70D6">
        <w:rPr>
          <w:rFonts w:eastAsia="Times New Roman"/>
          <w:bCs/>
          <w:color w:val="000000"/>
          <w:szCs w:val="24"/>
          <w:lang w:eastAsia="en-GB"/>
        </w:rPr>
        <w:t xml:space="preserve">s </w:t>
      </w:r>
      <w:r w:rsidRPr="002C70D6">
        <w:rPr>
          <w:rFonts w:eastAsia="Times New Roman"/>
          <w:bCs/>
          <w:color w:val="000000"/>
          <w:szCs w:val="24"/>
          <w:lang w:eastAsia="en-GB"/>
        </w:rPr>
        <w:t xml:space="preserve">except </w:t>
      </w:r>
      <w:r w:rsidR="00313C48" w:rsidRPr="002C70D6">
        <w:rPr>
          <w:rFonts w:eastAsia="Times New Roman"/>
          <w:bCs/>
          <w:color w:val="000000"/>
          <w:szCs w:val="24"/>
          <w:lang w:eastAsia="en-GB"/>
        </w:rPr>
        <w:t xml:space="preserve">to a combination of the three antibiotics </w:t>
      </w:r>
      <w:r w:rsidR="0099114B" w:rsidRPr="002C70D6">
        <w:rPr>
          <w:rFonts w:eastAsia="Times New Roman"/>
          <w:bCs/>
          <w:color w:val="000000"/>
          <w:szCs w:val="24"/>
          <w:lang w:eastAsia="en-GB"/>
        </w:rPr>
        <w:t>(Cip+Met+</w:t>
      </w:r>
      <w:r w:rsidRPr="002C70D6">
        <w:rPr>
          <w:rFonts w:eastAsia="Times New Roman"/>
          <w:bCs/>
          <w:color w:val="000000"/>
          <w:szCs w:val="24"/>
          <w:lang w:eastAsia="en-GB"/>
        </w:rPr>
        <w:t xml:space="preserve">Mino) </w:t>
      </w:r>
      <w:r w:rsidR="00313C48" w:rsidRPr="002C70D6">
        <w:rPr>
          <w:rFonts w:eastAsia="Times New Roman"/>
          <w:bCs/>
          <w:color w:val="000000"/>
          <w:szCs w:val="24"/>
          <w:lang w:eastAsia="en-GB"/>
        </w:rPr>
        <w:t>from which no significant difference was observed</w:t>
      </w:r>
      <w:r w:rsidR="0099114B" w:rsidRPr="002C70D6">
        <w:rPr>
          <w:rFonts w:eastAsia="Times New Roman"/>
          <w:bCs/>
          <w:color w:val="000000"/>
          <w:szCs w:val="24"/>
          <w:lang w:eastAsia="en-GB"/>
        </w:rPr>
        <w:t>.</w:t>
      </w:r>
    </w:p>
    <w:p w:rsidR="00711907" w:rsidRDefault="00711907">
      <w:pPr>
        <w:rPr>
          <w:rFonts w:cstheme="minorBidi"/>
          <w:b/>
          <w:bCs/>
          <w:sz w:val="20"/>
          <w:szCs w:val="20"/>
        </w:rPr>
      </w:pPr>
      <w:r>
        <w:rPr>
          <w:rFonts w:cstheme="minorBidi"/>
          <w:b/>
          <w:bCs/>
          <w:sz w:val="20"/>
          <w:szCs w:val="20"/>
        </w:rPr>
        <w:br w:type="page"/>
      </w:r>
    </w:p>
    <w:p w:rsidR="002C70D6" w:rsidRPr="002C70D6" w:rsidRDefault="002C70D6" w:rsidP="00655AF0">
      <w:pPr>
        <w:spacing w:after="120" w:line="240" w:lineRule="auto"/>
        <w:jc w:val="both"/>
        <w:rPr>
          <w:rFonts w:cstheme="minorBidi"/>
          <w:b/>
          <w:bCs/>
          <w:sz w:val="20"/>
          <w:szCs w:val="20"/>
        </w:rPr>
      </w:pPr>
      <w:bookmarkStart w:id="599" w:name="_Ref361094009"/>
      <w:bookmarkStart w:id="600" w:name="_Toc370511753"/>
      <w:proofErr w:type="gramStart"/>
      <w:r w:rsidRPr="002C70D6">
        <w:rPr>
          <w:rFonts w:cstheme="minorBidi"/>
          <w:b/>
          <w:bCs/>
          <w:sz w:val="20"/>
          <w:szCs w:val="20"/>
        </w:rPr>
        <w:lastRenderedPageBreak/>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proofErr w:type="gramStart"/>
      <w:r w:rsidR="00374B77">
        <w:rPr>
          <w:rFonts w:cstheme="minorBidi"/>
          <w:b/>
          <w:bCs/>
          <w:noProof/>
          <w:sz w:val="20"/>
          <w:szCs w:val="20"/>
        </w:rPr>
        <w:t>17</w:t>
      </w:r>
      <w:r w:rsidR="00E7089D">
        <w:rPr>
          <w:rFonts w:cstheme="minorBidi"/>
          <w:b/>
          <w:bCs/>
          <w:sz w:val="20"/>
          <w:szCs w:val="20"/>
        </w:rPr>
        <w:fldChar w:fldCharType="end"/>
      </w:r>
      <w:bookmarkEnd w:id="599"/>
      <w:r w:rsidRPr="002C70D6">
        <w:rPr>
          <w:rFonts w:cstheme="minorBidi"/>
          <w:b/>
          <w:bCs/>
          <w:sz w:val="20"/>
          <w:szCs w:val="20"/>
        </w:rPr>
        <w:t xml:space="preserve"> </w:t>
      </w:r>
      <w:r w:rsidR="00655AF0">
        <w:rPr>
          <w:rFonts w:cstheme="minorBidi"/>
          <w:b/>
          <w:bCs/>
          <w:sz w:val="20"/>
          <w:szCs w:val="20"/>
        </w:rPr>
        <w:t>C</w:t>
      </w:r>
      <w:r w:rsidRPr="00B013ED">
        <w:rPr>
          <w:rFonts w:cstheme="minorBidi"/>
          <w:b/>
          <w:bCs/>
          <w:sz w:val="20"/>
          <w:szCs w:val="20"/>
        </w:rPr>
        <w:t>omparison</w:t>
      </w:r>
      <w:r w:rsidRPr="00B013ED">
        <w:rPr>
          <w:rFonts w:eastAsia="Times New Roman" w:cstheme="minorBidi"/>
          <w:b/>
          <w:bCs/>
          <w:sz w:val="20"/>
          <w:szCs w:val="20"/>
          <w:lang w:eastAsia="en-GB"/>
        </w:rPr>
        <w:t xml:space="preserve"> of antibacterial effectiveness of different material NSCH, MTA,</w:t>
      </w:r>
      <w:r w:rsidRPr="00B013ED">
        <w:rPr>
          <w:rFonts w:cstheme="minorBidi"/>
          <w:b/>
          <w:bCs/>
          <w:sz w:val="20"/>
          <w:szCs w:val="20"/>
        </w:rPr>
        <w:t xml:space="preserve"> </w:t>
      </w:r>
      <w:r w:rsidRPr="00B013ED">
        <w:rPr>
          <w:rFonts w:eastAsia="Times New Roman" w:cstheme="minorBidi"/>
          <w:b/>
          <w:bCs/>
          <w:sz w:val="20"/>
          <w:szCs w:val="20"/>
          <w:lang w:eastAsia="en-GB"/>
        </w:rPr>
        <w:t>Minocycline,</w:t>
      </w:r>
      <w:r w:rsidRPr="00B013ED">
        <w:rPr>
          <w:rFonts w:cstheme="minorBidi"/>
          <w:b/>
          <w:bCs/>
          <w:sz w:val="20"/>
          <w:szCs w:val="20"/>
        </w:rPr>
        <w:t xml:space="preserve"> </w:t>
      </w:r>
      <w:r w:rsidRPr="00B013ED">
        <w:rPr>
          <w:rFonts w:eastAsia="Times New Roman" w:cstheme="minorBidi"/>
          <w:b/>
          <w:bCs/>
          <w:sz w:val="20"/>
          <w:szCs w:val="20"/>
          <w:lang w:eastAsia="en-GB"/>
        </w:rPr>
        <w:t>Ciprofloxacin and Metronidazol</w:t>
      </w:r>
      <w:r w:rsidR="00655AF0">
        <w:rPr>
          <w:rFonts w:eastAsia="Times New Roman" w:cstheme="minorBidi"/>
          <w:b/>
          <w:bCs/>
          <w:sz w:val="20"/>
          <w:szCs w:val="20"/>
          <w:lang w:eastAsia="en-GB"/>
        </w:rPr>
        <w:t>e</w:t>
      </w:r>
      <w:r w:rsidRPr="00B013ED">
        <w:rPr>
          <w:rFonts w:eastAsia="Times New Roman" w:cstheme="minorBidi"/>
          <w:b/>
          <w:bCs/>
          <w:sz w:val="20"/>
          <w:szCs w:val="20"/>
          <w:lang w:eastAsia="en-GB"/>
        </w:rPr>
        <w:t>, on</w:t>
      </w:r>
      <w:r w:rsidRPr="0065488C">
        <w:rPr>
          <w:rFonts w:eastAsia="Times New Roman" w:cstheme="minorBidi"/>
          <w:b/>
          <w:bCs/>
          <w:i/>
          <w:iCs/>
          <w:color w:val="000000"/>
          <w:sz w:val="20"/>
          <w:szCs w:val="20"/>
          <w:lang w:eastAsia="en-GB"/>
        </w:rPr>
        <w:t xml:space="preserve"> </w:t>
      </w:r>
      <w:r w:rsidRPr="00DB701E">
        <w:rPr>
          <w:rFonts w:eastAsia="Times New Roman" w:cstheme="minorBidi"/>
          <w:b/>
          <w:bCs/>
          <w:i/>
          <w:iCs/>
          <w:color w:val="000000"/>
          <w:sz w:val="20"/>
          <w:szCs w:val="20"/>
          <w:lang w:eastAsia="en-GB"/>
        </w:rPr>
        <w:t>F. nucleatu</w:t>
      </w:r>
      <w:r>
        <w:rPr>
          <w:rFonts w:eastAsia="Times New Roman" w:cstheme="minorBidi"/>
          <w:b/>
          <w:bCs/>
          <w:i/>
          <w:iCs/>
          <w:color w:val="000000"/>
          <w:sz w:val="20"/>
          <w:szCs w:val="20"/>
          <w:lang w:eastAsia="en-GB"/>
        </w:rPr>
        <w:t>.</w:t>
      </w:r>
      <w:bookmarkEnd w:id="600"/>
      <w:proofErr w:type="gramEnd"/>
    </w:p>
    <w:tbl>
      <w:tblPr>
        <w:tblpPr w:leftFromText="180" w:rightFromText="180" w:vertAnchor="text" w:horzAnchor="margin" w:tblpY="762"/>
        <w:tblW w:w="8170" w:type="dxa"/>
        <w:tblLayout w:type="fixed"/>
        <w:tblCellMar>
          <w:left w:w="10" w:type="dxa"/>
          <w:right w:w="10" w:type="dxa"/>
        </w:tblCellMar>
        <w:tblLook w:val="0000" w:firstRow="0" w:lastRow="0" w:firstColumn="0" w:lastColumn="0" w:noHBand="0" w:noVBand="0"/>
      </w:tblPr>
      <w:tblGrid>
        <w:gridCol w:w="1463"/>
        <w:gridCol w:w="1464"/>
        <w:gridCol w:w="1464"/>
        <w:gridCol w:w="1005"/>
        <w:gridCol w:w="1387"/>
        <w:gridCol w:w="1387"/>
      </w:tblGrid>
      <w:tr w:rsidR="00757124" w:rsidRPr="00B013ED" w:rsidTr="006C56CA">
        <w:trPr>
          <w:cantSplit/>
        </w:trPr>
        <w:tc>
          <w:tcPr>
            <w:tcW w:w="1463" w:type="dxa"/>
            <w:vMerge w:val="restart"/>
            <w:tcBorders>
              <w:top w:val="single" w:sz="18" w:space="0" w:color="000000"/>
              <w:left w:val="single" w:sz="1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(I) Treatment</w:t>
            </w:r>
          </w:p>
        </w:tc>
        <w:tc>
          <w:tcPr>
            <w:tcW w:w="1464" w:type="dxa"/>
            <w:vMerge w:val="restart"/>
            <w:tcBorders>
              <w:top w:val="single" w:sz="18" w:space="0" w:color="000000"/>
              <w:right w:val="single" w:sz="1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(J) Treatment</w:t>
            </w:r>
          </w:p>
        </w:tc>
        <w:tc>
          <w:tcPr>
            <w:tcW w:w="1464" w:type="dxa"/>
            <w:vMerge w:val="restart"/>
            <w:tcBorders>
              <w:top w:val="single" w:sz="18" w:space="0" w:color="000000"/>
              <w:left w:val="single" w:sz="1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jc w:val="center"/>
              <w:textAlignment w:val="baseline"/>
              <w:rPr>
                <w:rFonts w:eastAsia="Calibri" w:cstheme="minorBidi"/>
                <w:color w:val="000000"/>
                <w:sz w:val="18"/>
                <w:szCs w:val="18"/>
              </w:rPr>
            </w:pPr>
            <w:r w:rsidRPr="00B013ED">
              <w:rPr>
                <w:rFonts w:eastAsia="Calibri" w:cstheme="minorBidi"/>
                <w:color w:val="000000"/>
                <w:sz w:val="18"/>
                <w:szCs w:val="18"/>
              </w:rPr>
              <w:t>Mean Difference (I-J)</w:t>
            </w:r>
          </w:p>
        </w:tc>
        <w:tc>
          <w:tcPr>
            <w:tcW w:w="1005" w:type="dxa"/>
            <w:vMerge w:val="restart"/>
            <w:tcBorders>
              <w:top w:val="single" w:sz="18" w:space="0" w:color="000000"/>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jc w:val="center"/>
              <w:textAlignment w:val="baseline"/>
              <w:rPr>
                <w:rFonts w:eastAsia="Calibri" w:cstheme="minorBidi"/>
                <w:color w:val="000000"/>
                <w:sz w:val="18"/>
                <w:szCs w:val="18"/>
              </w:rPr>
            </w:pPr>
            <w:r w:rsidRPr="00B013ED">
              <w:rPr>
                <w:rFonts w:eastAsia="Calibri" w:cstheme="minorBidi"/>
                <w:color w:val="000000"/>
                <w:sz w:val="18"/>
                <w:szCs w:val="18"/>
              </w:rPr>
              <w:t>Sig.</w:t>
            </w:r>
          </w:p>
        </w:tc>
        <w:tc>
          <w:tcPr>
            <w:tcW w:w="2774" w:type="dxa"/>
            <w:gridSpan w:val="2"/>
            <w:tcBorders>
              <w:top w:val="single" w:sz="18" w:space="0" w:color="000000"/>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jc w:val="center"/>
              <w:textAlignment w:val="baseline"/>
              <w:rPr>
                <w:rFonts w:eastAsia="Calibri" w:cstheme="minorBidi"/>
                <w:color w:val="000000"/>
                <w:sz w:val="18"/>
                <w:szCs w:val="18"/>
              </w:rPr>
            </w:pPr>
            <w:r w:rsidRPr="00B013ED">
              <w:rPr>
                <w:rFonts w:eastAsia="Calibri" w:cstheme="minorBidi"/>
                <w:color w:val="000000"/>
                <w:sz w:val="18"/>
                <w:szCs w:val="18"/>
              </w:rPr>
              <w:t>95% Confidence Interval</w:t>
            </w:r>
          </w:p>
        </w:tc>
      </w:tr>
      <w:tr w:rsidR="00757124" w:rsidRPr="00B013ED" w:rsidTr="006C56CA">
        <w:trPr>
          <w:cantSplit/>
        </w:trPr>
        <w:tc>
          <w:tcPr>
            <w:tcW w:w="1463" w:type="dxa"/>
            <w:vMerge/>
            <w:tcBorders>
              <w:top w:val="single" w:sz="18" w:space="0" w:color="000000"/>
              <w:left w:val="single" w:sz="18" w:space="0" w:color="000000"/>
              <w:bottom w:val="single" w:sz="1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vMerge/>
            <w:tcBorders>
              <w:top w:val="single" w:sz="18" w:space="0" w:color="000000"/>
              <w:bottom w:val="single" w:sz="18" w:space="0" w:color="000000"/>
              <w:right w:val="single" w:sz="1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vMerge/>
            <w:tcBorders>
              <w:top w:val="single" w:sz="18" w:space="0" w:color="000000"/>
              <w:left w:val="single" w:sz="1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005" w:type="dxa"/>
            <w:vMerge/>
            <w:tcBorders>
              <w:top w:val="single" w:sz="18" w:space="0" w:color="000000"/>
              <w:left w:val="single" w:sz="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387" w:type="dxa"/>
            <w:tcBorders>
              <w:top w:val="single" w:sz="8" w:space="0" w:color="000000"/>
              <w:left w:val="single" w:sz="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jc w:val="center"/>
              <w:textAlignment w:val="baseline"/>
              <w:rPr>
                <w:rFonts w:eastAsia="Calibri" w:cstheme="minorBidi"/>
                <w:color w:val="000000"/>
                <w:sz w:val="18"/>
                <w:szCs w:val="18"/>
              </w:rPr>
            </w:pPr>
            <w:r w:rsidRPr="00B013ED">
              <w:rPr>
                <w:rFonts w:eastAsia="Calibri" w:cstheme="minorBidi"/>
                <w:color w:val="000000"/>
                <w:sz w:val="18"/>
                <w:szCs w:val="18"/>
              </w:rPr>
              <w:t>Lower Bound</w:t>
            </w:r>
          </w:p>
        </w:tc>
        <w:tc>
          <w:tcPr>
            <w:tcW w:w="1387" w:type="dxa"/>
            <w:tcBorders>
              <w:top w:val="single" w:sz="8" w:space="0" w:color="000000"/>
              <w:left w:val="single" w:sz="8" w:space="0" w:color="000000"/>
              <w:bottom w:val="single" w:sz="18" w:space="0" w:color="000000"/>
              <w:right w:val="single" w:sz="1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jc w:val="center"/>
              <w:textAlignment w:val="baseline"/>
              <w:rPr>
                <w:rFonts w:eastAsia="Calibri" w:cstheme="minorBidi"/>
                <w:color w:val="000000"/>
                <w:sz w:val="18"/>
                <w:szCs w:val="18"/>
              </w:rPr>
            </w:pPr>
            <w:r w:rsidRPr="00B013ED">
              <w:rPr>
                <w:rFonts w:eastAsia="Calibri" w:cstheme="minorBidi"/>
                <w:color w:val="000000"/>
                <w:sz w:val="18"/>
                <w:szCs w:val="18"/>
              </w:rPr>
              <w:t>Upper Bound</w:t>
            </w:r>
          </w:p>
        </w:tc>
      </w:tr>
      <w:tr w:rsidR="00757124" w:rsidRPr="00B013ED" w:rsidTr="006C56CA">
        <w:trPr>
          <w:cantSplit/>
        </w:trPr>
        <w:tc>
          <w:tcPr>
            <w:tcW w:w="1463" w:type="dxa"/>
            <w:vMerge w:val="restart"/>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464" w:type="dxa"/>
            <w:tcBorders>
              <w:top w:val="single" w:sz="1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464" w:type="dxa"/>
            <w:tcBorders>
              <w:top w:val="single" w:sz="18" w:space="0" w:color="000000"/>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-25.54778</w:t>
            </w:r>
            <w:r w:rsidRPr="00B013ED">
              <w:rPr>
                <w:rFonts w:eastAsia="Calibri" w:cstheme="minorBidi"/>
                <w:color w:val="000000"/>
                <w:sz w:val="18"/>
                <w:szCs w:val="18"/>
                <w:vertAlign w:val="superscript"/>
              </w:rPr>
              <w:t>*</w:t>
            </w:r>
          </w:p>
        </w:tc>
        <w:tc>
          <w:tcPr>
            <w:tcW w:w="1005" w:type="dxa"/>
            <w:tcBorders>
              <w:top w:val="single" w:sz="18" w:space="0" w:color="000000"/>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top w:val="single" w:sz="18" w:space="0" w:color="000000"/>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-27.6549</w:t>
            </w:r>
          </w:p>
        </w:tc>
        <w:tc>
          <w:tcPr>
            <w:tcW w:w="1387" w:type="dxa"/>
            <w:tcBorders>
              <w:top w:val="single" w:sz="18" w:space="0" w:color="000000"/>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-23.4407</w:t>
            </w:r>
          </w:p>
        </w:tc>
      </w:tr>
      <w:tr w:rsidR="00757124" w:rsidRPr="00B013ED" w:rsidTr="006C56CA">
        <w:trPr>
          <w:cantSplit/>
        </w:trPr>
        <w:tc>
          <w:tcPr>
            <w:tcW w:w="1463"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464"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-43.45000</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-45.5571</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-41.3429</w:t>
            </w:r>
          </w:p>
        </w:tc>
      </w:tr>
      <w:tr w:rsidR="00757124" w:rsidRPr="00B013ED" w:rsidTr="006C56CA">
        <w:trPr>
          <w:cantSplit/>
        </w:trPr>
        <w:tc>
          <w:tcPr>
            <w:tcW w:w="1463"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464"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-43.02444</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-45.1315</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-40.9173</w:t>
            </w:r>
          </w:p>
        </w:tc>
      </w:tr>
      <w:tr w:rsidR="00757124" w:rsidRPr="00B013ED" w:rsidTr="006C56CA">
        <w:trPr>
          <w:cantSplit/>
        </w:trPr>
        <w:tc>
          <w:tcPr>
            <w:tcW w:w="1463"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464"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-34.43889</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-36.5460</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-32.3318</w:t>
            </w:r>
          </w:p>
        </w:tc>
      </w:tr>
      <w:tr w:rsidR="00757124" w:rsidRPr="00B013ED" w:rsidTr="006C56CA">
        <w:trPr>
          <w:cantSplit/>
        </w:trPr>
        <w:tc>
          <w:tcPr>
            <w:tcW w:w="1463"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464"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-40.22778</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-42.3349</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-38.1207</w:t>
            </w:r>
          </w:p>
        </w:tc>
      </w:tr>
      <w:tr w:rsidR="00757124" w:rsidRPr="00B013ED" w:rsidTr="006C56CA">
        <w:trPr>
          <w:cantSplit/>
        </w:trPr>
        <w:tc>
          <w:tcPr>
            <w:tcW w:w="1463" w:type="dxa"/>
            <w:vMerge/>
            <w:tcBorders>
              <w:top w:val="single" w:sz="18" w:space="0" w:color="000000"/>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bottom w:val="single" w:sz="4" w:space="0" w:color="auto"/>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464" w:type="dxa"/>
            <w:tcBorders>
              <w:left w:val="single" w:sz="1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-41.12667</w:t>
            </w:r>
            <w:r w:rsidRPr="00B013ED">
              <w:rPr>
                <w:rFonts w:eastAsia="Calibri" w:cstheme="minorBidi"/>
                <w:color w:val="000000"/>
                <w:sz w:val="18"/>
                <w:szCs w:val="18"/>
                <w:vertAlign w:val="superscript"/>
              </w:rPr>
              <w:t>*</w:t>
            </w:r>
          </w:p>
        </w:tc>
        <w:tc>
          <w:tcPr>
            <w:tcW w:w="1005" w:type="dxa"/>
            <w:tcBorders>
              <w:left w:val="single" w:sz="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-43.2338</w:t>
            </w:r>
          </w:p>
        </w:tc>
        <w:tc>
          <w:tcPr>
            <w:tcW w:w="1387" w:type="dxa"/>
            <w:tcBorders>
              <w:left w:val="single" w:sz="8" w:space="0" w:color="000000"/>
              <w:bottom w:val="single" w:sz="4" w:space="0" w:color="auto"/>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-39.0196</w:t>
            </w:r>
          </w:p>
        </w:tc>
      </w:tr>
      <w:tr w:rsidR="00757124" w:rsidRPr="00B013ED" w:rsidTr="006C56CA">
        <w:trPr>
          <w:cantSplit/>
        </w:trPr>
        <w:tc>
          <w:tcPr>
            <w:tcW w:w="1463"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464" w:type="dxa"/>
            <w:tcBorders>
              <w:top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464" w:type="dxa"/>
            <w:tcBorders>
              <w:top w:val="single" w:sz="4" w:space="0" w:color="auto"/>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25.54778</w:t>
            </w:r>
            <w:r w:rsidRPr="00B013ED">
              <w:rPr>
                <w:rFonts w:eastAsia="Calibri" w:cstheme="minorBidi"/>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top w:val="single" w:sz="4" w:space="0" w:color="auto"/>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23.4407</w:t>
            </w:r>
          </w:p>
        </w:tc>
        <w:tc>
          <w:tcPr>
            <w:tcW w:w="1387" w:type="dxa"/>
            <w:tcBorders>
              <w:top w:val="single" w:sz="4" w:space="0" w:color="auto"/>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27.6549</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464"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-17.90222</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-20.0093</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-15.7951</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464"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-17.47667</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-19.5838</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-15.3696</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464"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-8.89111</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-10.9982</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-6.7840</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464"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-14.68000</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-16.7871</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-12.5729</w:t>
            </w:r>
          </w:p>
        </w:tc>
      </w:tr>
      <w:tr w:rsidR="00757124" w:rsidRPr="00B013ED" w:rsidTr="006C56CA">
        <w:trPr>
          <w:cantSplit/>
        </w:trPr>
        <w:tc>
          <w:tcPr>
            <w:tcW w:w="1463"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bottom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464" w:type="dxa"/>
            <w:tcBorders>
              <w:left w:val="single" w:sz="1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-15.57889</w:t>
            </w:r>
            <w:r w:rsidRPr="00B013ED">
              <w:rPr>
                <w:rFonts w:eastAsia="Calibri" w:cstheme="minorBidi"/>
                <w:color w:val="000000"/>
                <w:sz w:val="18"/>
                <w:szCs w:val="18"/>
                <w:vertAlign w:val="superscript"/>
              </w:rPr>
              <w:t>*</w:t>
            </w:r>
          </w:p>
        </w:tc>
        <w:tc>
          <w:tcPr>
            <w:tcW w:w="1005" w:type="dxa"/>
            <w:tcBorders>
              <w:left w:val="single" w:sz="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-17.6860</w:t>
            </w:r>
          </w:p>
        </w:tc>
        <w:tc>
          <w:tcPr>
            <w:tcW w:w="1387" w:type="dxa"/>
            <w:tcBorders>
              <w:left w:val="single" w:sz="8" w:space="0" w:color="000000"/>
              <w:bottom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-13.4718</w:t>
            </w:r>
          </w:p>
        </w:tc>
      </w:tr>
      <w:tr w:rsidR="00757124" w:rsidRPr="00B013ED" w:rsidTr="006C56CA">
        <w:trPr>
          <w:cantSplit/>
        </w:trPr>
        <w:tc>
          <w:tcPr>
            <w:tcW w:w="1463"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464" w:type="dxa"/>
            <w:tcBorders>
              <w:top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464" w:type="dxa"/>
            <w:tcBorders>
              <w:top w:val="single" w:sz="4" w:space="0" w:color="auto"/>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43.45000</w:t>
            </w:r>
            <w:r w:rsidRPr="00B013ED">
              <w:rPr>
                <w:rFonts w:eastAsia="Calibri" w:cstheme="minorBidi"/>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top w:val="single" w:sz="4" w:space="0" w:color="auto"/>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41.3429</w:t>
            </w:r>
          </w:p>
        </w:tc>
        <w:tc>
          <w:tcPr>
            <w:tcW w:w="1387" w:type="dxa"/>
            <w:tcBorders>
              <w:top w:val="single" w:sz="4" w:space="0" w:color="auto"/>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45.5571</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464"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17.90222</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15.7951</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20.0093</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464"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.42556</w:t>
            </w:r>
          </w:p>
        </w:tc>
        <w:tc>
          <w:tcPr>
            <w:tcW w:w="1005"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.687</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-1.6815</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2.5327</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464"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9.01111</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6.9040</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11.1182</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464"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3.22222</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.003</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1.1151</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5.3293</w:t>
            </w:r>
          </w:p>
        </w:tc>
      </w:tr>
      <w:tr w:rsidR="00757124" w:rsidRPr="00B013ED" w:rsidTr="006C56CA">
        <w:trPr>
          <w:cantSplit/>
        </w:trPr>
        <w:tc>
          <w:tcPr>
            <w:tcW w:w="1463"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bottom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464" w:type="dxa"/>
            <w:tcBorders>
              <w:left w:val="single" w:sz="1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2.32333</w:t>
            </w:r>
            <w:r w:rsidRPr="00B013ED">
              <w:rPr>
                <w:rFonts w:eastAsia="Calibri" w:cstheme="minorBidi"/>
                <w:color w:val="000000"/>
                <w:sz w:val="18"/>
                <w:szCs w:val="18"/>
                <w:vertAlign w:val="superscript"/>
              </w:rPr>
              <w:t>*</w:t>
            </w:r>
          </w:p>
        </w:tc>
        <w:tc>
          <w:tcPr>
            <w:tcW w:w="1005" w:type="dxa"/>
            <w:tcBorders>
              <w:left w:val="single" w:sz="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.031</w:t>
            </w:r>
          </w:p>
        </w:tc>
        <w:tc>
          <w:tcPr>
            <w:tcW w:w="1387" w:type="dxa"/>
            <w:tcBorders>
              <w:left w:val="single" w:sz="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.2162</w:t>
            </w:r>
          </w:p>
        </w:tc>
        <w:tc>
          <w:tcPr>
            <w:tcW w:w="1387" w:type="dxa"/>
            <w:tcBorders>
              <w:left w:val="single" w:sz="8" w:space="0" w:color="000000"/>
              <w:bottom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4.4304</w:t>
            </w:r>
          </w:p>
        </w:tc>
      </w:tr>
      <w:tr w:rsidR="00757124" w:rsidRPr="00B013ED" w:rsidTr="006C56CA">
        <w:trPr>
          <w:cantSplit/>
        </w:trPr>
        <w:tc>
          <w:tcPr>
            <w:tcW w:w="1463"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464" w:type="dxa"/>
            <w:tcBorders>
              <w:top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464" w:type="dxa"/>
            <w:tcBorders>
              <w:top w:val="single" w:sz="4" w:space="0" w:color="auto"/>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43.02444</w:t>
            </w:r>
            <w:r w:rsidRPr="00B013ED">
              <w:rPr>
                <w:rFonts w:eastAsia="Calibri" w:cstheme="minorBidi"/>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top w:val="single" w:sz="4" w:space="0" w:color="auto"/>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40.9173</w:t>
            </w:r>
          </w:p>
        </w:tc>
        <w:tc>
          <w:tcPr>
            <w:tcW w:w="1387" w:type="dxa"/>
            <w:tcBorders>
              <w:top w:val="single" w:sz="4" w:space="0" w:color="auto"/>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45.1315</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464"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17.47667</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15.3696</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19.5838</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464"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-.42556</w:t>
            </w:r>
          </w:p>
        </w:tc>
        <w:tc>
          <w:tcPr>
            <w:tcW w:w="1005"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.687</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-2.5327</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1.6815</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464"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8.58556</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6.4785</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10.6927</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464"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2.79667</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.010</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.6896</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4.9038</w:t>
            </w:r>
          </w:p>
        </w:tc>
      </w:tr>
      <w:tr w:rsidR="00757124" w:rsidRPr="00B013ED" w:rsidTr="006C56CA">
        <w:trPr>
          <w:cantSplit/>
        </w:trPr>
        <w:tc>
          <w:tcPr>
            <w:tcW w:w="1463"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bottom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464" w:type="dxa"/>
            <w:tcBorders>
              <w:left w:val="single" w:sz="1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1.89778</w:t>
            </w:r>
          </w:p>
        </w:tc>
        <w:tc>
          <w:tcPr>
            <w:tcW w:w="1005" w:type="dxa"/>
            <w:tcBorders>
              <w:left w:val="single" w:sz="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.077</w:t>
            </w:r>
          </w:p>
        </w:tc>
        <w:tc>
          <w:tcPr>
            <w:tcW w:w="1387" w:type="dxa"/>
            <w:tcBorders>
              <w:left w:val="single" w:sz="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-.2093</w:t>
            </w:r>
          </w:p>
        </w:tc>
        <w:tc>
          <w:tcPr>
            <w:tcW w:w="1387" w:type="dxa"/>
            <w:tcBorders>
              <w:left w:val="single" w:sz="8" w:space="0" w:color="000000"/>
              <w:bottom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4.0049</w:t>
            </w:r>
          </w:p>
        </w:tc>
      </w:tr>
      <w:tr w:rsidR="00757124" w:rsidRPr="00B013ED" w:rsidTr="006C56CA">
        <w:trPr>
          <w:cantSplit/>
        </w:trPr>
        <w:tc>
          <w:tcPr>
            <w:tcW w:w="1463"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464" w:type="dxa"/>
            <w:tcBorders>
              <w:top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464" w:type="dxa"/>
            <w:tcBorders>
              <w:top w:val="single" w:sz="4" w:space="0" w:color="auto"/>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34.43889</w:t>
            </w:r>
            <w:r w:rsidRPr="00B013ED">
              <w:rPr>
                <w:rFonts w:eastAsia="Calibri" w:cstheme="minorBidi"/>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top w:val="single" w:sz="4" w:space="0" w:color="auto"/>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32.3318</w:t>
            </w:r>
          </w:p>
        </w:tc>
        <w:tc>
          <w:tcPr>
            <w:tcW w:w="1387" w:type="dxa"/>
            <w:tcBorders>
              <w:top w:val="single" w:sz="4" w:space="0" w:color="auto"/>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36.5460</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464"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8.89111</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6.7840</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10.9982</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464"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-9.01111</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-11.1182</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-6.9040</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464"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-8.58556</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-10.6927</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-6.4785</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464"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-5.78889</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-7.8960</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-3.6818</w:t>
            </w:r>
          </w:p>
        </w:tc>
      </w:tr>
      <w:tr w:rsidR="00757124" w:rsidRPr="00B013ED" w:rsidTr="006C56CA">
        <w:trPr>
          <w:cantSplit/>
        </w:trPr>
        <w:tc>
          <w:tcPr>
            <w:tcW w:w="1463"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bottom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464" w:type="dxa"/>
            <w:tcBorders>
              <w:left w:val="single" w:sz="1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-6.68778</w:t>
            </w:r>
            <w:r w:rsidRPr="00B013ED">
              <w:rPr>
                <w:rFonts w:eastAsia="Calibri" w:cstheme="minorBidi"/>
                <w:color w:val="000000"/>
                <w:sz w:val="18"/>
                <w:szCs w:val="18"/>
                <w:vertAlign w:val="superscript"/>
              </w:rPr>
              <w:t>*</w:t>
            </w:r>
          </w:p>
        </w:tc>
        <w:tc>
          <w:tcPr>
            <w:tcW w:w="1005" w:type="dxa"/>
            <w:tcBorders>
              <w:left w:val="single" w:sz="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-8.7949</w:t>
            </w:r>
          </w:p>
        </w:tc>
        <w:tc>
          <w:tcPr>
            <w:tcW w:w="1387" w:type="dxa"/>
            <w:tcBorders>
              <w:left w:val="single" w:sz="8" w:space="0" w:color="000000"/>
              <w:bottom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-4.5807</w:t>
            </w:r>
          </w:p>
        </w:tc>
      </w:tr>
      <w:tr w:rsidR="00757124" w:rsidRPr="00B013ED" w:rsidTr="006C56CA">
        <w:trPr>
          <w:cantSplit/>
        </w:trPr>
        <w:tc>
          <w:tcPr>
            <w:tcW w:w="1463"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464" w:type="dxa"/>
            <w:tcBorders>
              <w:top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464" w:type="dxa"/>
            <w:tcBorders>
              <w:top w:val="single" w:sz="4" w:space="0" w:color="auto"/>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40.22778</w:t>
            </w:r>
            <w:r w:rsidRPr="00B013ED">
              <w:rPr>
                <w:rFonts w:eastAsia="Calibri" w:cstheme="minorBidi"/>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top w:val="single" w:sz="4" w:space="0" w:color="auto"/>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38.1207</w:t>
            </w:r>
          </w:p>
        </w:tc>
        <w:tc>
          <w:tcPr>
            <w:tcW w:w="1387" w:type="dxa"/>
            <w:tcBorders>
              <w:top w:val="single" w:sz="4" w:space="0" w:color="auto"/>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42.3349</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464"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14.68000</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12.5729</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16.7871</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464"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-3.22222</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.003</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-5.3293</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-1.1151</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464"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-2.79667</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.010</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-4.9038</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-.6896</w:t>
            </w:r>
          </w:p>
        </w:tc>
      </w:tr>
      <w:tr w:rsidR="00757124" w:rsidRPr="00B013ED" w:rsidTr="006C56CA">
        <w:trPr>
          <w:cantSplit/>
        </w:trPr>
        <w:tc>
          <w:tcPr>
            <w:tcW w:w="1463"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464"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5.78889</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3.6818</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7.8960</w:t>
            </w:r>
          </w:p>
        </w:tc>
      </w:tr>
      <w:tr w:rsidR="00757124" w:rsidRPr="00B013ED" w:rsidTr="006C56CA">
        <w:trPr>
          <w:cantSplit/>
        </w:trPr>
        <w:tc>
          <w:tcPr>
            <w:tcW w:w="1463"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bottom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464" w:type="dxa"/>
            <w:tcBorders>
              <w:left w:val="single" w:sz="1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-.89889</w:t>
            </w:r>
          </w:p>
        </w:tc>
        <w:tc>
          <w:tcPr>
            <w:tcW w:w="1005" w:type="dxa"/>
            <w:tcBorders>
              <w:left w:val="single" w:sz="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.396</w:t>
            </w:r>
          </w:p>
        </w:tc>
        <w:tc>
          <w:tcPr>
            <w:tcW w:w="1387" w:type="dxa"/>
            <w:tcBorders>
              <w:left w:val="single" w:sz="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-3.0060</w:t>
            </w:r>
          </w:p>
        </w:tc>
        <w:tc>
          <w:tcPr>
            <w:tcW w:w="1387" w:type="dxa"/>
            <w:tcBorders>
              <w:left w:val="single" w:sz="8" w:space="0" w:color="000000"/>
              <w:bottom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1.2082</w:t>
            </w:r>
          </w:p>
        </w:tc>
      </w:tr>
      <w:tr w:rsidR="00757124" w:rsidRPr="00B013ED" w:rsidTr="006C56CA">
        <w:trPr>
          <w:cantSplit/>
        </w:trPr>
        <w:tc>
          <w:tcPr>
            <w:tcW w:w="1463" w:type="dxa"/>
            <w:vMerge w:val="restart"/>
            <w:tcBorders>
              <w:top w:val="single" w:sz="4" w:space="0" w:color="auto"/>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Cip+Met+Mino</w:t>
            </w:r>
          </w:p>
        </w:tc>
        <w:tc>
          <w:tcPr>
            <w:tcW w:w="1464" w:type="dxa"/>
            <w:tcBorders>
              <w:top w:val="single" w:sz="4" w:space="0" w:color="auto"/>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NSCH</w:t>
            </w:r>
          </w:p>
        </w:tc>
        <w:tc>
          <w:tcPr>
            <w:tcW w:w="1464" w:type="dxa"/>
            <w:tcBorders>
              <w:top w:val="single" w:sz="4" w:space="0" w:color="auto"/>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41.12667</w:t>
            </w:r>
            <w:r w:rsidRPr="00B013ED">
              <w:rPr>
                <w:rFonts w:eastAsia="Calibri" w:cstheme="minorBidi"/>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top w:val="single" w:sz="4" w:space="0" w:color="auto"/>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39.0196</w:t>
            </w:r>
          </w:p>
        </w:tc>
        <w:tc>
          <w:tcPr>
            <w:tcW w:w="1387" w:type="dxa"/>
            <w:tcBorders>
              <w:top w:val="single" w:sz="4" w:space="0" w:color="auto"/>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43.2338</w:t>
            </w:r>
          </w:p>
        </w:tc>
      </w:tr>
      <w:tr w:rsidR="00757124" w:rsidRPr="00B013ED" w:rsidTr="006C56CA">
        <w:trPr>
          <w:cantSplit/>
        </w:trPr>
        <w:tc>
          <w:tcPr>
            <w:tcW w:w="1463"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MTA</w:t>
            </w:r>
          </w:p>
        </w:tc>
        <w:tc>
          <w:tcPr>
            <w:tcW w:w="1464"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15.57889</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13.4718</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17.6860</w:t>
            </w:r>
          </w:p>
        </w:tc>
      </w:tr>
      <w:tr w:rsidR="00757124" w:rsidRPr="00B013ED" w:rsidTr="006C56CA">
        <w:trPr>
          <w:cantSplit/>
        </w:trPr>
        <w:tc>
          <w:tcPr>
            <w:tcW w:w="1463"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Mino</w:t>
            </w:r>
          </w:p>
        </w:tc>
        <w:tc>
          <w:tcPr>
            <w:tcW w:w="1464"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-2.32333</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.031</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-4.4304</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-.2162</w:t>
            </w:r>
          </w:p>
        </w:tc>
      </w:tr>
      <w:tr w:rsidR="00757124" w:rsidRPr="00B013ED" w:rsidTr="006C56CA">
        <w:trPr>
          <w:cantSplit/>
        </w:trPr>
        <w:tc>
          <w:tcPr>
            <w:tcW w:w="1463"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w:t>
            </w:r>
          </w:p>
        </w:tc>
        <w:tc>
          <w:tcPr>
            <w:tcW w:w="1464"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-1.89778</w:t>
            </w:r>
          </w:p>
        </w:tc>
        <w:tc>
          <w:tcPr>
            <w:tcW w:w="1005"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.077</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-4.0049</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.2093</w:t>
            </w:r>
          </w:p>
        </w:tc>
      </w:tr>
      <w:tr w:rsidR="00757124" w:rsidRPr="00B013ED" w:rsidTr="006C56CA">
        <w:trPr>
          <w:cantSplit/>
        </w:trPr>
        <w:tc>
          <w:tcPr>
            <w:tcW w:w="1463"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Met</w:t>
            </w:r>
          </w:p>
        </w:tc>
        <w:tc>
          <w:tcPr>
            <w:tcW w:w="1464"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sz w:val="18"/>
                <w:szCs w:val="18"/>
              </w:rPr>
            </w:pPr>
            <w:r w:rsidRPr="00B013ED">
              <w:rPr>
                <w:rFonts w:eastAsia="Calibri" w:cstheme="minorBidi"/>
                <w:color w:val="000000"/>
                <w:sz w:val="18"/>
                <w:szCs w:val="18"/>
              </w:rPr>
              <w:t>6.68778</w:t>
            </w:r>
            <w:r w:rsidRPr="00B013ED">
              <w:rPr>
                <w:rFonts w:eastAsia="Calibri" w:cstheme="minorBidi"/>
                <w:color w:val="000000"/>
                <w:sz w:val="18"/>
                <w:szCs w:val="18"/>
                <w:vertAlign w:val="superscript"/>
              </w:rPr>
              <w:t>*</w:t>
            </w:r>
          </w:p>
        </w:tc>
        <w:tc>
          <w:tcPr>
            <w:tcW w:w="1005"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.000</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4.5807</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8.7949</w:t>
            </w:r>
          </w:p>
        </w:tc>
      </w:tr>
      <w:tr w:rsidR="00757124" w:rsidRPr="00B013ED" w:rsidTr="006C56CA">
        <w:trPr>
          <w:cantSplit/>
        </w:trPr>
        <w:tc>
          <w:tcPr>
            <w:tcW w:w="1463"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eastAsia="Calibri" w:cstheme="minorBidi"/>
                <w:color w:val="000000"/>
                <w:sz w:val="18"/>
                <w:szCs w:val="18"/>
              </w:rPr>
            </w:pPr>
          </w:p>
        </w:tc>
        <w:tc>
          <w:tcPr>
            <w:tcW w:w="1464" w:type="dxa"/>
            <w:tcBorders>
              <w:bottom w:val="single" w:sz="1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eastAsia="Calibri" w:cstheme="minorBidi"/>
                <w:color w:val="000000"/>
                <w:sz w:val="18"/>
                <w:szCs w:val="18"/>
              </w:rPr>
            </w:pPr>
            <w:r w:rsidRPr="00B013ED">
              <w:rPr>
                <w:rFonts w:eastAsia="Calibri" w:cstheme="minorBidi"/>
                <w:color w:val="000000"/>
                <w:sz w:val="18"/>
                <w:szCs w:val="18"/>
              </w:rPr>
              <w:t>Cip+Met</w:t>
            </w:r>
          </w:p>
        </w:tc>
        <w:tc>
          <w:tcPr>
            <w:tcW w:w="1464" w:type="dxa"/>
            <w:tcBorders>
              <w:left w:val="single" w:sz="1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.89889</w:t>
            </w:r>
          </w:p>
        </w:tc>
        <w:tc>
          <w:tcPr>
            <w:tcW w:w="1005" w:type="dxa"/>
            <w:tcBorders>
              <w:left w:val="single" w:sz="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.396</w:t>
            </w:r>
          </w:p>
        </w:tc>
        <w:tc>
          <w:tcPr>
            <w:tcW w:w="1387" w:type="dxa"/>
            <w:tcBorders>
              <w:left w:val="single" w:sz="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-1.2082</w:t>
            </w:r>
          </w:p>
        </w:tc>
        <w:tc>
          <w:tcPr>
            <w:tcW w:w="1387" w:type="dxa"/>
            <w:tcBorders>
              <w:left w:val="single" w:sz="8" w:space="0" w:color="000000"/>
              <w:bottom w:val="single" w:sz="1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eastAsia="Calibri" w:cstheme="minorBidi"/>
                <w:color w:val="000000"/>
                <w:sz w:val="18"/>
                <w:szCs w:val="18"/>
              </w:rPr>
            </w:pPr>
            <w:r w:rsidRPr="00B013ED">
              <w:rPr>
                <w:rFonts w:eastAsia="Calibri" w:cstheme="minorBidi"/>
                <w:color w:val="000000"/>
                <w:sz w:val="18"/>
                <w:szCs w:val="18"/>
              </w:rPr>
              <w:t>3.0060</w:t>
            </w:r>
          </w:p>
        </w:tc>
      </w:tr>
    </w:tbl>
    <w:p w:rsidR="00711907" w:rsidRDefault="00711907" w:rsidP="00711907">
      <w:pPr>
        <w:spacing w:after="120" w:line="360" w:lineRule="auto"/>
        <w:jc w:val="both"/>
        <w:rPr>
          <w:rFonts w:eastAsia="Times New Roman"/>
          <w:b/>
          <w:color w:val="000000"/>
          <w:lang w:eastAsia="en-GB"/>
        </w:rPr>
      </w:pPr>
    </w:p>
    <w:p w:rsidR="005A4838" w:rsidRPr="00B726C3" w:rsidRDefault="00711907" w:rsidP="00B726C3">
      <w:pPr>
        <w:spacing w:after="120" w:line="360" w:lineRule="auto"/>
        <w:jc w:val="both"/>
        <w:rPr>
          <w:sz w:val="20"/>
          <w:szCs w:val="20"/>
          <w:lang w:val="en-US"/>
        </w:rPr>
      </w:pPr>
      <w:r w:rsidRPr="00B013ED">
        <w:rPr>
          <w:sz w:val="20"/>
          <w:szCs w:val="20"/>
          <w:lang w:val="en-US"/>
        </w:rPr>
        <w:t>*. The mean difference is significant at the 0.05 level.</w:t>
      </w:r>
    </w:p>
    <w:p w:rsidR="00711907" w:rsidRDefault="00711907">
      <w:pPr>
        <w:rPr>
          <w:rFonts w:eastAsia="Times New Roman"/>
          <w:b/>
          <w:color w:val="000000"/>
          <w:lang w:eastAsia="en-GB"/>
        </w:rPr>
      </w:pPr>
      <w:r>
        <w:rPr>
          <w:rFonts w:eastAsia="Times New Roman"/>
          <w:b/>
          <w:color w:val="000000"/>
          <w:lang w:eastAsia="en-GB"/>
        </w:rPr>
        <w:br w:type="page"/>
      </w:r>
    </w:p>
    <w:p w:rsidR="00EC38E2" w:rsidRDefault="00EC38E2" w:rsidP="00EC38E2">
      <w:pPr>
        <w:spacing w:after="120" w:line="480" w:lineRule="auto"/>
        <w:jc w:val="both"/>
        <w:rPr>
          <w:rFonts w:eastAsia="Times New Roman"/>
          <w:b/>
          <w:color w:val="000000"/>
          <w:lang w:eastAsia="en-GB"/>
        </w:rPr>
      </w:pPr>
      <w:r w:rsidRPr="007E1EC4">
        <w:rPr>
          <w:rFonts w:eastAsia="Times New Roman"/>
          <w:b/>
          <w:i/>
          <w:iCs/>
          <w:color w:val="000000"/>
          <w:lang w:eastAsia="en-GB"/>
        </w:rPr>
        <w:lastRenderedPageBreak/>
        <w:t>A</w:t>
      </w:r>
      <w:r w:rsidR="007E1EC4" w:rsidRPr="007E1EC4">
        <w:rPr>
          <w:rFonts w:eastAsia="Times New Roman"/>
          <w:b/>
          <w:i/>
          <w:iCs/>
          <w:color w:val="000000"/>
          <w:lang w:eastAsia="en-GB"/>
        </w:rPr>
        <w:t>.</w:t>
      </w:r>
      <w:r w:rsidRPr="007E1EC4">
        <w:rPr>
          <w:rFonts w:eastAsia="Times New Roman"/>
          <w:b/>
          <w:i/>
          <w:iCs/>
          <w:color w:val="000000"/>
          <w:lang w:eastAsia="en-GB"/>
        </w:rPr>
        <w:t xml:space="preserve"> odontolyticus</w:t>
      </w:r>
      <w:r w:rsidRPr="00B013ED">
        <w:rPr>
          <w:rFonts w:eastAsia="Times New Roman"/>
          <w:b/>
          <w:color w:val="000000"/>
          <w:lang w:eastAsia="en-GB"/>
        </w:rPr>
        <w:t xml:space="preserve"> (NCTC 9335)</w:t>
      </w:r>
    </w:p>
    <w:p w:rsidR="00374B77" w:rsidRPr="00374B77" w:rsidRDefault="0025608B" w:rsidP="00374B77">
      <w:pPr>
        <w:pStyle w:val="table"/>
        <w:jc w:val="both"/>
        <w:rPr>
          <w:szCs w:val="24"/>
        </w:rPr>
      </w:pPr>
      <w:r w:rsidRPr="00A80060">
        <w:rPr>
          <w:szCs w:val="24"/>
        </w:rPr>
        <w:t xml:space="preserve">The values for mean zone of inhibition (mm) are shown in </w:t>
      </w:r>
      <w:r w:rsidR="00B726C3" w:rsidRPr="00A80060">
        <w:rPr>
          <w:szCs w:val="24"/>
        </w:rPr>
        <w:fldChar w:fldCharType="begin"/>
      </w:r>
      <w:r w:rsidR="00B726C3" w:rsidRPr="00A80060">
        <w:rPr>
          <w:szCs w:val="24"/>
        </w:rPr>
        <w:instrText xml:space="preserve"> REF _Ref361094151 \h </w:instrText>
      </w:r>
      <w:r w:rsidR="00E62674" w:rsidRPr="00A80060">
        <w:rPr>
          <w:szCs w:val="24"/>
        </w:rPr>
        <w:instrText xml:space="preserve"> \* MERGEFORMAT </w:instrText>
      </w:r>
      <w:r w:rsidR="00B726C3" w:rsidRPr="00A80060">
        <w:rPr>
          <w:szCs w:val="24"/>
        </w:rPr>
      </w:r>
      <w:r w:rsidR="00B726C3" w:rsidRPr="00A80060">
        <w:rPr>
          <w:szCs w:val="24"/>
        </w:rPr>
        <w:fldChar w:fldCharType="separate"/>
      </w:r>
      <w:r w:rsidR="00374B77" w:rsidRPr="00374B77">
        <w:rPr>
          <w:szCs w:val="24"/>
        </w:rPr>
        <w:t xml:space="preserve">Table </w:t>
      </w:r>
      <w:r w:rsidR="00374B77" w:rsidRPr="00374B77">
        <w:rPr>
          <w:noProof/>
          <w:szCs w:val="24"/>
          <w:cs/>
        </w:rPr>
        <w:t>‎</w:t>
      </w:r>
      <w:r w:rsidR="00374B77">
        <w:rPr>
          <w:rFonts w:cstheme="minorBidi"/>
          <w:b/>
          <w:bCs w:val="0"/>
          <w:noProof/>
          <w:sz w:val="20"/>
          <w:szCs w:val="20"/>
        </w:rPr>
        <w:t>3.18</w:t>
      </w:r>
      <w:r w:rsidR="00B726C3" w:rsidRPr="00A80060">
        <w:rPr>
          <w:szCs w:val="24"/>
        </w:rPr>
        <w:fldChar w:fldCharType="end"/>
      </w:r>
      <w:r w:rsidR="00B726C3" w:rsidRPr="00A80060">
        <w:rPr>
          <w:szCs w:val="24"/>
        </w:rPr>
        <w:t xml:space="preserve"> </w:t>
      </w:r>
      <w:r w:rsidRPr="00A80060">
        <w:rPr>
          <w:szCs w:val="24"/>
        </w:rPr>
        <w:t>and</w:t>
      </w:r>
      <w:r w:rsidR="00B726C3" w:rsidRPr="00A80060">
        <w:rPr>
          <w:szCs w:val="24"/>
        </w:rPr>
        <w:t xml:space="preserve"> </w:t>
      </w:r>
      <w:r w:rsidR="00B726C3" w:rsidRPr="00A80060">
        <w:rPr>
          <w:szCs w:val="24"/>
        </w:rPr>
        <w:fldChar w:fldCharType="begin"/>
      </w:r>
      <w:r w:rsidR="00B726C3" w:rsidRPr="00A80060">
        <w:rPr>
          <w:szCs w:val="24"/>
        </w:rPr>
        <w:instrText xml:space="preserve"> REF _Ref361094209 \h </w:instrText>
      </w:r>
      <w:r w:rsidR="00A80060" w:rsidRPr="00A80060">
        <w:rPr>
          <w:szCs w:val="24"/>
        </w:rPr>
        <w:instrText xml:space="preserve"> \* MERGEFORMAT </w:instrText>
      </w:r>
      <w:r w:rsidR="00B726C3" w:rsidRPr="00A80060">
        <w:rPr>
          <w:szCs w:val="24"/>
        </w:rPr>
      </w:r>
      <w:r w:rsidR="00B726C3" w:rsidRPr="00A80060">
        <w:rPr>
          <w:szCs w:val="24"/>
        </w:rPr>
        <w:fldChar w:fldCharType="separate"/>
      </w:r>
    </w:p>
    <w:p w:rsidR="0025608B" w:rsidRPr="00A80060" w:rsidRDefault="00374B77" w:rsidP="00A80060">
      <w:pPr>
        <w:pStyle w:val="table"/>
        <w:jc w:val="both"/>
        <w:rPr>
          <w:szCs w:val="24"/>
        </w:rPr>
      </w:pPr>
      <w:r w:rsidRPr="00374B77">
        <w:rPr>
          <w:szCs w:val="24"/>
        </w:rPr>
        <w:t>Figure</w:t>
      </w:r>
      <w:r w:rsidRPr="00374B77">
        <w:rPr>
          <w:noProof/>
          <w:szCs w:val="24"/>
        </w:rPr>
        <w:t xml:space="preserve"> </w:t>
      </w:r>
      <w:r w:rsidRPr="00374B77">
        <w:rPr>
          <w:noProof/>
          <w:szCs w:val="24"/>
          <w:cs/>
        </w:rPr>
        <w:t>‎</w:t>
      </w:r>
      <w:r>
        <w:rPr>
          <w:rFonts w:cstheme="minorBidi"/>
          <w:b/>
          <w:bCs w:val="0"/>
          <w:noProof/>
          <w:sz w:val="20"/>
          <w:szCs w:val="20"/>
        </w:rPr>
        <w:t>3.17</w:t>
      </w:r>
      <w:r w:rsidR="00B726C3" w:rsidRPr="00A80060">
        <w:rPr>
          <w:szCs w:val="24"/>
        </w:rPr>
        <w:fldChar w:fldCharType="end"/>
      </w:r>
      <w:r w:rsidR="0025608B" w:rsidRPr="00A80060">
        <w:rPr>
          <w:szCs w:val="24"/>
        </w:rPr>
        <w:t xml:space="preserve"> </w:t>
      </w:r>
      <w:proofErr w:type="gramStart"/>
      <w:r w:rsidR="0025608B" w:rsidRPr="00A80060">
        <w:rPr>
          <w:szCs w:val="24"/>
        </w:rPr>
        <w:t>It</w:t>
      </w:r>
      <w:proofErr w:type="gramEnd"/>
      <w:r w:rsidR="0025608B" w:rsidRPr="00A80060">
        <w:rPr>
          <w:szCs w:val="24"/>
        </w:rPr>
        <w:t xml:space="preserve"> can be seen that all test material</w:t>
      </w:r>
      <w:r w:rsidR="00313C48" w:rsidRPr="00A80060">
        <w:rPr>
          <w:szCs w:val="24"/>
        </w:rPr>
        <w:t>s</w:t>
      </w:r>
      <w:r w:rsidR="0025608B" w:rsidRPr="00A80060">
        <w:rPr>
          <w:szCs w:val="24"/>
        </w:rPr>
        <w:t xml:space="preserve"> </w:t>
      </w:r>
      <w:r w:rsidR="00313C48" w:rsidRPr="00A80060">
        <w:rPr>
          <w:szCs w:val="24"/>
        </w:rPr>
        <w:t>were</w:t>
      </w:r>
      <w:r w:rsidR="0025608B" w:rsidRPr="00A80060">
        <w:rPr>
          <w:szCs w:val="24"/>
        </w:rPr>
        <w:t xml:space="preserve"> effective ranged</w:t>
      </w:r>
      <w:r w:rsidR="00313C48" w:rsidRPr="00A80060">
        <w:rPr>
          <w:szCs w:val="24"/>
        </w:rPr>
        <w:t xml:space="preserve"> with the mean zone of inhibition ranging </w:t>
      </w:r>
      <w:r w:rsidR="0025608B" w:rsidRPr="00A80060">
        <w:rPr>
          <w:szCs w:val="24"/>
        </w:rPr>
        <w:t>8.79 mm</w:t>
      </w:r>
      <w:r w:rsidR="00313C48" w:rsidRPr="00A80060">
        <w:rPr>
          <w:szCs w:val="24"/>
          <w:u w:val="single"/>
        </w:rPr>
        <w:t>+</w:t>
      </w:r>
      <w:r w:rsidR="00313C48" w:rsidRPr="00A80060">
        <w:rPr>
          <w:szCs w:val="24"/>
        </w:rPr>
        <w:t>4.64</w:t>
      </w:r>
      <w:r w:rsidR="0025608B" w:rsidRPr="00A80060">
        <w:rPr>
          <w:szCs w:val="24"/>
        </w:rPr>
        <w:t xml:space="preserve"> for NSCH to 39.94 mm </w:t>
      </w:r>
      <w:r w:rsidR="00313C48" w:rsidRPr="00A80060">
        <w:rPr>
          <w:szCs w:val="24"/>
        </w:rPr>
        <w:t xml:space="preserve">+2.82 </w:t>
      </w:r>
      <w:r w:rsidR="0025608B" w:rsidRPr="00A80060">
        <w:rPr>
          <w:szCs w:val="24"/>
        </w:rPr>
        <w:t>for</w:t>
      </w:r>
      <w:r w:rsidR="0065488C" w:rsidRPr="00A80060">
        <w:rPr>
          <w:szCs w:val="24"/>
        </w:rPr>
        <w:t xml:space="preserve"> Mino+Cip+</w:t>
      </w:r>
      <w:r w:rsidR="0025608B" w:rsidRPr="00A80060">
        <w:rPr>
          <w:szCs w:val="24"/>
        </w:rPr>
        <w:t xml:space="preserve">Met. </w:t>
      </w:r>
    </w:p>
    <w:p w:rsidR="0025608B" w:rsidRDefault="0025608B" w:rsidP="00EC38E2">
      <w:pPr>
        <w:spacing w:after="120" w:line="480" w:lineRule="auto"/>
        <w:jc w:val="both"/>
        <w:rPr>
          <w:rFonts w:eastAsia="Times New Roman"/>
          <w:b/>
          <w:color w:val="000000"/>
          <w:lang w:eastAsia="en-GB"/>
        </w:rPr>
      </w:pPr>
    </w:p>
    <w:p w:rsidR="00B726C3" w:rsidRPr="00B726C3" w:rsidRDefault="00B726C3" w:rsidP="00E62674">
      <w:pPr>
        <w:spacing w:after="120" w:line="480" w:lineRule="auto"/>
        <w:jc w:val="both"/>
        <w:rPr>
          <w:rFonts w:eastAsia="Times New Roman" w:cstheme="minorBidi"/>
          <w:b/>
          <w:bCs/>
          <w:color w:val="000000"/>
          <w:sz w:val="20"/>
          <w:szCs w:val="20"/>
          <w:lang w:eastAsia="en-GB"/>
        </w:rPr>
      </w:pPr>
      <w:bookmarkStart w:id="601" w:name="_Ref361094151"/>
      <w:bookmarkStart w:id="602" w:name="_Toc370511754"/>
      <w:proofErr w:type="gramStart"/>
      <w:r w:rsidRPr="00B726C3">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18</w:t>
      </w:r>
      <w:r w:rsidR="00E7089D">
        <w:rPr>
          <w:rFonts w:cstheme="minorBidi"/>
          <w:b/>
          <w:bCs/>
          <w:sz w:val="20"/>
          <w:szCs w:val="20"/>
        </w:rPr>
        <w:fldChar w:fldCharType="end"/>
      </w:r>
      <w:bookmarkEnd w:id="601"/>
      <w:r w:rsidRPr="00B726C3">
        <w:rPr>
          <w:b/>
          <w:bCs/>
          <w:sz w:val="20"/>
          <w:szCs w:val="20"/>
        </w:rPr>
        <w:t xml:space="preserve"> </w:t>
      </w:r>
      <w:r w:rsidR="00E62674">
        <w:rPr>
          <w:b/>
          <w:bCs/>
          <w:sz w:val="20"/>
          <w:szCs w:val="20"/>
        </w:rPr>
        <w:t>R</w:t>
      </w:r>
      <w:r w:rsidRPr="005305DB">
        <w:rPr>
          <w:b/>
          <w:bCs/>
          <w:sz w:val="20"/>
          <w:szCs w:val="20"/>
        </w:rPr>
        <w:t xml:space="preserve">esults for the inhibition zone (mm) for </w:t>
      </w:r>
      <w:r w:rsidRPr="005305DB">
        <w:rPr>
          <w:rFonts w:eastAsia="Times New Roman"/>
          <w:b/>
          <w:bCs/>
          <w:i/>
          <w:iCs/>
          <w:color w:val="000000"/>
          <w:sz w:val="20"/>
          <w:szCs w:val="20"/>
          <w:lang w:eastAsia="en-GB"/>
        </w:rPr>
        <w:t>A. odontolyticus</w:t>
      </w:r>
      <w:r w:rsidRPr="005305DB">
        <w:rPr>
          <w:rFonts w:eastAsia="Times New Roman"/>
          <w:b/>
          <w:bCs/>
          <w:color w:val="000000"/>
          <w:sz w:val="20"/>
          <w:szCs w:val="20"/>
          <w:lang w:eastAsia="en-GB"/>
        </w:rPr>
        <w:t xml:space="preserve"> </w:t>
      </w:r>
      <w:r w:rsidRPr="005305DB">
        <w:rPr>
          <w:b/>
          <w:bCs/>
          <w:sz w:val="20"/>
          <w:szCs w:val="20"/>
        </w:rPr>
        <w:t>with all the test materials.</w:t>
      </w:r>
      <w:bookmarkEnd w:id="602"/>
    </w:p>
    <w:tbl>
      <w:tblPr>
        <w:tblStyle w:val="TableGrid"/>
        <w:tblpPr w:leftFromText="180" w:rightFromText="180" w:vertAnchor="text" w:horzAnchor="margin" w:tblpY="95"/>
        <w:tblW w:w="0" w:type="auto"/>
        <w:tblLook w:val="04A0" w:firstRow="1" w:lastRow="0" w:firstColumn="1" w:lastColumn="0" w:noHBand="0" w:noVBand="1"/>
      </w:tblPr>
      <w:tblGrid>
        <w:gridCol w:w="2852"/>
        <w:gridCol w:w="2852"/>
        <w:gridCol w:w="2852"/>
      </w:tblGrid>
      <w:tr w:rsidR="00EC38E2" w:rsidRPr="00B013ED" w:rsidTr="00624E9D">
        <w:trPr>
          <w:trHeight w:val="681"/>
        </w:trPr>
        <w:tc>
          <w:tcPr>
            <w:tcW w:w="2852" w:type="dxa"/>
            <w:shd w:val="clear" w:color="auto" w:fill="17365D" w:themeFill="text2" w:themeFillShade="BF"/>
            <w:vAlign w:val="center"/>
          </w:tcPr>
          <w:p w:rsidR="00EC38E2" w:rsidRPr="00F2488F" w:rsidRDefault="00EC38E2" w:rsidP="00F2488F">
            <w:pPr>
              <w:spacing w:after="120" w:line="480" w:lineRule="auto"/>
              <w:jc w:val="center"/>
              <w:rPr>
                <w:b/>
                <w:color w:val="FFFFFF" w:themeColor="background1"/>
                <w:sz w:val="20"/>
                <w:lang w:eastAsia="en-GB"/>
              </w:rPr>
            </w:pPr>
            <w:r w:rsidRPr="00F2488F">
              <w:rPr>
                <w:b/>
                <w:color w:val="FFFFFF" w:themeColor="background1"/>
                <w:sz w:val="20"/>
                <w:lang w:eastAsia="en-GB"/>
              </w:rPr>
              <w:t>Test materials</w:t>
            </w:r>
          </w:p>
        </w:tc>
        <w:tc>
          <w:tcPr>
            <w:tcW w:w="2852" w:type="dxa"/>
            <w:shd w:val="clear" w:color="auto" w:fill="17365D" w:themeFill="text2" w:themeFillShade="BF"/>
            <w:vAlign w:val="center"/>
          </w:tcPr>
          <w:p w:rsidR="00EC38E2" w:rsidRPr="00F2488F" w:rsidRDefault="00EC38E2" w:rsidP="00F2488F">
            <w:pPr>
              <w:spacing w:after="120"/>
              <w:jc w:val="center"/>
              <w:rPr>
                <w:b/>
                <w:color w:val="FFFFFF" w:themeColor="background1"/>
                <w:sz w:val="20"/>
                <w:lang w:eastAsia="en-GB"/>
              </w:rPr>
            </w:pPr>
            <w:r w:rsidRPr="00F2488F">
              <w:rPr>
                <w:b/>
                <w:color w:val="FFFFFF" w:themeColor="background1"/>
                <w:sz w:val="20"/>
                <w:lang w:eastAsia="en-GB"/>
              </w:rPr>
              <w:t>Mean Zone of inhibition (MM) against P.gingivalis (W50)</w:t>
            </w:r>
          </w:p>
        </w:tc>
        <w:tc>
          <w:tcPr>
            <w:tcW w:w="2852" w:type="dxa"/>
            <w:shd w:val="clear" w:color="auto" w:fill="17365D" w:themeFill="text2" w:themeFillShade="BF"/>
            <w:vAlign w:val="center"/>
          </w:tcPr>
          <w:p w:rsidR="00EC38E2" w:rsidRPr="00F2488F" w:rsidRDefault="00EC38E2" w:rsidP="00F2488F">
            <w:pPr>
              <w:spacing w:after="120" w:line="480" w:lineRule="auto"/>
              <w:jc w:val="center"/>
              <w:rPr>
                <w:b/>
                <w:color w:val="FFFFFF" w:themeColor="background1"/>
                <w:lang w:eastAsia="en-GB"/>
              </w:rPr>
            </w:pPr>
            <w:r w:rsidRPr="00F2488F">
              <w:rPr>
                <w:b/>
                <w:color w:val="FFFFFF" w:themeColor="background1"/>
                <w:lang w:eastAsia="en-GB"/>
              </w:rPr>
              <w:t>SD</w:t>
            </w:r>
          </w:p>
        </w:tc>
      </w:tr>
      <w:tr w:rsidR="00EC38E2" w:rsidRPr="00B013ED" w:rsidTr="00624E9D">
        <w:trPr>
          <w:trHeight w:val="681"/>
        </w:trPr>
        <w:tc>
          <w:tcPr>
            <w:tcW w:w="2852" w:type="dxa"/>
            <w:shd w:val="clear" w:color="auto" w:fill="FDE9D9" w:themeFill="accent6" w:themeFillTint="33"/>
            <w:vAlign w:val="center"/>
          </w:tcPr>
          <w:p w:rsidR="00EC38E2" w:rsidRPr="00B013ED" w:rsidRDefault="00EC38E2" w:rsidP="00F2488F">
            <w:pPr>
              <w:spacing w:after="120" w:line="480" w:lineRule="auto"/>
              <w:jc w:val="center"/>
              <w:rPr>
                <w:b/>
                <w:color w:val="000000"/>
                <w:sz w:val="20"/>
                <w:lang w:eastAsia="en-GB"/>
              </w:rPr>
            </w:pPr>
            <w:r w:rsidRPr="00B013ED">
              <w:rPr>
                <w:b/>
                <w:color w:val="000000"/>
                <w:sz w:val="20"/>
                <w:lang w:eastAsia="en-GB"/>
              </w:rPr>
              <w:t>NSCH</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rPr>
                <w:b/>
                <w:color w:val="000000"/>
                <w:lang w:eastAsia="en-GB"/>
              </w:rPr>
              <w:t>8.79</w:t>
            </w:r>
            <w:r w:rsidR="0025608B">
              <w:rPr>
                <w:b/>
                <w:color w:val="000000"/>
                <w:lang w:eastAsia="en-GB"/>
              </w:rPr>
              <w:t xml:space="preserve"> </w:t>
            </w:r>
            <w:r w:rsidRPr="00B013ED">
              <w:rPr>
                <w:b/>
                <w:color w:val="000000"/>
                <w:lang w:eastAsia="en-GB"/>
              </w:rPr>
              <w:t>mm</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t>4.64</w:t>
            </w:r>
          </w:p>
        </w:tc>
      </w:tr>
      <w:tr w:rsidR="00EC38E2" w:rsidRPr="00B013ED" w:rsidTr="00624E9D">
        <w:trPr>
          <w:trHeight w:val="681"/>
        </w:trPr>
        <w:tc>
          <w:tcPr>
            <w:tcW w:w="2852" w:type="dxa"/>
            <w:shd w:val="clear" w:color="auto" w:fill="FDE9D9" w:themeFill="accent6" w:themeFillTint="33"/>
            <w:vAlign w:val="center"/>
          </w:tcPr>
          <w:p w:rsidR="00EC38E2" w:rsidRPr="00B013ED" w:rsidRDefault="00EC38E2" w:rsidP="00F2488F">
            <w:pPr>
              <w:spacing w:after="120" w:line="480" w:lineRule="auto"/>
              <w:jc w:val="center"/>
              <w:rPr>
                <w:b/>
                <w:color w:val="000000"/>
                <w:sz w:val="20"/>
                <w:lang w:eastAsia="en-GB"/>
              </w:rPr>
            </w:pPr>
            <w:r w:rsidRPr="00B013ED">
              <w:rPr>
                <w:b/>
                <w:color w:val="000000"/>
                <w:sz w:val="20"/>
                <w:lang w:eastAsia="en-GB"/>
              </w:rPr>
              <w:t>MTA</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rPr>
                <w:b/>
                <w:color w:val="000000"/>
                <w:lang w:eastAsia="en-GB"/>
              </w:rPr>
              <w:t>28.63</w:t>
            </w:r>
            <w:r w:rsidR="0025608B">
              <w:rPr>
                <w:b/>
                <w:color w:val="000000"/>
                <w:lang w:eastAsia="en-GB"/>
              </w:rPr>
              <w:t xml:space="preserve"> </w:t>
            </w:r>
            <w:r w:rsidRPr="00B013ED">
              <w:rPr>
                <w:b/>
                <w:color w:val="000000"/>
                <w:lang w:eastAsia="en-GB"/>
              </w:rPr>
              <w:t>mm</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t>3.75</w:t>
            </w:r>
          </w:p>
        </w:tc>
      </w:tr>
      <w:tr w:rsidR="00EC38E2" w:rsidRPr="00B013ED" w:rsidTr="00624E9D">
        <w:trPr>
          <w:trHeight w:val="681"/>
        </w:trPr>
        <w:tc>
          <w:tcPr>
            <w:tcW w:w="2852" w:type="dxa"/>
            <w:shd w:val="clear" w:color="auto" w:fill="FDE9D9" w:themeFill="accent6" w:themeFillTint="33"/>
            <w:vAlign w:val="center"/>
          </w:tcPr>
          <w:p w:rsidR="00EC38E2" w:rsidRPr="00B013ED" w:rsidRDefault="00EC38E2" w:rsidP="00F2488F">
            <w:pPr>
              <w:spacing w:after="120" w:line="480" w:lineRule="auto"/>
              <w:jc w:val="center"/>
              <w:rPr>
                <w:b/>
                <w:color w:val="000000"/>
                <w:sz w:val="20"/>
                <w:lang w:eastAsia="en-GB"/>
              </w:rPr>
            </w:pPr>
            <w:r w:rsidRPr="00B013ED">
              <w:rPr>
                <w:b/>
                <w:color w:val="000000"/>
                <w:sz w:val="20"/>
                <w:lang w:eastAsia="en-GB"/>
              </w:rPr>
              <w:t>Minocycline (Mino)</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rPr>
                <w:b/>
                <w:color w:val="000000"/>
                <w:lang w:eastAsia="en-GB"/>
              </w:rPr>
              <w:t>27.48</w:t>
            </w:r>
            <w:r w:rsidR="0025608B">
              <w:rPr>
                <w:b/>
                <w:color w:val="000000"/>
                <w:lang w:eastAsia="en-GB"/>
              </w:rPr>
              <w:t xml:space="preserve"> </w:t>
            </w:r>
            <w:r w:rsidRPr="00B013ED">
              <w:rPr>
                <w:b/>
                <w:color w:val="000000"/>
                <w:lang w:eastAsia="en-GB"/>
              </w:rPr>
              <w:t>mm</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t>4.74</w:t>
            </w:r>
          </w:p>
        </w:tc>
      </w:tr>
      <w:tr w:rsidR="00EC38E2" w:rsidRPr="00B013ED" w:rsidTr="00624E9D">
        <w:trPr>
          <w:trHeight w:val="681"/>
        </w:trPr>
        <w:tc>
          <w:tcPr>
            <w:tcW w:w="2852" w:type="dxa"/>
            <w:shd w:val="clear" w:color="auto" w:fill="FDE9D9" w:themeFill="accent6" w:themeFillTint="33"/>
            <w:vAlign w:val="center"/>
          </w:tcPr>
          <w:p w:rsidR="00EC38E2" w:rsidRPr="00B013ED" w:rsidRDefault="00EC38E2" w:rsidP="00F2488F">
            <w:pPr>
              <w:spacing w:after="120" w:line="480" w:lineRule="auto"/>
              <w:jc w:val="center"/>
              <w:rPr>
                <w:b/>
                <w:color w:val="000000"/>
                <w:sz w:val="20"/>
                <w:lang w:eastAsia="en-GB"/>
              </w:rPr>
            </w:pPr>
            <w:r w:rsidRPr="00B013ED">
              <w:rPr>
                <w:b/>
                <w:color w:val="000000"/>
                <w:sz w:val="20"/>
                <w:lang w:eastAsia="en-GB"/>
              </w:rPr>
              <w:t>Ciprofloxacin (Cip)</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rPr>
                <w:b/>
                <w:color w:val="000000"/>
                <w:lang w:eastAsia="en-GB"/>
              </w:rPr>
              <w:t>27.64</w:t>
            </w:r>
            <w:r w:rsidR="0025608B">
              <w:rPr>
                <w:b/>
                <w:color w:val="000000"/>
                <w:lang w:eastAsia="en-GB"/>
              </w:rPr>
              <w:t xml:space="preserve"> </w:t>
            </w:r>
            <w:r w:rsidRPr="00B013ED">
              <w:rPr>
                <w:b/>
                <w:color w:val="000000"/>
                <w:lang w:eastAsia="en-GB"/>
              </w:rPr>
              <w:t>mm</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t>2.04</w:t>
            </w:r>
          </w:p>
        </w:tc>
      </w:tr>
      <w:tr w:rsidR="00EC38E2" w:rsidRPr="00B013ED" w:rsidTr="00624E9D">
        <w:trPr>
          <w:trHeight w:val="681"/>
        </w:trPr>
        <w:tc>
          <w:tcPr>
            <w:tcW w:w="2852" w:type="dxa"/>
            <w:shd w:val="clear" w:color="auto" w:fill="FDE9D9" w:themeFill="accent6" w:themeFillTint="33"/>
            <w:vAlign w:val="center"/>
          </w:tcPr>
          <w:p w:rsidR="00EC38E2" w:rsidRPr="00B013ED" w:rsidRDefault="00EC38E2" w:rsidP="00F2488F">
            <w:pPr>
              <w:spacing w:after="120" w:line="480" w:lineRule="auto"/>
              <w:jc w:val="center"/>
              <w:rPr>
                <w:b/>
                <w:color w:val="000000"/>
                <w:sz w:val="20"/>
                <w:lang w:eastAsia="en-GB"/>
              </w:rPr>
            </w:pPr>
            <w:r w:rsidRPr="00B013ED">
              <w:rPr>
                <w:b/>
                <w:color w:val="000000"/>
                <w:sz w:val="20"/>
                <w:lang w:eastAsia="en-GB"/>
              </w:rPr>
              <w:t>Metronidazol (Met)</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rPr>
                <w:b/>
                <w:color w:val="000000"/>
                <w:lang w:eastAsia="en-GB"/>
              </w:rPr>
              <w:t>20.75</w:t>
            </w:r>
            <w:r w:rsidR="0025608B">
              <w:rPr>
                <w:b/>
                <w:color w:val="000000"/>
                <w:lang w:eastAsia="en-GB"/>
              </w:rPr>
              <w:t xml:space="preserve"> </w:t>
            </w:r>
            <w:r w:rsidRPr="00B013ED">
              <w:rPr>
                <w:b/>
                <w:color w:val="000000"/>
                <w:lang w:eastAsia="en-GB"/>
              </w:rPr>
              <w:t>mm</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t>1.66</w:t>
            </w:r>
          </w:p>
        </w:tc>
      </w:tr>
      <w:tr w:rsidR="00EC38E2" w:rsidRPr="00B013ED" w:rsidTr="00624E9D">
        <w:trPr>
          <w:trHeight w:val="681"/>
        </w:trPr>
        <w:tc>
          <w:tcPr>
            <w:tcW w:w="2852" w:type="dxa"/>
            <w:shd w:val="clear" w:color="auto" w:fill="FDE9D9" w:themeFill="accent6" w:themeFillTint="33"/>
            <w:vAlign w:val="center"/>
          </w:tcPr>
          <w:p w:rsidR="00EC38E2" w:rsidRPr="00B013ED" w:rsidRDefault="00EC38E2" w:rsidP="00F2488F">
            <w:pPr>
              <w:spacing w:after="120" w:line="480" w:lineRule="auto"/>
              <w:jc w:val="center"/>
              <w:rPr>
                <w:b/>
                <w:color w:val="000000"/>
                <w:sz w:val="20"/>
                <w:lang w:eastAsia="en-GB"/>
              </w:rPr>
            </w:pPr>
            <w:r w:rsidRPr="00B013ED">
              <w:rPr>
                <w:b/>
                <w:color w:val="000000"/>
                <w:sz w:val="20"/>
                <w:lang w:eastAsia="en-GB"/>
              </w:rPr>
              <w:t>(Cip + Met)</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rPr>
                <w:b/>
                <w:color w:val="000000"/>
                <w:lang w:eastAsia="en-GB"/>
              </w:rPr>
              <w:t>38.50</w:t>
            </w:r>
            <w:r w:rsidR="0025608B">
              <w:rPr>
                <w:b/>
                <w:color w:val="000000"/>
                <w:lang w:eastAsia="en-GB"/>
              </w:rPr>
              <w:t xml:space="preserve"> </w:t>
            </w:r>
            <w:r w:rsidRPr="00B013ED">
              <w:rPr>
                <w:b/>
                <w:color w:val="000000"/>
                <w:lang w:eastAsia="en-GB"/>
              </w:rPr>
              <w:t>mm</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t>1.83</w:t>
            </w:r>
          </w:p>
        </w:tc>
      </w:tr>
      <w:tr w:rsidR="00EC38E2" w:rsidRPr="00B013ED" w:rsidTr="00624E9D">
        <w:trPr>
          <w:trHeight w:val="681"/>
        </w:trPr>
        <w:tc>
          <w:tcPr>
            <w:tcW w:w="2852" w:type="dxa"/>
            <w:shd w:val="clear" w:color="auto" w:fill="FDE9D9" w:themeFill="accent6" w:themeFillTint="33"/>
            <w:vAlign w:val="center"/>
          </w:tcPr>
          <w:p w:rsidR="00EC38E2" w:rsidRPr="00B013ED" w:rsidRDefault="00EC38E2" w:rsidP="00F2488F">
            <w:pPr>
              <w:spacing w:after="120" w:line="480" w:lineRule="auto"/>
              <w:jc w:val="center"/>
              <w:rPr>
                <w:b/>
                <w:color w:val="000000"/>
                <w:sz w:val="20"/>
                <w:lang w:eastAsia="en-GB"/>
              </w:rPr>
            </w:pPr>
            <w:r w:rsidRPr="00B013ED">
              <w:rPr>
                <w:b/>
                <w:color w:val="000000"/>
                <w:sz w:val="20"/>
                <w:lang w:eastAsia="en-GB"/>
              </w:rPr>
              <w:t>(Mino+ Cip + Met)</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rPr>
                <w:b/>
                <w:color w:val="000000"/>
                <w:lang w:eastAsia="en-GB"/>
              </w:rPr>
              <w:t>39.94</w:t>
            </w:r>
            <w:r w:rsidR="0025608B">
              <w:rPr>
                <w:b/>
                <w:color w:val="000000"/>
                <w:lang w:eastAsia="en-GB"/>
              </w:rPr>
              <w:t xml:space="preserve"> </w:t>
            </w:r>
            <w:r w:rsidRPr="00B013ED">
              <w:rPr>
                <w:b/>
                <w:color w:val="000000"/>
                <w:lang w:eastAsia="en-GB"/>
              </w:rPr>
              <w:t>mm</w:t>
            </w:r>
          </w:p>
        </w:tc>
        <w:tc>
          <w:tcPr>
            <w:tcW w:w="2852" w:type="dxa"/>
            <w:vAlign w:val="center"/>
          </w:tcPr>
          <w:p w:rsidR="00EC38E2" w:rsidRPr="00B013ED" w:rsidRDefault="00EC38E2" w:rsidP="00F2488F">
            <w:pPr>
              <w:spacing w:after="120" w:line="480" w:lineRule="auto"/>
              <w:jc w:val="center"/>
              <w:rPr>
                <w:b/>
                <w:color w:val="000000"/>
                <w:lang w:eastAsia="en-GB"/>
              </w:rPr>
            </w:pPr>
            <w:r w:rsidRPr="00B013ED">
              <w:t>2.82</w:t>
            </w:r>
          </w:p>
        </w:tc>
      </w:tr>
    </w:tbl>
    <w:p w:rsidR="00EC38E2" w:rsidRDefault="00EC38E2" w:rsidP="00EC38E2">
      <w:pPr>
        <w:spacing w:after="120" w:line="480" w:lineRule="auto"/>
        <w:jc w:val="both"/>
        <w:rPr>
          <w:rFonts w:eastAsia="Times New Roman"/>
          <w:b/>
          <w:color w:val="000000"/>
          <w:lang w:eastAsia="en-GB"/>
        </w:rPr>
      </w:pPr>
    </w:p>
    <w:p w:rsidR="000760EF" w:rsidRDefault="000760EF">
      <w:pPr>
        <w:rPr>
          <w:rFonts w:cstheme="minorBidi"/>
          <w:b/>
          <w:bCs/>
          <w:sz w:val="20"/>
          <w:szCs w:val="20"/>
        </w:rPr>
      </w:pPr>
      <w:r>
        <w:rPr>
          <w:rFonts w:cstheme="minorBidi"/>
          <w:b/>
          <w:bCs/>
          <w:sz w:val="20"/>
          <w:szCs w:val="20"/>
        </w:rPr>
        <w:br w:type="page"/>
      </w:r>
    </w:p>
    <w:p w:rsidR="00390770" w:rsidRDefault="00390770" w:rsidP="001D3F19">
      <w:pPr>
        <w:rPr>
          <w:rFonts w:cstheme="minorBidi"/>
          <w:b/>
          <w:bCs/>
          <w:sz w:val="20"/>
          <w:szCs w:val="20"/>
        </w:rPr>
      </w:pPr>
      <w:bookmarkStart w:id="603" w:name="_Ref361094209"/>
    </w:p>
    <w:p w:rsidR="00757124" w:rsidRPr="00E62674" w:rsidRDefault="00C67C41" w:rsidP="001D3F19">
      <w:pPr>
        <w:rPr>
          <w:rFonts w:eastAsia="Times New Roman" w:cstheme="minorBidi"/>
          <w:b/>
          <w:bCs/>
          <w:sz w:val="20"/>
          <w:szCs w:val="20"/>
        </w:rPr>
      </w:pPr>
      <w:bookmarkStart w:id="604" w:name="_Toc361733631"/>
      <w:bookmarkStart w:id="605" w:name="_Toc361734274"/>
      <w:r w:rsidRPr="00E62674">
        <w:rPr>
          <w:rFonts w:cstheme="minorBidi"/>
          <w:b/>
          <w:bCs/>
          <w:sz w:val="20"/>
          <w:szCs w:val="20"/>
        </w:rPr>
        <w:t>Figure</w:t>
      </w:r>
      <w:r w:rsidR="00F8586D" w:rsidRPr="00E62674">
        <w:rPr>
          <w:rFonts w:cstheme="minorBidi"/>
          <w:b/>
          <w:bCs/>
          <w:sz w:val="20"/>
          <w:szCs w:val="20"/>
        </w:rPr>
        <w:t xml:space="preserv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17</w:t>
      </w:r>
      <w:r w:rsidR="00DF37B0">
        <w:rPr>
          <w:rFonts w:cstheme="minorBidi"/>
          <w:b/>
          <w:bCs/>
          <w:sz w:val="20"/>
          <w:szCs w:val="20"/>
        </w:rPr>
        <w:fldChar w:fldCharType="end"/>
      </w:r>
      <w:bookmarkEnd w:id="603"/>
      <w:r w:rsidR="00E62674">
        <w:rPr>
          <w:rFonts w:cstheme="minorBidi"/>
          <w:b/>
          <w:bCs/>
          <w:sz w:val="20"/>
          <w:szCs w:val="20"/>
        </w:rPr>
        <w:t xml:space="preserve"> C</w:t>
      </w:r>
      <w:r w:rsidR="000760EF" w:rsidRPr="00E62674">
        <w:rPr>
          <w:rFonts w:cstheme="minorBidi"/>
          <w:b/>
          <w:bCs/>
          <w:sz w:val="20"/>
          <w:szCs w:val="20"/>
        </w:rPr>
        <w:t xml:space="preserve">omparison of inhibition zone for all test material and antibiotics against </w:t>
      </w:r>
      <w:r w:rsidR="000760EF" w:rsidRPr="00E62674">
        <w:rPr>
          <w:rFonts w:eastAsia="Times New Roman" w:cstheme="minorBidi"/>
          <w:b/>
          <w:bCs/>
          <w:i/>
          <w:iCs/>
          <w:sz w:val="20"/>
          <w:szCs w:val="20"/>
        </w:rPr>
        <w:t>A. odontolyticus</w:t>
      </w:r>
      <w:bookmarkEnd w:id="604"/>
      <w:bookmarkEnd w:id="605"/>
    </w:p>
    <w:p w:rsidR="00757124" w:rsidRDefault="00757124" w:rsidP="00EC38E2">
      <w:pPr>
        <w:spacing w:after="120" w:line="480" w:lineRule="auto"/>
        <w:jc w:val="both"/>
        <w:rPr>
          <w:rFonts w:eastAsia="Times New Roman"/>
          <w:b/>
          <w:color w:val="000000"/>
          <w:lang w:eastAsia="en-GB"/>
        </w:rPr>
      </w:pPr>
    </w:p>
    <w:p w:rsidR="00757124" w:rsidRPr="00B013ED" w:rsidRDefault="00C026E1" w:rsidP="00EC38E2">
      <w:pPr>
        <w:spacing w:after="120" w:line="480" w:lineRule="auto"/>
        <w:jc w:val="both"/>
        <w:rPr>
          <w:rFonts w:eastAsia="Times New Roman"/>
          <w:b/>
          <w:color w:val="000000"/>
          <w:lang w:eastAsia="en-GB"/>
        </w:rPr>
      </w:pPr>
      <w:r w:rsidRPr="00A96D26">
        <w:rPr>
          <w:rFonts w:cstheme="minorBidi"/>
          <w:b/>
          <w:bCs/>
          <w:noProof/>
          <w:sz w:val="20"/>
          <w:szCs w:val="20"/>
          <w:lang w:eastAsia="en-GB"/>
        </w:rPr>
        <w:drawing>
          <wp:anchor distT="0" distB="0" distL="114300" distR="114300" simplePos="0" relativeHeight="251729920" behindDoc="0" locked="0" layoutInCell="1" allowOverlap="1" wp14:anchorId="2914821B" wp14:editId="12D01ADB">
            <wp:simplePos x="0" y="0"/>
            <wp:positionH relativeFrom="column">
              <wp:posOffset>236220</wp:posOffset>
            </wp:positionH>
            <wp:positionV relativeFrom="paragraph">
              <wp:posOffset>120015</wp:posOffset>
            </wp:positionV>
            <wp:extent cx="4751705" cy="3275965"/>
            <wp:effectExtent l="0" t="0" r="0" b="635"/>
            <wp:wrapSquare wrapText="bothSides"/>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p w:rsidR="00C026E1" w:rsidRDefault="00C026E1" w:rsidP="00F2488F">
      <w:pPr>
        <w:spacing w:after="120" w:line="480" w:lineRule="auto"/>
        <w:jc w:val="both"/>
        <w:rPr>
          <w:rFonts w:eastAsia="Times New Roman"/>
          <w:bCs/>
          <w:color w:val="000000"/>
          <w:szCs w:val="24"/>
          <w:lang w:eastAsia="en-GB"/>
        </w:rPr>
      </w:pPr>
    </w:p>
    <w:p w:rsidR="008250CA" w:rsidRPr="00F2488F" w:rsidRDefault="008250CA" w:rsidP="00F2488F">
      <w:pPr>
        <w:spacing w:after="120" w:line="480" w:lineRule="auto"/>
        <w:jc w:val="both"/>
        <w:rPr>
          <w:rFonts w:eastAsia="Times New Roman"/>
          <w:bCs/>
          <w:color w:val="000000"/>
          <w:szCs w:val="24"/>
          <w:lang w:eastAsia="en-GB"/>
        </w:rPr>
      </w:pPr>
      <w:r w:rsidRPr="00C12840">
        <w:rPr>
          <w:rFonts w:eastAsia="Times New Roman"/>
          <w:bCs/>
          <w:color w:val="000000"/>
          <w:szCs w:val="24"/>
          <w:lang w:eastAsia="en-GB"/>
        </w:rPr>
        <w:t xml:space="preserve">The statistical analysis is presented in </w:t>
      </w:r>
      <w:r w:rsidR="00B726C3" w:rsidRPr="00B726C3">
        <w:rPr>
          <w:rFonts w:eastAsia="Times New Roman"/>
          <w:bCs/>
          <w:color w:val="000000"/>
          <w:szCs w:val="24"/>
          <w:lang w:eastAsia="en-GB"/>
        </w:rPr>
        <w:fldChar w:fldCharType="begin"/>
      </w:r>
      <w:r w:rsidR="00B726C3" w:rsidRPr="00B726C3">
        <w:rPr>
          <w:rFonts w:eastAsia="Times New Roman"/>
          <w:bCs/>
          <w:color w:val="000000"/>
          <w:szCs w:val="24"/>
          <w:lang w:eastAsia="en-GB"/>
        </w:rPr>
        <w:instrText xml:space="preserve"> REF _Ref361094268 \h  \* MERGEFORMAT </w:instrText>
      </w:r>
      <w:r w:rsidR="00B726C3" w:rsidRPr="00B726C3">
        <w:rPr>
          <w:rFonts w:eastAsia="Times New Roman"/>
          <w:bCs/>
          <w:color w:val="000000"/>
          <w:szCs w:val="24"/>
          <w:lang w:eastAsia="en-GB"/>
        </w:rPr>
      </w:r>
      <w:r w:rsidR="00B726C3" w:rsidRPr="00B726C3">
        <w:rPr>
          <w:rFonts w:eastAsia="Times New Roman"/>
          <w:bCs/>
          <w:color w:val="000000"/>
          <w:szCs w:val="24"/>
          <w:lang w:eastAsia="en-GB"/>
        </w:rPr>
        <w:fldChar w:fldCharType="separate"/>
      </w:r>
      <w:r w:rsidR="00374B77" w:rsidRPr="00374B77">
        <w:rPr>
          <w:rFonts w:cstheme="minorBidi"/>
          <w:bCs/>
          <w:szCs w:val="24"/>
        </w:rPr>
        <w:t xml:space="preserve">Table </w:t>
      </w:r>
      <w:r w:rsidR="00374B77" w:rsidRPr="00374B77">
        <w:rPr>
          <w:rFonts w:cstheme="minorBidi"/>
          <w:bCs/>
          <w:noProof/>
          <w:szCs w:val="24"/>
          <w:cs/>
        </w:rPr>
        <w:t>‎</w:t>
      </w:r>
      <w:r w:rsidR="00374B77">
        <w:rPr>
          <w:rFonts w:cstheme="minorBidi"/>
          <w:b/>
          <w:bCs/>
          <w:noProof/>
          <w:sz w:val="20"/>
          <w:szCs w:val="20"/>
        </w:rPr>
        <w:t>3.19</w:t>
      </w:r>
      <w:r w:rsidR="00B726C3" w:rsidRPr="00B726C3">
        <w:rPr>
          <w:rFonts w:eastAsia="Times New Roman"/>
          <w:bCs/>
          <w:color w:val="000000"/>
          <w:szCs w:val="24"/>
          <w:lang w:eastAsia="en-GB"/>
        </w:rPr>
        <w:fldChar w:fldCharType="end"/>
      </w:r>
      <w:r w:rsidR="00B726C3">
        <w:rPr>
          <w:rFonts w:eastAsia="Times New Roman"/>
          <w:bCs/>
          <w:color w:val="000000"/>
          <w:szCs w:val="24"/>
          <w:lang w:eastAsia="en-GB"/>
        </w:rPr>
        <w:t xml:space="preserve"> </w:t>
      </w:r>
      <w:r w:rsidRPr="00C12840">
        <w:rPr>
          <w:rFonts w:eastAsia="Times New Roman"/>
          <w:bCs/>
          <w:color w:val="000000"/>
          <w:szCs w:val="24"/>
          <w:lang w:eastAsia="en-GB"/>
        </w:rPr>
        <w:t xml:space="preserve">It can be seen that the </w:t>
      </w:r>
      <w:r w:rsidR="00C12840">
        <w:rPr>
          <w:rFonts w:eastAsia="Times New Roman"/>
          <w:bCs/>
          <w:color w:val="000000"/>
          <w:szCs w:val="24"/>
          <w:lang w:eastAsia="en-GB"/>
        </w:rPr>
        <w:t>NSCH)</w:t>
      </w:r>
      <w:r w:rsidRPr="00C12840">
        <w:rPr>
          <w:rFonts w:eastAsia="Times New Roman"/>
          <w:bCs/>
          <w:color w:val="000000"/>
          <w:szCs w:val="24"/>
          <w:lang w:eastAsia="en-GB"/>
        </w:rPr>
        <w:t xml:space="preserve"> </w:t>
      </w:r>
      <w:r w:rsidR="00313C48">
        <w:rPr>
          <w:rFonts w:eastAsia="Times New Roman"/>
          <w:bCs/>
          <w:color w:val="000000"/>
          <w:szCs w:val="24"/>
          <w:lang w:eastAsia="en-GB"/>
        </w:rPr>
        <w:t xml:space="preserve">was least effective against </w:t>
      </w:r>
      <w:r w:rsidR="00313C48" w:rsidRPr="00313C48">
        <w:rPr>
          <w:rFonts w:eastAsia="Times New Roman"/>
          <w:bCs/>
          <w:i/>
          <w:color w:val="000000"/>
          <w:szCs w:val="24"/>
          <w:lang w:eastAsia="en-GB"/>
        </w:rPr>
        <w:t>A.</w:t>
      </w:r>
      <w:r w:rsidR="00E62674">
        <w:rPr>
          <w:rFonts w:eastAsia="Times New Roman"/>
          <w:bCs/>
          <w:i/>
          <w:color w:val="000000"/>
          <w:szCs w:val="24"/>
          <w:lang w:eastAsia="en-GB"/>
        </w:rPr>
        <w:t xml:space="preserve"> </w:t>
      </w:r>
      <w:r w:rsidR="00313C48" w:rsidRPr="00313C48">
        <w:rPr>
          <w:rFonts w:eastAsia="Times New Roman"/>
          <w:bCs/>
          <w:i/>
          <w:color w:val="000000"/>
          <w:szCs w:val="24"/>
          <w:lang w:eastAsia="en-GB"/>
        </w:rPr>
        <w:t>odontolyticus</w:t>
      </w:r>
      <w:r w:rsidRPr="00C12840">
        <w:rPr>
          <w:rFonts w:eastAsia="Times New Roman"/>
          <w:bCs/>
          <w:color w:val="000000"/>
          <w:szCs w:val="24"/>
          <w:lang w:eastAsia="en-GB"/>
        </w:rPr>
        <w:t xml:space="preserve"> </w:t>
      </w:r>
      <w:r w:rsidR="00313C48">
        <w:rPr>
          <w:rFonts w:eastAsia="Times New Roman"/>
          <w:bCs/>
          <w:color w:val="000000"/>
          <w:szCs w:val="24"/>
          <w:lang w:eastAsia="en-GB"/>
        </w:rPr>
        <w:t>compared with all other groups</w:t>
      </w:r>
      <w:r w:rsidR="0065488C">
        <w:rPr>
          <w:rFonts w:eastAsia="Times New Roman"/>
          <w:bCs/>
          <w:color w:val="000000"/>
          <w:szCs w:val="24"/>
          <w:lang w:eastAsia="en-GB"/>
        </w:rPr>
        <w:t>.</w:t>
      </w:r>
      <w:r w:rsidR="0065488C" w:rsidRPr="00C12840">
        <w:rPr>
          <w:rFonts w:eastAsia="Times New Roman"/>
          <w:bCs/>
          <w:color w:val="000000"/>
          <w:szCs w:val="24"/>
          <w:lang w:eastAsia="en-GB"/>
        </w:rPr>
        <w:t xml:space="preserve"> (P</w:t>
      </w:r>
      <w:r w:rsidR="00E62674">
        <w:rPr>
          <w:rFonts w:eastAsia="Times New Roman"/>
          <w:bCs/>
          <w:color w:val="000000"/>
          <w:szCs w:val="24"/>
          <w:lang w:eastAsia="en-GB"/>
        </w:rPr>
        <w:t xml:space="preserve"> </w:t>
      </w:r>
      <w:r w:rsidRPr="00C12840">
        <w:rPr>
          <w:rFonts w:eastAsia="Times New Roman"/>
          <w:bCs/>
          <w:color w:val="000000"/>
          <w:szCs w:val="24"/>
          <w:lang w:eastAsia="en-GB"/>
        </w:rPr>
        <w:t>value =0.000).</w:t>
      </w:r>
      <w:r w:rsidR="00C12840" w:rsidRPr="00C12840">
        <w:rPr>
          <w:rFonts w:eastAsia="Times New Roman"/>
          <w:bCs/>
          <w:color w:val="000000"/>
          <w:szCs w:val="24"/>
          <w:lang w:eastAsia="en-GB"/>
        </w:rPr>
        <w:t xml:space="preserve"> Also </w:t>
      </w:r>
      <w:r w:rsidR="006B5362">
        <w:rPr>
          <w:rFonts w:eastAsia="Times New Roman"/>
          <w:bCs/>
          <w:color w:val="000000"/>
          <w:szCs w:val="24"/>
          <w:lang w:eastAsia="en-GB"/>
        </w:rPr>
        <w:t>a combination of the two antibiotics (</w:t>
      </w:r>
      <w:r w:rsidR="0065488C">
        <w:rPr>
          <w:rFonts w:eastAsia="Times New Roman"/>
          <w:bCs/>
          <w:color w:val="000000"/>
          <w:szCs w:val="24"/>
          <w:lang w:eastAsia="en-GB"/>
        </w:rPr>
        <w:t>Cip+</w:t>
      </w:r>
      <w:r w:rsidR="00C12840" w:rsidRPr="00C12840">
        <w:rPr>
          <w:rFonts w:eastAsia="Times New Roman"/>
          <w:bCs/>
          <w:color w:val="000000"/>
          <w:szCs w:val="24"/>
          <w:lang w:eastAsia="en-GB"/>
        </w:rPr>
        <w:t xml:space="preserve">Met) </w:t>
      </w:r>
      <w:r w:rsidR="006B5362">
        <w:rPr>
          <w:rFonts w:eastAsia="Times New Roman"/>
          <w:bCs/>
          <w:color w:val="000000"/>
          <w:szCs w:val="24"/>
          <w:lang w:eastAsia="en-GB"/>
        </w:rPr>
        <w:t xml:space="preserve">and the three antibiotics </w:t>
      </w:r>
      <w:r w:rsidR="0065488C">
        <w:rPr>
          <w:rFonts w:eastAsia="Times New Roman"/>
          <w:bCs/>
          <w:color w:val="000000"/>
          <w:szCs w:val="24"/>
          <w:lang w:eastAsia="en-GB"/>
        </w:rPr>
        <w:t>(Cip+Met+</w:t>
      </w:r>
      <w:r w:rsidR="00C12840" w:rsidRPr="00C12840">
        <w:rPr>
          <w:rFonts w:eastAsia="Times New Roman"/>
          <w:bCs/>
          <w:color w:val="000000"/>
          <w:szCs w:val="24"/>
          <w:lang w:eastAsia="en-GB"/>
        </w:rPr>
        <w:t>Mino</w:t>
      </w:r>
      <w:r w:rsidR="0065488C" w:rsidRPr="00C12840">
        <w:rPr>
          <w:rFonts w:eastAsia="Times New Roman"/>
          <w:bCs/>
          <w:color w:val="000000"/>
          <w:szCs w:val="24"/>
          <w:lang w:eastAsia="en-GB"/>
        </w:rPr>
        <w:t>) were</w:t>
      </w:r>
      <w:r w:rsidR="006B5362">
        <w:rPr>
          <w:rFonts w:eastAsia="Times New Roman"/>
          <w:bCs/>
          <w:color w:val="000000"/>
          <w:szCs w:val="24"/>
          <w:lang w:eastAsia="en-GB"/>
        </w:rPr>
        <w:t xml:space="preserve"> equally effective with no statistical difference observed between them.  Also, both these were significantly more effective compared with all other groups.</w:t>
      </w:r>
    </w:p>
    <w:p w:rsidR="00757124" w:rsidRDefault="00757124">
      <w:pPr>
        <w:rPr>
          <w:rFonts w:eastAsia="Times New Roman"/>
          <w:lang w:eastAsia="en-GB"/>
        </w:rPr>
      </w:pPr>
      <w:r>
        <w:rPr>
          <w:rFonts w:eastAsia="Times New Roman"/>
          <w:lang w:eastAsia="en-GB"/>
        </w:rPr>
        <w:br w:type="page"/>
      </w:r>
    </w:p>
    <w:p w:rsidR="00B726C3" w:rsidRPr="00B726C3" w:rsidRDefault="00B726C3" w:rsidP="00E62674">
      <w:pPr>
        <w:spacing w:after="120" w:line="240" w:lineRule="auto"/>
        <w:jc w:val="both"/>
        <w:rPr>
          <w:rFonts w:cstheme="minorBidi"/>
          <w:b/>
          <w:bCs/>
          <w:sz w:val="20"/>
          <w:szCs w:val="20"/>
        </w:rPr>
      </w:pPr>
      <w:bookmarkStart w:id="606" w:name="_Ref361094268"/>
      <w:bookmarkStart w:id="607" w:name="_Toc370511755"/>
      <w:proofErr w:type="gramStart"/>
      <w:r w:rsidRPr="00B726C3">
        <w:rPr>
          <w:rFonts w:cstheme="minorBidi"/>
          <w:b/>
          <w:bCs/>
          <w:sz w:val="20"/>
          <w:szCs w:val="20"/>
        </w:rPr>
        <w:lastRenderedPageBreak/>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3</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19</w:t>
      </w:r>
      <w:r w:rsidR="00E7089D">
        <w:rPr>
          <w:rFonts w:cstheme="minorBidi"/>
          <w:b/>
          <w:bCs/>
          <w:sz w:val="20"/>
          <w:szCs w:val="20"/>
        </w:rPr>
        <w:fldChar w:fldCharType="end"/>
      </w:r>
      <w:bookmarkEnd w:id="606"/>
      <w:r w:rsidR="00E62674">
        <w:rPr>
          <w:rFonts w:cstheme="minorBidi"/>
          <w:b/>
          <w:bCs/>
          <w:sz w:val="20"/>
          <w:szCs w:val="20"/>
        </w:rPr>
        <w:t xml:space="preserve"> C</w:t>
      </w:r>
      <w:r w:rsidRPr="00B726C3">
        <w:rPr>
          <w:rFonts w:cstheme="minorBidi"/>
          <w:b/>
          <w:bCs/>
          <w:sz w:val="20"/>
          <w:szCs w:val="20"/>
        </w:rPr>
        <w:t>omparison</w:t>
      </w:r>
      <w:r w:rsidRPr="00B726C3">
        <w:rPr>
          <w:rFonts w:eastAsia="Times New Roman" w:cstheme="minorBidi"/>
          <w:b/>
          <w:bCs/>
          <w:sz w:val="20"/>
          <w:szCs w:val="20"/>
          <w:lang w:eastAsia="en-GB"/>
        </w:rPr>
        <w:t xml:space="preserve"> of antibacterial effectiveness of different material NSCH, MTA,</w:t>
      </w:r>
      <w:r w:rsidRPr="00B726C3">
        <w:rPr>
          <w:rFonts w:cstheme="minorBidi"/>
          <w:b/>
          <w:bCs/>
          <w:sz w:val="20"/>
          <w:szCs w:val="20"/>
        </w:rPr>
        <w:t xml:space="preserve"> </w:t>
      </w:r>
      <w:r w:rsidRPr="00B726C3">
        <w:rPr>
          <w:rFonts w:eastAsia="Times New Roman" w:cstheme="minorBidi"/>
          <w:b/>
          <w:bCs/>
          <w:sz w:val="20"/>
          <w:szCs w:val="20"/>
          <w:lang w:eastAsia="en-GB"/>
        </w:rPr>
        <w:t>Minocycline</w:t>
      </w:r>
      <w:r w:rsidRPr="00B013ED">
        <w:rPr>
          <w:rFonts w:eastAsia="Times New Roman" w:cstheme="minorBidi"/>
          <w:b/>
          <w:bCs/>
          <w:sz w:val="20"/>
          <w:szCs w:val="20"/>
          <w:lang w:eastAsia="en-GB"/>
        </w:rPr>
        <w:t>,</w:t>
      </w:r>
      <w:r w:rsidRPr="00B013ED">
        <w:rPr>
          <w:rFonts w:cstheme="minorBidi"/>
          <w:b/>
          <w:bCs/>
          <w:sz w:val="20"/>
          <w:szCs w:val="20"/>
        </w:rPr>
        <w:t xml:space="preserve"> </w:t>
      </w:r>
      <w:r w:rsidRPr="00B013ED">
        <w:rPr>
          <w:rFonts w:eastAsia="Times New Roman" w:cstheme="minorBidi"/>
          <w:b/>
          <w:bCs/>
          <w:sz w:val="20"/>
          <w:szCs w:val="20"/>
          <w:lang w:eastAsia="en-GB"/>
        </w:rPr>
        <w:t>Ciprofloxacin and Metronidazol</w:t>
      </w:r>
      <w:r w:rsidR="00E62674">
        <w:rPr>
          <w:rFonts w:eastAsia="Times New Roman" w:cstheme="minorBidi"/>
          <w:b/>
          <w:bCs/>
          <w:sz w:val="20"/>
          <w:szCs w:val="20"/>
          <w:lang w:eastAsia="en-GB"/>
        </w:rPr>
        <w:t>e</w:t>
      </w:r>
      <w:r w:rsidRPr="00B013ED">
        <w:rPr>
          <w:rFonts w:eastAsia="Times New Roman" w:cstheme="minorBidi"/>
          <w:b/>
          <w:bCs/>
          <w:sz w:val="20"/>
          <w:szCs w:val="20"/>
          <w:lang w:eastAsia="en-GB"/>
        </w:rPr>
        <w:t>, on</w:t>
      </w:r>
      <w:r w:rsidRPr="00B013ED">
        <w:rPr>
          <w:rFonts w:eastAsia="Times New Roman" w:cstheme="minorBidi"/>
          <w:b/>
          <w:bCs/>
          <w:i/>
          <w:iCs/>
          <w:sz w:val="20"/>
          <w:szCs w:val="20"/>
          <w:lang w:eastAsia="en-GB"/>
        </w:rPr>
        <w:t xml:space="preserve"> </w:t>
      </w:r>
      <w:proofErr w:type="gramStart"/>
      <w:r w:rsidRPr="005305DB">
        <w:rPr>
          <w:b/>
          <w:bCs/>
          <w:i/>
          <w:iCs/>
          <w:sz w:val="20"/>
          <w:szCs w:val="20"/>
          <w:lang w:val="en-US"/>
        </w:rPr>
        <w:t>A</w:t>
      </w:r>
      <w:proofErr w:type="gramEnd"/>
      <w:r w:rsidRPr="005305DB">
        <w:rPr>
          <w:rFonts w:eastAsia="Times New Roman"/>
          <w:b/>
          <w:bCs/>
          <w:i/>
          <w:iCs/>
          <w:color w:val="000000"/>
          <w:sz w:val="20"/>
          <w:szCs w:val="20"/>
          <w:lang w:eastAsia="en-GB"/>
        </w:rPr>
        <w:t xml:space="preserve"> odontolyticus</w:t>
      </w:r>
      <w:r w:rsidRPr="00B013ED">
        <w:rPr>
          <w:rFonts w:eastAsia="Calibri" w:cstheme="minorBidi"/>
          <w:b/>
          <w:bCs/>
          <w:sz w:val="20"/>
          <w:szCs w:val="20"/>
        </w:rPr>
        <w:t xml:space="preserve"> bacteria</w:t>
      </w:r>
      <w:r w:rsidRPr="00B013ED">
        <w:rPr>
          <w:rFonts w:eastAsia="Calibri" w:cstheme="minorBidi"/>
          <w:b/>
          <w:bCs/>
          <w:i/>
          <w:iCs/>
          <w:sz w:val="20"/>
          <w:szCs w:val="20"/>
        </w:rPr>
        <w:t>.</w:t>
      </w:r>
      <w:bookmarkEnd w:id="607"/>
    </w:p>
    <w:tbl>
      <w:tblPr>
        <w:tblpPr w:leftFromText="180" w:rightFromText="180" w:vertAnchor="text" w:horzAnchor="margin" w:tblpY="348"/>
        <w:tblW w:w="8170" w:type="dxa"/>
        <w:tblLayout w:type="fixed"/>
        <w:tblCellMar>
          <w:left w:w="10" w:type="dxa"/>
          <w:right w:w="10" w:type="dxa"/>
        </w:tblCellMar>
        <w:tblLook w:val="0000" w:firstRow="0" w:lastRow="0" w:firstColumn="0" w:lastColumn="0" w:noHBand="0" w:noVBand="0"/>
      </w:tblPr>
      <w:tblGrid>
        <w:gridCol w:w="1418"/>
        <w:gridCol w:w="1509"/>
        <w:gridCol w:w="1464"/>
        <w:gridCol w:w="1005"/>
        <w:gridCol w:w="1387"/>
        <w:gridCol w:w="1387"/>
      </w:tblGrid>
      <w:tr w:rsidR="00757124" w:rsidRPr="00B013ED" w:rsidTr="006C56CA">
        <w:trPr>
          <w:cantSplit/>
        </w:trPr>
        <w:tc>
          <w:tcPr>
            <w:tcW w:w="1418" w:type="dxa"/>
            <w:vMerge w:val="restart"/>
            <w:tcBorders>
              <w:top w:val="single" w:sz="18" w:space="0" w:color="000000"/>
              <w:left w:val="single" w:sz="1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(I) Treatment</w:t>
            </w:r>
          </w:p>
        </w:tc>
        <w:tc>
          <w:tcPr>
            <w:tcW w:w="1509" w:type="dxa"/>
            <w:vMerge w:val="restart"/>
            <w:tcBorders>
              <w:top w:val="single" w:sz="18" w:space="0" w:color="000000"/>
              <w:right w:val="single" w:sz="1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(J) Treatment</w:t>
            </w:r>
          </w:p>
        </w:tc>
        <w:tc>
          <w:tcPr>
            <w:tcW w:w="1464" w:type="dxa"/>
            <w:vMerge w:val="restart"/>
            <w:tcBorders>
              <w:top w:val="single" w:sz="18" w:space="0" w:color="000000"/>
              <w:left w:val="single" w:sz="1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Mean Difference (I-J)</w:t>
            </w:r>
          </w:p>
        </w:tc>
        <w:tc>
          <w:tcPr>
            <w:tcW w:w="1005" w:type="dxa"/>
            <w:vMerge w:val="restart"/>
            <w:tcBorders>
              <w:top w:val="single" w:sz="18" w:space="0" w:color="000000"/>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Sig.</w:t>
            </w:r>
          </w:p>
        </w:tc>
        <w:tc>
          <w:tcPr>
            <w:tcW w:w="2774" w:type="dxa"/>
            <w:gridSpan w:val="2"/>
            <w:tcBorders>
              <w:top w:val="single" w:sz="18" w:space="0" w:color="000000"/>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95% Confidence Interval</w:t>
            </w:r>
          </w:p>
        </w:tc>
      </w:tr>
      <w:tr w:rsidR="00757124" w:rsidRPr="00B013ED" w:rsidTr="006C56CA">
        <w:trPr>
          <w:cantSplit/>
        </w:trPr>
        <w:tc>
          <w:tcPr>
            <w:tcW w:w="1418" w:type="dxa"/>
            <w:vMerge/>
            <w:tcBorders>
              <w:top w:val="single" w:sz="18" w:space="0" w:color="000000"/>
              <w:left w:val="single" w:sz="18" w:space="0" w:color="000000"/>
              <w:bottom w:val="single" w:sz="1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vMerge/>
            <w:tcBorders>
              <w:top w:val="single" w:sz="18" w:space="0" w:color="000000"/>
              <w:bottom w:val="single" w:sz="18" w:space="0" w:color="000000"/>
              <w:right w:val="single" w:sz="1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464" w:type="dxa"/>
            <w:vMerge/>
            <w:tcBorders>
              <w:top w:val="single" w:sz="18" w:space="0" w:color="000000"/>
              <w:left w:val="single" w:sz="1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005" w:type="dxa"/>
            <w:vMerge/>
            <w:tcBorders>
              <w:top w:val="single" w:sz="18" w:space="0" w:color="000000"/>
              <w:left w:val="single" w:sz="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387" w:type="dxa"/>
            <w:tcBorders>
              <w:top w:val="single" w:sz="8" w:space="0" w:color="000000"/>
              <w:left w:val="single" w:sz="8" w:space="0" w:color="000000"/>
              <w:bottom w:val="single" w:sz="18" w:space="0" w:color="000000"/>
              <w:right w:val="single" w:sz="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Lower Bound</w:t>
            </w:r>
          </w:p>
        </w:tc>
        <w:tc>
          <w:tcPr>
            <w:tcW w:w="1387" w:type="dxa"/>
            <w:tcBorders>
              <w:top w:val="single" w:sz="8" w:space="0" w:color="000000"/>
              <w:left w:val="single" w:sz="8" w:space="0" w:color="000000"/>
              <w:bottom w:val="single" w:sz="18" w:space="0" w:color="000000"/>
              <w:right w:val="single" w:sz="18" w:space="0" w:color="000000"/>
            </w:tcBorders>
            <w:shd w:val="clear" w:color="auto" w:fill="EAF1DD" w:themeFill="accent3" w:themeFillTint="33"/>
            <w:tcMar>
              <w:top w:w="0" w:type="dxa"/>
              <w:left w:w="0" w:type="dxa"/>
              <w:bottom w:w="0" w:type="dxa"/>
              <w:right w:w="0" w:type="dxa"/>
            </w:tcMar>
          </w:tcPr>
          <w:p w:rsidR="00757124" w:rsidRPr="00B013ED" w:rsidRDefault="00757124" w:rsidP="006C56CA">
            <w:pPr>
              <w:suppressAutoHyphens/>
              <w:autoSpaceDE w:val="0"/>
              <w:autoSpaceDN w:val="0"/>
              <w:spacing w:after="0" w:line="240" w:lineRule="auto"/>
              <w:ind w:left="60" w:right="60"/>
              <w:jc w:val="center"/>
              <w:textAlignment w:val="baseline"/>
              <w:rPr>
                <w:rFonts w:ascii="Arial" w:eastAsia="Calibri" w:hAnsi="Arial" w:cs="Arial"/>
                <w:color w:val="000000"/>
                <w:sz w:val="18"/>
                <w:szCs w:val="18"/>
              </w:rPr>
            </w:pPr>
            <w:r w:rsidRPr="00B013ED">
              <w:rPr>
                <w:rFonts w:ascii="Arial" w:eastAsia="Calibri" w:hAnsi="Arial" w:cs="Arial"/>
                <w:color w:val="000000"/>
                <w:sz w:val="18"/>
                <w:szCs w:val="18"/>
              </w:rPr>
              <w:t>Upper Bound</w:t>
            </w:r>
          </w:p>
        </w:tc>
      </w:tr>
      <w:tr w:rsidR="00757124" w:rsidRPr="00B013ED" w:rsidTr="006C56CA">
        <w:trPr>
          <w:cantSplit/>
          <w:trHeight w:val="286"/>
        </w:trPr>
        <w:tc>
          <w:tcPr>
            <w:tcW w:w="1418" w:type="dxa"/>
            <w:vMerge w:val="restart"/>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509" w:type="dxa"/>
            <w:tcBorders>
              <w:top w:val="single" w:sz="1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464" w:type="dxa"/>
            <w:tcBorders>
              <w:top w:val="single" w:sz="18" w:space="0" w:color="000000"/>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-22.77778</w:t>
            </w:r>
            <w:r w:rsidRPr="00B013ED">
              <w:rPr>
                <w:rFonts w:ascii="Arial" w:eastAsia="Calibri" w:hAnsi="Arial" w:cs="Arial"/>
                <w:color w:val="000000"/>
                <w:sz w:val="18"/>
                <w:szCs w:val="18"/>
                <w:vertAlign w:val="superscript"/>
              </w:rPr>
              <w:t>*</w:t>
            </w:r>
          </w:p>
        </w:tc>
        <w:tc>
          <w:tcPr>
            <w:tcW w:w="1005" w:type="dxa"/>
            <w:tcBorders>
              <w:top w:val="single" w:sz="18" w:space="0" w:color="000000"/>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18" w:space="0" w:color="000000"/>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-25.8960</w:t>
            </w:r>
          </w:p>
        </w:tc>
        <w:tc>
          <w:tcPr>
            <w:tcW w:w="1387" w:type="dxa"/>
            <w:tcBorders>
              <w:top w:val="single" w:sz="18" w:space="0" w:color="000000"/>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-19.6596</w:t>
            </w:r>
          </w:p>
        </w:tc>
      </w:tr>
      <w:tr w:rsidR="00757124" w:rsidRPr="00B013ED" w:rsidTr="006C56CA">
        <w:trPr>
          <w:cantSplit/>
        </w:trPr>
        <w:tc>
          <w:tcPr>
            <w:tcW w:w="1418"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464"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-21.62667</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-24.7449</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-18.5085</w:t>
            </w:r>
          </w:p>
        </w:tc>
      </w:tr>
      <w:tr w:rsidR="00757124" w:rsidRPr="00B013ED" w:rsidTr="006C56CA">
        <w:trPr>
          <w:cantSplit/>
        </w:trPr>
        <w:tc>
          <w:tcPr>
            <w:tcW w:w="1418"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464"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-21.78444</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-24.9026</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-18.6663</w:t>
            </w:r>
          </w:p>
        </w:tc>
      </w:tr>
      <w:tr w:rsidR="00757124" w:rsidRPr="00B013ED" w:rsidTr="006C56CA">
        <w:trPr>
          <w:cantSplit/>
        </w:trPr>
        <w:tc>
          <w:tcPr>
            <w:tcW w:w="1418"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464"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-14.89222</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-18.0104</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-11.7740</w:t>
            </w:r>
          </w:p>
        </w:tc>
      </w:tr>
      <w:tr w:rsidR="00757124" w:rsidRPr="00B013ED" w:rsidTr="006C56CA">
        <w:trPr>
          <w:cantSplit/>
        </w:trPr>
        <w:tc>
          <w:tcPr>
            <w:tcW w:w="1418" w:type="dxa"/>
            <w:vMerge/>
            <w:tcBorders>
              <w:top w:val="single" w:sz="18" w:space="0" w:color="000000"/>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464" w:type="dxa"/>
            <w:tcBorders>
              <w:left w:val="single" w:sz="1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-32.63778</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-35.7560</w:t>
            </w:r>
          </w:p>
        </w:tc>
        <w:tc>
          <w:tcPr>
            <w:tcW w:w="1387" w:type="dxa"/>
            <w:tcBorders>
              <w:left w:val="single" w:sz="8" w:space="0" w:color="000000"/>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-29.5196</w:t>
            </w:r>
          </w:p>
        </w:tc>
      </w:tr>
      <w:tr w:rsidR="00757124" w:rsidRPr="00B013ED" w:rsidTr="006C56CA">
        <w:trPr>
          <w:cantSplit/>
        </w:trPr>
        <w:tc>
          <w:tcPr>
            <w:tcW w:w="1418" w:type="dxa"/>
            <w:vMerge/>
            <w:tcBorders>
              <w:top w:val="single" w:sz="18" w:space="0" w:color="000000"/>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bottom w:val="single" w:sz="4" w:space="0" w:color="auto"/>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464" w:type="dxa"/>
            <w:tcBorders>
              <w:left w:val="single" w:sz="1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-34.09111</w:t>
            </w:r>
            <w:r w:rsidRPr="00B013ED">
              <w:rPr>
                <w:rFonts w:ascii="Arial" w:eastAsia="Calibri" w:hAnsi="Arial" w:cs="Arial"/>
                <w:color w:val="000000"/>
                <w:sz w:val="18"/>
                <w:szCs w:val="18"/>
                <w:vertAlign w:val="superscript"/>
              </w:rPr>
              <w:t>*</w:t>
            </w:r>
          </w:p>
        </w:tc>
        <w:tc>
          <w:tcPr>
            <w:tcW w:w="1005" w:type="dxa"/>
            <w:tcBorders>
              <w:left w:val="single" w:sz="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-37.2093</w:t>
            </w:r>
          </w:p>
        </w:tc>
        <w:tc>
          <w:tcPr>
            <w:tcW w:w="1387" w:type="dxa"/>
            <w:tcBorders>
              <w:left w:val="single" w:sz="8" w:space="0" w:color="000000"/>
              <w:bottom w:val="single" w:sz="4" w:space="0" w:color="auto"/>
              <w:right w:val="single" w:sz="18" w:space="0" w:color="000000"/>
            </w:tcBorders>
            <w:shd w:val="clear" w:color="auto" w:fill="FDE9D9" w:themeFill="accent6"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-30.9729</w:t>
            </w:r>
          </w:p>
        </w:tc>
      </w:tr>
      <w:tr w:rsidR="00757124" w:rsidRPr="00B013ED" w:rsidTr="006C56CA">
        <w:trPr>
          <w:cantSplit/>
        </w:trPr>
        <w:tc>
          <w:tcPr>
            <w:tcW w:w="1418"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509" w:type="dxa"/>
            <w:tcBorders>
              <w:top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464" w:type="dxa"/>
            <w:tcBorders>
              <w:top w:val="single" w:sz="4" w:space="0" w:color="auto"/>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22.77778</w:t>
            </w:r>
            <w:r w:rsidRPr="00B013ED">
              <w:rPr>
                <w:rFonts w:ascii="Arial" w:eastAsia="Calibri" w:hAnsi="Arial" w:cs="Arial"/>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19.6596</w:t>
            </w:r>
          </w:p>
        </w:tc>
        <w:tc>
          <w:tcPr>
            <w:tcW w:w="1387" w:type="dxa"/>
            <w:tcBorders>
              <w:top w:val="single" w:sz="4" w:space="0" w:color="auto"/>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25.8960</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464"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1.15111</w:t>
            </w:r>
          </w:p>
        </w:tc>
        <w:tc>
          <w:tcPr>
            <w:tcW w:w="1005"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.463</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-1.9671</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4.2693</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464"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.99333</w:t>
            </w:r>
          </w:p>
        </w:tc>
        <w:tc>
          <w:tcPr>
            <w:tcW w:w="1005"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.526</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-2.1249</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4.1115</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464"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7.88556</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4.7674</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11.0037</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464" w:type="dxa"/>
            <w:tcBorders>
              <w:left w:val="single" w:sz="1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-9.86000</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-12.9782</w:t>
            </w:r>
          </w:p>
        </w:tc>
        <w:tc>
          <w:tcPr>
            <w:tcW w:w="1387" w:type="dxa"/>
            <w:tcBorders>
              <w:left w:val="single" w:sz="8" w:space="0" w:color="000000"/>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-6.7418</w:t>
            </w:r>
          </w:p>
        </w:tc>
      </w:tr>
      <w:tr w:rsidR="00757124" w:rsidRPr="00B013ED" w:rsidTr="006C56CA">
        <w:trPr>
          <w:cantSplit/>
        </w:trPr>
        <w:tc>
          <w:tcPr>
            <w:tcW w:w="1418"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bottom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464" w:type="dxa"/>
            <w:tcBorders>
              <w:left w:val="single" w:sz="1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-11.31333</w:t>
            </w:r>
            <w:r w:rsidRPr="00B013ED">
              <w:rPr>
                <w:rFonts w:ascii="Arial" w:eastAsia="Calibri" w:hAnsi="Arial" w:cs="Arial"/>
                <w:color w:val="000000"/>
                <w:sz w:val="18"/>
                <w:szCs w:val="18"/>
                <w:vertAlign w:val="superscript"/>
              </w:rPr>
              <w:t>*</w:t>
            </w:r>
          </w:p>
        </w:tc>
        <w:tc>
          <w:tcPr>
            <w:tcW w:w="1005" w:type="dxa"/>
            <w:tcBorders>
              <w:left w:val="single" w:sz="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-14.4315</w:t>
            </w:r>
          </w:p>
        </w:tc>
        <w:tc>
          <w:tcPr>
            <w:tcW w:w="1387" w:type="dxa"/>
            <w:tcBorders>
              <w:left w:val="single" w:sz="8" w:space="0" w:color="000000"/>
              <w:bottom w:val="single" w:sz="4" w:space="0" w:color="auto"/>
              <w:right w:val="single" w:sz="18" w:space="0" w:color="000000"/>
            </w:tcBorders>
            <w:shd w:val="clear" w:color="auto" w:fill="FBD4B4" w:themeFill="accent6"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-8.1951</w:t>
            </w:r>
          </w:p>
        </w:tc>
      </w:tr>
      <w:tr w:rsidR="00757124" w:rsidRPr="00B013ED" w:rsidTr="006C56CA">
        <w:trPr>
          <w:cantSplit/>
        </w:trPr>
        <w:tc>
          <w:tcPr>
            <w:tcW w:w="1418"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509" w:type="dxa"/>
            <w:tcBorders>
              <w:top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464" w:type="dxa"/>
            <w:tcBorders>
              <w:top w:val="single" w:sz="4" w:space="0" w:color="auto"/>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21.62667</w:t>
            </w:r>
            <w:r w:rsidRPr="00B013ED">
              <w:rPr>
                <w:rFonts w:ascii="Arial" w:eastAsia="Calibri" w:hAnsi="Arial" w:cs="Arial"/>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18.5085</w:t>
            </w:r>
          </w:p>
        </w:tc>
        <w:tc>
          <w:tcPr>
            <w:tcW w:w="1387" w:type="dxa"/>
            <w:tcBorders>
              <w:top w:val="single" w:sz="4" w:space="0" w:color="auto"/>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24.7449</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464"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-1.15111</w:t>
            </w:r>
          </w:p>
        </w:tc>
        <w:tc>
          <w:tcPr>
            <w:tcW w:w="1005"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.463</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-4.2693</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1.9671</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464"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-.15778</w:t>
            </w:r>
          </w:p>
        </w:tc>
        <w:tc>
          <w:tcPr>
            <w:tcW w:w="1005"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.920</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-3.2760</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2.9604</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464"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6.73444</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3.6163</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9.8526</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464" w:type="dxa"/>
            <w:tcBorders>
              <w:left w:val="single" w:sz="1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-11.01111</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-14.1293</w:t>
            </w:r>
          </w:p>
        </w:tc>
        <w:tc>
          <w:tcPr>
            <w:tcW w:w="1387" w:type="dxa"/>
            <w:tcBorders>
              <w:left w:val="single" w:sz="8" w:space="0" w:color="000000"/>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-7.8929</w:t>
            </w:r>
          </w:p>
        </w:tc>
      </w:tr>
      <w:tr w:rsidR="00757124" w:rsidRPr="00B013ED" w:rsidTr="006C56CA">
        <w:trPr>
          <w:cantSplit/>
        </w:trPr>
        <w:tc>
          <w:tcPr>
            <w:tcW w:w="1418"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bottom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464" w:type="dxa"/>
            <w:tcBorders>
              <w:left w:val="single" w:sz="1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-12.46444</w:t>
            </w:r>
            <w:r w:rsidRPr="00B013ED">
              <w:rPr>
                <w:rFonts w:ascii="Arial" w:eastAsia="Calibri" w:hAnsi="Arial" w:cs="Arial"/>
                <w:color w:val="000000"/>
                <w:sz w:val="18"/>
                <w:szCs w:val="18"/>
                <w:vertAlign w:val="superscript"/>
              </w:rPr>
              <w:t>*</w:t>
            </w:r>
          </w:p>
        </w:tc>
        <w:tc>
          <w:tcPr>
            <w:tcW w:w="1005" w:type="dxa"/>
            <w:tcBorders>
              <w:left w:val="single" w:sz="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-15.5826</w:t>
            </w:r>
          </w:p>
        </w:tc>
        <w:tc>
          <w:tcPr>
            <w:tcW w:w="1387" w:type="dxa"/>
            <w:tcBorders>
              <w:left w:val="single" w:sz="8" w:space="0" w:color="000000"/>
              <w:bottom w:val="single" w:sz="4" w:space="0" w:color="auto"/>
              <w:right w:val="single" w:sz="18" w:space="0" w:color="000000"/>
            </w:tcBorders>
            <w:shd w:val="clear" w:color="auto" w:fill="DAEEF3" w:themeFill="accent5"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-9.3463</w:t>
            </w:r>
          </w:p>
        </w:tc>
      </w:tr>
      <w:tr w:rsidR="00757124" w:rsidRPr="00B013ED" w:rsidTr="006C56CA">
        <w:trPr>
          <w:cantSplit/>
        </w:trPr>
        <w:tc>
          <w:tcPr>
            <w:tcW w:w="1418"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509" w:type="dxa"/>
            <w:tcBorders>
              <w:top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464" w:type="dxa"/>
            <w:tcBorders>
              <w:top w:val="single" w:sz="4" w:space="0" w:color="auto"/>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21.78444</w:t>
            </w:r>
            <w:r w:rsidRPr="00B013ED">
              <w:rPr>
                <w:rFonts w:ascii="Arial" w:eastAsia="Calibri" w:hAnsi="Arial" w:cs="Arial"/>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18.6663</w:t>
            </w:r>
          </w:p>
        </w:tc>
        <w:tc>
          <w:tcPr>
            <w:tcW w:w="1387" w:type="dxa"/>
            <w:tcBorders>
              <w:top w:val="single" w:sz="4" w:space="0" w:color="auto"/>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24.9026</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464"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-.99333</w:t>
            </w:r>
          </w:p>
        </w:tc>
        <w:tc>
          <w:tcPr>
            <w:tcW w:w="1005"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.526</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-4.1115</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2.1249</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464"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.15778</w:t>
            </w:r>
          </w:p>
        </w:tc>
        <w:tc>
          <w:tcPr>
            <w:tcW w:w="1005"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.920</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-2.9604</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3.2760</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464"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6.89222</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3.7740</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10.0104</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464" w:type="dxa"/>
            <w:tcBorders>
              <w:left w:val="single" w:sz="1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-10.85333</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-13.9715</w:t>
            </w:r>
          </w:p>
        </w:tc>
        <w:tc>
          <w:tcPr>
            <w:tcW w:w="1387" w:type="dxa"/>
            <w:tcBorders>
              <w:left w:val="single" w:sz="8" w:space="0" w:color="000000"/>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-7.7351</w:t>
            </w:r>
          </w:p>
        </w:tc>
      </w:tr>
      <w:tr w:rsidR="00757124" w:rsidRPr="00B013ED" w:rsidTr="006C56CA">
        <w:trPr>
          <w:cantSplit/>
        </w:trPr>
        <w:tc>
          <w:tcPr>
            <w:tcW w:w="1418"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bottom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464" w:type="dxa"/>
            <w:tcBorders>
              <w:left w:val="single" w:sz="1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-12.30667</w:t>
            </w:r>
            <w:r w:rsidRPr="00B013ED">
              <w:rPr>
                <w:rFonts w:ascii="Arial" w:eastAsia="Calibri" w:hAnsi="Arial" w:cs="Arial"/>
                <w:color w:val="000000"/>
                <w:sz w:val="18"/>
                <w:szCs w:val="18"/>
                <w:vertAlign w:val="superscript"/>
              </w:rPr>
              <w:t>*</w:t>
            </w:r>
          </w:p>
        </w:tc>
        <w:tc>
          <w:tcPr>
            <w:tcW w:w="1005" w:type="dxa"/>
            <w:tcBorders>
              <w:left w:val="single" w:sz="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-15.4249</w:t>
            </w:r>
          </w:p>
        </w:tc>
        <w:tc>
          <w:tcPr>
            <w:tcW w:w="1387" w:type="dxa"/>
            <w:tcBorders>
              <w:left w:val="single" w:sz="8" w:space="0" w:color="000000"/>
              <w:bottom w:val="single" w:sz="4" w:space="0" w:color="auto"/>
              <w:right w:val="single" w:sz="18" w:space="0" w:color="000000"/>
            </w:tcBorders>
            <w:shd w:val="clear" w:color="auto" w:fill="B6DDE8" w:themeFill="accent5"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-9.1885</w:t>
            </w:r>
          </w:p>
        </w:tc>
      </w:tr>
      <w:tr w:rsidR="00757124" w:rsidRPr="00B013ED" w:rsidTr="006C56CA">
        <w:trPr>
          <w:cantSplit/>
        </w:trPr>
        <w:tc>
          <w:tcPr>
            <w:tcW w:w="1418"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509" w:type="dxa"/>
            <w:tcBorders>
              <w:top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464" w:type="dxa"/>
            <w:tcBorders>
              <w:top w:val="single" w:sz="4" w:space="0" w:color="auto"/>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14.89222</w:t>
            </w:r>
            <w:r w:rsidRPr="00B013ED">
              <w:rPr>
                <w:rFonts w:ascii="Arial" w:eastAsia="Calibri" w:hAnsi="Arial" w:cs="Arial"/>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11.7740</w:t>
            </w:r>
          </w:p>
        </w:tc>
        <w:tc>
          <w:tcPr>
            <w:tcW w:w="1387" w:type="dxa"/>
            <w:tcBorders>
              <w:top w:val="single" w:sz="4" w:space="0" w:color="auto"/>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18.0104</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464"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-7.88556</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-11.0037</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-4.7674</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464"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-6.73444</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-9.8526</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-3.6163</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464"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-6.89222</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-10.0104</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-3.7740</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464" w:type="dxa"/>
            <w:tcBorders>
              <w:left w:val="single" w:sz="1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-17.74556</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-20.8637</w:t>
            </w:r>
          </w:p>
        </w:tc>
        <w:tc>
          <w:tcPr>
            <w:tcW w:w="1387" w:type="dxa"/>
            <w:tcBorders>
              <w:left w:val="single" w:sz="8" w:space="0" w:color="000000"/>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-14.6274</w:t>
            </w:r>
          </w:p>
        </w:tc>
      </w:tr>
      <w:tr w:rsidR="00757124" w:rsidRPr="00B013ED" w:rsidTr="006C56CA">
        <w:trPr>
          <w:cantSplit/>
        </w:trPr>
        <w:tc>
          <w:tcPr>
            <w:tcW w:w="1418"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bottom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464" w:type="dxa"/>
            <w:tcBorders>
              <w:left w:val="single" w:sz="1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-19.19889</w:t>
            </w:r>
            <w:r w:rsidRPr="00B013ED">
              <w:rPr>
                <w:rFonts w:ascii="Arial" w:eastAsia="Calibri" w:hAnsi="Arial" w:cs="Arial"/>
                <w:color w:val="000000"/>
                <w:sz w:val="18"/>
                <w:szCs w:val="18"/>
                <w:vertAlign w:val="superscript"/>
              </w:rPr>
              <w:t>*</w:t>
            </w:r>
          </w:p>
        </w:tc>
        <w:tc>
          <w:tcPr>
            <w:tcW w:w="1005" w:type="dxa"/>
            <w:tcBorders>
              <w:left w:val="single" w:sz="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bottom w:val="single" w:sz="4" w:space="0" w:color="auto"/>
              <w:right w:val="single" w:sz="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-22.3171</w:t>
            </w:r>
          </w:p>
        </w:tc>
        <w:tc>
          <w:tcPr>
            <w:tcW w:w="1387" w:type="dxa"/>
            <w:tcBorders>
              <w:left w:val="single" w:sz="8" w:space="0" w:color="000000"/>
              <w:bottom w:val="single" w:sz="4" w:space="0" w:color="auto"/>
              <w:right w:val="single" w:sz="18" w:space="0" w:color="000000"/>
            </w:tcBorders>
            <w:shd w:val="clear" w:color="auto" w:fill="E5DFEC" w:themeFill="accent4"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-16.0807</w:t>
            </w:r>
          </w:p>
        </w:tc>
      </w:tr>
      <w:tr w:rsidR="00757124" w:rsidRPr="00B013ED" w:rsidTr="006C56CA">
        <w:trPr>
          <w:cantSplit/>
        </w:trPr>
        <w:tc>
          <w:tcPr>
            <w:tcW w:w="1418" w:type="dxa"/>
            <w:vMerge w:val="restart"/>
            <w:tcBorders>
              <w:top w:val="single" w:sz="4" w:space="0" w:color="auto"/>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509" w:type="dxa"/>
            <w:tcBorders>
              <w:top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464" w:type="dxa"/>
            <w:tcBorders>
              <w:top w:val="single" w:sz="4" w:space="0" w:color="auto"/>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32.63778</w:t>
            </w:r>
            <w:r w:rsidRPr="00B013ED">
              <w:rPr>
                <w:rFonts w:ascii="Arial" w:eastAsia="Calibri" w:hAnsi="Arial" w:cs="Arial"/>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29.5196</w:t>
            </w:r>
          </w:p>
        </w:tc>
        <w:tc>
          <w:tcPr>
            <w:tcW w:w="1387" w:type="dxa"/>
            <w:tcBorders>
              <w:top w:val="single" w:sz="4" w:space="0" w:color="auto"/>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35.7560</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464"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9.86000</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6.7418</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12.9782</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464"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11.01111</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7.8929</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14.1293</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464"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10.85333</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7.7351</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13.9715</w:t>
            </w:r>
          </w:p>
        </w:tc>
      </w:tr>
      <w:tr w:rsidR="00757124" w:rsidRPr="00B013ED" w:rsidTr="006C56CA">
        <w:trPr>
          <w:cantSplit/>
        </w:trPr>
        <w:tc>
          <w:tcPr>
            <w:tcW w:w="1418" w:type="dxa"/>
            <w:vMerge/>
            <w:tcBorders>
              <w:left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464" w:type="dxa"/>
            <w:tcBorders>
              <w:left w:val="single" w:sz="1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17.74556</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14.6274</w:t>
            </w:r>
          </w:p>
        </w:tc>
        <w:tc>
          <w:tcPr>
            <w:tcW w:w="1387" w:type="dxa"/>
            <w:tcBorders>
              <w:left w:val="single" w:sz="8" w:space="0" w:color="000000"/>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20.8637</w:t>
            </w:r>
          </w:p>
        </w:tc>
      </w:tr>
      <w:tr w:rsidR="00757124" w:rsidRPr="00B013ED" w:rsidTr="006C56CA">
        <w:trPr>
          <w:cantSplit/>
        </w:trPr>
        <w:tc>
          <w:tcPr>
            <w:tcW w:w="1418" w:type="dxa"/>
            <w:vMerge/>
            <w:tcBorders>
              <w:left w:val="single" w:sz="18" w:space="0" w:color="000000"/>
              <w:bottom w:val="single" w:sz="4" w:space="0" w:color="auto"/>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bottom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464" w:type="dxa"/>
            <w:tcBorders>
              <w:left w:val="single" w:sz="1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-1.45333</w:t>
            </w:r>
          </w:p>
        </w:tc>
        <w:tc>
          <w:tcPr>
            <w:tcW w:w="1005" w:type="dxa"/>
            <w:tcBorders>
              <w:left w:val="single" w:sz="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.354</w:t>
            </w:r>
          </w:p>
        </w:tc>
        <w:tc>
          <w:tcPr>
            <w:tcW w:w="1387" w:type="dxa"/>
            <w:tcBorders>
              <w:left w:val="single" w:sz="8" w:space="0" w:color="000000"/>
              <w:bottom w:val="single" w:sz="4" w:space="0" w:color="auto"/>
              <w:right w:val="single" w:sz="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-4.5715</w:t>
            </w:r>
          </w:p>
        </w:tc>
        <w:tc>
          <w:tcPr>
            <w:tcW w:w="1387" w:type="dxa"/>
            <w:tcBorders>
              <w:left w:val="single" w:sz="8" w:space="0" w:color="000000"/>
              <w:bottom w:val="single" w:sz="4" w:space="0" w:color="auto"/>
              <w:right w:val="single" w:sz="18" w:space="0" w:color="000000"/>
            </w:tcBorders>
            <w:shd w:val="clear" w:color="auto" w:fill="CCC0D9" w:themeFill="accent4" w:themeFillTint="66"/>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1.6649</w:t>
            </w:r>
          </w:p>
        </w:tc>
      </w:tr>
      <w:tr w:rsidR="00757124" w:rsidRPr="00B013ED" w:rsidTr="006C56CA">
        <w:trPr>
          <w:cantSplit/>
        </w:trPr>
        <w:tc>
          <w:tcPr>
            <w:tcW w:w="1418" w:type="dxa"/>
            <w:vMerge w:val="restart"/>
            <w:tcBorders>
              <w:top w:val="single" w:sz="4" w:space="0" w:color="auto"/>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Cip+Met+Mino</w:t>
            </w:r>
          </w:p>
        </w:tc>
        <w:tc>
          <w:tcPr>
            <w:tcW w:w="1509" w:type="dxa"/>
            <w:tcBorders>
              <w:top w:val="single" w:sz="4" w:space="0" w:color="auto"/>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NSCH</w:t>
            </w:r>
          </w:p>
        </w:tc>
        <w:tc>
          <w:tcPr>
            <w:tcW w:w="1464" w:type="dxa"/>
            <w:tcBorders>
              <w:top w:val="single" w:sz="4" w:space="0" w:color="auto"/>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34.09111</w:t>
            </w:r>
            <w:r w:rsidRPr="00B013ED">
              <w:rPr>
                <w:rFonts w:ascii="Arial" w:eastAsia="Calibri" w:hAnsi="Arial" w:cs="Arial"/>
                <w:color w:val="000000"/>
                <w:sz w:val="18"/>
                <w:szCs w:val="18"/>
                <w:vertAlign w:val="superscript"/>
              </w:rPr>
              <w:t>*</w:t>
            </w:r>
          </w:p>
        </w:tc>
        <w:tc>
          <w:tcPr>
            <w:tcW w:w="1005" w:type="dxa"/>
            <w:tcBorders>
              <w:top w:val="single" w:sz="4" w:space="0" w:color="auto"/>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top w:val="single" w:sz="4" w:space="0" w:color="auto"/>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30.9729</w:t>
            </w:r>
          </w:p>
        </w:tc>
        <w:tc>
          <w:tcPr>
            <w:tcW w:w="1387" w:type="dxa"/>
            <w:tcBorders>
              <w:top w:val="single" w:sz="4" w:space="0" w:color="auto"/>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37.2093</w:t>
            </w:r>
          </w:p>
        </w:tc>
      </w:tr>
      <w:tr w:rsidR="00757124" w:rsidRPr="00B013ED" w:rsidTr="006C56CA">
        <w:trPr>
          <w:cantSplit/>
        </w:trPr>
        <w:tc>
          <w:tcPr>
            <w:tcW w:w="1418"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MTA</w:t>
            </w:r>
          </w:p>
        </w:tc>
        <w:tc>
          <w:tcPr>
            <w:tcW w:w="1464"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11.31333</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8.1951</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14.4315</w:t>
            </w:r>
          </w:p>
        </w:tc>
      </w:tr>
      <w:tr w:rsidR="00757124" w:rsidRPr="00B013ED" w:rsidTr="006C56CA">
        <w:trPr>
          <w:cantSplit/>
        </w:trPr>
        <w:tc>
          <w:tcPr>
            <w:tcW w:w="1418"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Mino</w:t>
            </w:r>
          </w:p>
        </w:tc>
        <w:tc>
          <w:tcPr>
            <w:tcW w:w="1464"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12.46444</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9.3463</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15.5826</w:t>
            </w:r>
          </w:p>
        </w:tc>
      </w:tr>
      <w:tr w:rsidR="00757124" w:rsidRPr="00B013ED" w:rsidTr="006C56CA">
        <w:trPr>
          <w:cantSplit/>
        </w:trPr>
        <w:tc>
          <w:tcPr>
            <w:tcW w:w="1418"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w:t>
            </w:r>
          </w:p>
        </w:tc>
        <w:tc>
          <w:tcPr>
            <w:tcW w:w="1464"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12.30667</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9.1885</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15.4249</w:t>
            </w:r>
          </w:p>
        </w:tc>
      </w:tr>
      <w:tr w:rsidR="00757124" w:rsidRPr="00B013ED" w:rsidTr="006C56CA">
        <w:trPr>
          <w:cantSplit/>
        </w:trPr>
        <w:tc>
          <w:tcPr>
            <w:tcW w:w="1418"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Met</w:t>
            </w:r>
          </w:p>
        </w:tc>
        <w:tc>
          <w:tcPr>
            <w:tcW w:w="1464" w:type="dxa"/>
            <w:tcBorders>
              <w:left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Calibri" w:eastAsia="Calibri" w:hAnsi="Calibri" w:cs="Arial"/>
                <w:sz w:val="18"/>
                <w:szCs w:val="18"/>
              </w:rPr>
            </w:pPr>
            <w:r w:rsidRPr="00B013ED">
              <w:rPr>
                <w:rFonts w:ascii="Arial" w:eastAsia="Calibri" w:hAnsi="Arial" w:cs="Arial"/>
                <w:color w:val="000000"/>
                <w:sz w:val="18"/>
                <w:szCs w:val="18"/>
              </w:rPr>
              <w:t>19.19889</w:t>
            </w:r>
            <w:r w:rsidRPr="00B013ED">
              <w:rPr>
                <w:rFonts w:ascii="Arial" w:eastAsia="Calibri" w:hAnsi="Arial" w:cs="Arial"/>
                <w:color w:val="000000"/>
                <w:sz w:val="18"/>
                <w:szCs w:val="18"/>
                <w:vertAlign w:val="superscript"/>
              </w:rPr>
              <w:t>*</w:t>
            </w:r>
          </w:p>
        </w:tc>
        <w:tc>
          <w:tcPr>
            <w:tcW w:w="1005"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.000</w:t>
            </w:r>
          </w:p>
        </w:tc>
        <w:tc>
          <w:tcPr>
            <w:tcW w:w="1387" w:type="dxa"/>
            <w:tcBorders>
              <w:left w:val="single" w:sz="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16.0807</w:t>
            </w:r>
          </w:p>
        </w:tc>
        <w:tc>
          <w:tcPr>
            <w:tcW w:w="1387" w:type="dxa"/>
            <w:tcBorders>
              <w:left w:val="single" w:sz="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22.3171</w:t>
            </w:r>
          </w:p>
        </w:tc>
      </w:tr>
      <w:tr w:rsidR="00757124" w:rsidRPr="00B013ED" w:rsidTr="006C56CA">
        <w:trPr>
          <w:cantSplit/>
        </w:trPr>
        <w:tc>
          <w:tcPr>
            <w:tcW w:w="1418" w:type="dxa"/>
            <w:vMerge/>
            <w:tcBorders>
              <w:left w:val="single" w:sz="18" w:space="0" w:color="000000"/>
              <w:bottom w:val="single" w:sz="18" w:space="0" w:color="000000"/>
            </w:tcBorders>
            <w:shd w:val="clear" w:color="auto" w:fill="EAF1DD" w:themeFill="accent3"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textAlignment w:val="baseline"/>
              <w:rPr>
                <w:rFonts w:ascii="Arial" w:eastAsia="Calibri" w:hAnsi="Arial" w:cs="Arial"/>
                <w:color w:val="000000"/>
                <w:sz w:val="18"/>
                <w:szCs w:val="18"/>
              </w:rPr>
            </w:pPr>
          </w:p>
        </w:tc>
        <w:tc>
          <w:tcPr>
            <w:tcW w:w="1509" w:type="dxa"/>
            <w:tcBorders>
              <w:bottom w:val="single" w:sz="1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textAlignment w:val="baseline"/>
              <w:rPr>
                <w:rFonts w:ascii="Arial" w:eastAsia="Calibri" w:hAnsi="Arial" w:cs="Arial"/>
                <w:color w:val="000000"/>
                <w:sz w:val="18"/>
                <w:szCs w:val="18"/>
              </w:rPr>
            </w:pPr>
            <w:r w:rsidRPr="00B013ED">
              <w:rPr>
                <w:rFonts w:ascii="Arial" w:eastAsia="Calibri" w:hAnsi="Arial" w:cs="Arial"/>
                <w:color w:val="000000"/>
                <w:sz w:val="18"/>
                <w:szCs w:val="18"/>
              </w:rPr>
              <w:t>Cip+Met</w:t>
            </w:r>
          </w:p>
        </w:tc>
        <w:tc>
          <w:tcPr>
            <w:tcW w:w="1464" w:type="dxa"/>
            <w:tcBorders>
              <w:left w:val="single" w:sz="1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1.45333</w:t>
            </w:r>
          </w:p>
        </w:tc>
        <w:tc>
          <w:tcPr>
            <w:tcW w:w="1005" w:type="dxa"/>
            <w:tcBorders>
              <w:left w:val="single" w:sz="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.354</w:t>
            </w:r>
          </w:p>
        </w:tc>
        <w:tc>
          <w:tcPr>
            <w:tcW w:w="1387" w:type="dxa"/>
            <w:tcBorders>
              <w:left w:val="single" w:sz="8" w:space="0" w:color="000000"/>
              <w:bottom w:val="single" w:sz="18" w:space="0" w:color="000000"/>
              <w:right w:val="single" w:sz="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-1.6649</w:t>
            </w:r>
          </w:p>
        </w:tc>
        <w:tc>
          <w:tcPr>
            <w:tcW w:w="1387" w:type="dxa"/>
            <w:tcBorders>
              <w:left w:val="single" w:sz="8" w:space="0" w:color="000000"/>
              <w:bottom w:val="single" w:sz="18" w:space="0" w:color="000000"/>
              <w:right w:val="single" w:sz="18" w:space="0" w:color="000000"/>
            </w:tcBorders>
            <w:shd w:val="clear" w:color="auto" w:fill="F2DBDB" w:themeFill="accent2" w:themeFillTint="33"/>
            <w:tcMar>
              <w:top w:w="0" w:type="dxa"/>
              <w:left w:w="0" w:type="dxa"/>
              <w:bottom w:w="0" w:type="dxa"/>
              <w:right w:w="0" w:type="dxa"/>
            </w:tcMar>
            <w:vAlign w:val="center"/>
          </w:tcPr>
          <w:p w:rsidR="00757124" w:rsidRPr="00B013ED" w:rsidRDefault="00757124" w:rsidP="006C56CA">
            <w:pPr>
              <w:suppressAutoHyphens/>
              <w:autoSpaceDE w:val="0"/>
              <w:autoSpaceDN w:val="0"/>
              <w:spacing w:after="0" w:line="240" w:lineRule="auto"/>
              <w:ind w:left="60" w:right="60"/>
              <w:jc w:val="right"/>
              <w:textAlignment w:val="baseline"/>
              <w:rPr>
                <w:rFonts w:ascii="Arial" w:eastAsia="Calibri" w:hAnsi="Arial" w:cs="Arial"/>
                <w:color w:val="000000"/>
                <w:sz w:val="18"/>
                <w:szCs w:val="18"/>
              </w:rPr>
            </w:pPr>
            <w:r w:rsidRPr="00B013ED">
              <w:rPr>
                <w:rFonts w:ascii="Arial" w:eastAsia="Calibri" w:hAnsi="Arial" w:cs="Arial"/>
                <w:color w:val="000000"/>
                <w:sz w:val="18"/>
                <w:szCs w:val="18"/>
              </w:rPr>
              <w:t>4.5715</w:t>
            </w:r>
          </w:p>
        </w:tc>
      </w:tr>
    </w:tbl>
    <w:p w:rsidR="00757124" w:rsidRDefault="00757124" w:rsidP="00757124">
      <w:pPr>
        <w:spacing w:after="120" w:line="360" w:lineRule="auto"/>
        <w:jc w:val="both"/>
        <w:rPr>
          <w:sz w:val="20"/>
          <w:szCs w:val="20"/>
          <w:lang w:val="en-US"/>
        </w:rPr>
      </w:pPr>
    </w:p>
    <w:p w:rsidR="00F2488F" w:rsidRDefault="00757124" w:rsidP="00E5222F">
      <w:pPr>
        <w:spacing w:after="120" w:line="360" w:lineRule="auto"/>
        <w:jc w:val="both"/>
        <w:rPr>
          <w:sz w:val="20"/>
          <w:szCs w:val="20"/>
          <w:lang w:val="en-US"/>
        </w:rPr>
      </w:pPr>
      <w:r w:rsidRPr="00B013ED">
        <w:rPr>
          <w:sz w:val="20"/>
          <w:szCs w:val="20"/>
          <w:lang w:val="en-US"/>
        </w:rPr>
        <w:t>*. The mean difference is significant at the 0.05 level</w:t>
      </w:r>
    </w:p>
    <w:p w:rsidR="00374B77" w:rsidRPr="00374B77" w:rsidRDefault="006C56CA" w:rsidP="00374B77">
      <w:pPr>
        <w:rPr>
          <w:bCs/>
          <w:szCs w:val="24"/>
          <w:lang w:val="en-US"/>
        </w:rPr>
      </w:pPr>
      <w:r>
        <w:rPr>
          <w:b/>
          <w:sz w:val="20"/>
          <w:szCs w:val="20"/>
          <w:lang w:val="en-US"/>
        </w:rPr>
        <w:br w:type="page"/>
      </w:r>
      <w:r w:rsidR="00F2488F" w:rsidRPr="00A076CB">
        <w:rPr>
          <w:bCs/>
          <w:szCs w:val="24"/>
          <w:lang w:val="en-US"/>
        </w:rPr>
        <w:fldChar w:fldCharType="begin"/>
      </w:r>
      <w:r w:rsidR="00F2488F" w:rsidRPr="00A076CB">
        <w:rPr>
          <w:bCs/>
          <w:szCs w:val="24"/>
          <w:lang w:val="en-US"/>
        </w:rPr>
        <w:instrText xml:space="preserve"> REF _Ref360563600 \h </w:instrText>
      </w:r>
      <w:r w:rsidR="00E5222F" w:rsidRPr="00A076CB">
        <w:rPr>
          <w:bCs/>
          <w:szCs w:val="24"/>
          <w:lang w:val="en-US"/>
        </w:rPr>
        <w:instrText xml:space="preserve"> \* MERGEFORMAT </w:instrText>
      </w:r>
      <w:r w:rsidR="00F2488F" w:rsidRPr="00A076CB">
        <w:rPr>
          <w:bCs/>
          <w:szCs w:val="24"/>
          <w:lang w:val="en-US"/>
        </w:rPr>
      </w:r>
      <w:r w:rsidR="00F2488F" w:rsidRPr="00A076CB">
        <w:rPr>
          <w:bCs/>
          <w:szCs w:val="24"/>
          <w:lang w:val="en-US"/>
        </w:rPr>
        <w:fldChar w:fldCharType="separate"/>
      </w:r>
    </w:p>
    <w:p w:rsidR="00A53AC3" w:rsidRPr="00A076CB" w:rsidRDefault="00374B77" w:rsidP="00A076CB">
      <w:pPr>
        <w:pStyle w:val="table"/>
        <w:rPr>
          <w:szCs w:val="24"/>
        </w:rPr>
      </w:pPr>
      <w:r w:rsidRPr="00374B77">
        <w:rPr>
          <w:szCs w:val="24"/>
        </w:rPr>
        <w:lastRenderedPageBreak/>
        <w:t>Figure</w:t>
      </w:r>
      <w:r w:rsidRPr="00374B77">
        <w:rPr>
          <w:noProof/>
          <w:szCs w:val="24"/>
        </w:rPr>
        <w:t xml:space="preserve"> </w:t>
      </w:r>
      <w:r w:rsidRPr="00374B77">
        <w:rPr>
          <w:noProof/>
          <w:szCs w:val="24"/>
          <w:cs/>
        </w:rPr>
        <w:t>‎</w:t>
      </w:r>
      <w:r>
        <w:rPr>
          <w:b/>
          <w:bCs w:val="0"/>
          <w:noProof/>
          <w:sz w:val="20"/>
          <w:szCs w:val="20"/>
        </w:rPr>
        <w:t>3.18</w:t>
      </w:r>
      <w:r w:rsidR="00F2488F" w:rsidRPr="00A076CB">
        <w:rPr>
          <w:szCs w:val="24"/>
          <w:lang w:val="en-US"/>
        </w:rPr>
        <w:fldChar w:fldCharType="end"/>
      </w:r>
      <w:r w:rsidR="00F2488F" w:rsidRPr="00A076CB">
        <w:rPr>
          <w:szCs w:val="24"/>
          <w:lang w:val="en-US"/>
        </w:rPr>
        <w:t xml:space="preserve"> </w:t>
      </w:r>
      <w:r w:rsidR="00A53AC3" w:rsidRPr="00A076CB">
        <w:rPr>
          <w:szCs w:val="24"/>
          <w:lang w:val="en-US"/>
        </w:rPr>
        <w:t xml:space="preserve">and </w:t>
      </w:r>
      <w:r w:rsidR="00F2488F" w:rsidRPr="00A076CB">
        <w:rPr>
          <w:szCs w:val="24"/>
          <w:lang w:val="en-US"/>
        </w:rPr>
        <w:fldChar w:fldCharType="begin"/>
      </w:r>
      <w:r w:rsidR="00F2488F" w:rsidRPr="00A076CB">
        <w:rPr>
          <w:szCs w:val="24"/>
          <w:lang w:val="en-US"/>
        </w:rPr>
        <w:instrText xml:space="preserve"> REF _Ref360563619 \h </w:instrText>
      </w:r>
      <w:r w:rsidR="00E5222F" w:rsidRPr="00A076CB">
        <w:rPr>
          <w:szCs w:val="24"/>
          <w:lang w:val="en-US"/>
        </w:rPr>
        <w:instrText xml:space="preserve"> \* MERGEFORMAT </w:instrText>
      </w:r>
      <w:r w:rsidR="00F2488F" w:rsidRPr="00A076CB">
        <w:rPr>
          <w:szCs w:val="24"/>
          <w:lang w:val="en-US"/>
        </w:rPr>
      </w:r>
      <w:r w:rsidR="00F2488F" w:rsidRPr="00A076CB">
        <w:rPr>
          <w:szCs w:val="24"/>
          <w:lang w:val="en-US"/>
        </w:rPr>
        <w:fldChar w:fldCharType="separate"/>
      </w:r>
      <w:r w:rsidRPr="00374B77">
        <w:rPr>
          <w:szCs w:val="24"/>
        </w:rPr>
        <w:t xml:space="preserve">Figure </w:t>
      </w:r>
      <w:r w:rsidRPr="00374B77">
        <w:rPr>
          <w:noProof/>
          <w:szCs w:val="24"/>
          <w:cs/>
        </w:rPr>
        <w:t>‎</w:t>
      </w:r>
      <w:r>
        <w:rPr>
          <w:b/>
          <w:noProof/>
          <w:sz w:val="20"/>
          <w:szCs w:val="20"/>
        </w:rPr>
        <w:t>3.19</w:t>
      </w:r>
      <w:r w:rsidR="00F2488F" w:rsidRPr="00A076CB">
        <w:rPr>
          <w:szCs w:val="24"/>
          <w:lang w:val="en-US"/>
        </w:rPr>
        <w:fldChar w:fldCharType="end"/>
      </w:r>
      <w:r w:rsidR="00F2488F" w:rsidRPr="00A076CB">
        <w:rPr>
          <w:szCs w:val="24"/>
          <w:lang w:val="en-US"/>
        </w:rPr>
        <w:t xml:space="preserve"> </w:t>
      </w:r>
      <w:r w:rsidR="00A53AC3" w:rsidRPr="00A076CB">
        <w:rPr>
          <w:szCs w:val="24"/>
          <w:lang w:val="en-US"/>
        </w:rPr>
        <w:t>demonstrate visuall</w:t>
      </w:r>
      <w:r w:rsidR="00A076CB">
        <w:rPr>
          <w:szCs w:val="24"/>
          <w:lang w:val="en-US"/>
        </w:rPr>
        <w:t xml:space="preserve">y the inhibition zones for each </w:t>
      </w:r>
      <w:proofErr w:type="gramStart"/>
      <w:r w:rsidR="00A53AC3" w:rsidRPr="00A076CB">
        <w:rPr>
          <w:szCs w:val="24"/>
          <w:lang w:val="en-US"/>
        </w:rPr>
        <w:t>bacteria</w:t>
      </w:r>
      <w:proofErr w:type="gramEnd"/>
      <w:r w:rsidR="00A53AC3" w:rsidRPr="00A076CB">
        <w:rPr>
          <w:szCs w:val="24"/>
          <w:lang w:val="en-US"/>
        </w:rPr>
        <w:t xml:space="preserve"> and for all the groups used in our study.</w:t>
      </w:r>
    </w:p>
    <w:p w:rsidR="0012248F" w:rsidRDefault="0012248F" w:rsidP="00E5222F">
      <w:pPr>
        <w:spacing w:after="120" w:line="240" w:lineRule="auto"/>
        <w:jc w:val="both"/>
        <w:rPr>
          <w:b/>
          <w:bCs/>
          <w:sz w:val="20"/>
          <w:szCs w:val="20"/>
        </w:rPr>
      </w:pPr>
      <w:bookmarkStart w:id="608" w:name="_Ref360563600"/>
    </w:p>
    <w:p w:rsidR="00EC38E2" w:rsidRPr="0012248F" w:rsidRDefault="0012248F" w:rsidP="0012248F">
      <w:pPr>
        <w:spacing w:after="120" w:line="240" w:lineRule="auto"/>
        <w:jc w:val="both"/>
        <w:rPr>
          <w:b/>
          <w:bCs/>
          <w:sz w:val="20"/>
          <w:szCs w:val="20"/>
          <w:lang w:val="en-US"/>
        </w:rPr>
      </w:pPr>
      <w:bookmarkStart w:id="609" w:name="_Toc361733632"/>
      <w:bookmarkStart w:id="610" w:name="_Toc361734275"/>
      <w:r>
        <w:rPr>
          <w:rFonts w:eastAsia="Times New Roman"/>
          <w:noProof/>
          <w:lang w:eastAsia="en-GB"/>
        </w:rPr>
        <w:drawing>
          <wp:anchor distT="0" distB="0" distL="114300" distR="114300" simplePos="0" relativeHeight="251851776" behindDoc="0" locked="0" layoutInCell="1" allowOverlap="1" wp14:anchorId="54A2FD41" wp14:editId="0BDA7B36">
            <wp:simplePos x="0" y="0"/>
            <wp:positionH relativeFrom="column">
              <wp:posOffset>17145</wp:posOffset>
            </wp:positionH>
            <wp:positionV relativeFrom="paragraph">
              <wp:posOffset>392430</wp:posOffset>
            </wp:positionV>
            <wp:extent cx="5400675" cy="7534275"/>
            <wp:effectExtent l="38100" t="38100" r="47625" b="47625"/>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6">
                      <a:extLst>
                        <a:ext uri="{28A0092B-C50C-407E-A947-70E740481C1C}">
                          <a14:useLocalDpi xmlns:a14="http://schemas.microsoft.com/office/drawing/2010/main" val="0"/>
                        </a:ext>
                      </a:extLst>
                    </a:blip>
                    <a:srcRect t="1495"/>
                    <a:stretch/>
                  </pic:blipFill>
                  <pic:spPr bwMode="auto">
                    <a:xfrm>
                      <a:off x="0" y="0"/>
                      <a:ext cx="5400675" cy="7534275"/>
                    </a:xfrm>
                    <a:prstGeom prst="rect">
                      <a:avLst/>
                    </a:prstGeom>
                    <a:noFill/>
                    <a:ln w="381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C41">
        <w:rPr>
          <w:b/>
          <w:bCs/>
          <w:sz w:val="20"/>
          <w:szCs w:val="20"/>
        </w:rPr>
        <w:t>Figure</w:t>
      </w:r>
      <w:r w:rsidR="00A96D26" w:rsidRPr="00A96D26">
        <w:rPr>
          <w:b/>
          <w:bCs/>
          <w:sz w:val="20"/>
          <w:szCs w:val="20"/>
        </w:rPr>
        <w:t xml:space="preserve"> </w:t>
      </w:r>
      <w:r w:rsidR="00DF37B0">
        <w:rPr>
          <w:b/>
          <w:bCs/>
          <w:sz w:val="20"/>
          <w:szCs w:val="20"/>
        </w:rPr>
        <w:fldChar w:fldCharType="begin"/>
      </w:r>
      <w:r w:rsidR="00DF37B0">
        <w:rPr>
          <w:b/>
          <w:bCs/>
          <w:sz w:val="20"/>
          <w:szCs w:val="20"/>
        </w:rPr>
        <w:instrText xml:space="preserve"> STYLEREF 1 \s </w:instrText>
      </w:r>
      <w:r w:rsidR="00DF37B0">
        <w:rPr>
          <w:b/>
          <w:bCs/>
          <w:sz w:val="20"/>
          <w:szCs w:val="20"/>
        </w:rPr>
        <w:fldChar w:fldCharType="separate"/>
      </w:r>
      <w:r w:rsidR="00374B77">
        <w:rPr>
          <w:b/>
          <w:bCs/>
          <w:noProof/>
          <w:sz w:val="20"/>
          <w:szCs w:val="20"/>
          <w:cs/>
        </w:rPr>
        <w:t>‎</w:t>
      </w:r>
      <w:r w:rsidR="00374B77">
        <w:rPr>
          <w:b/>
          <w:bCs/>
          <w:noProof/>
          <w:sz w:val="20"/>
          <w:szCs w:val="20"/>
        </w:rPr>
        <w:t>3</w:t>
      </w:r>
      <w:r w:rsidR="00DF37B0">
        <w:rPr>
          <w:b/>
          <w:bCs/>
          <w:sz w:val="20"/>
          <w:szCs w:val="20"/>
        </w:rPr>
        <w:fldChar w:fldCharType="end"/>
      </w:r>
      <w:r w:rsidR="00DF37B0">
        <w:rPr>
          <w:b/>
          <w:bCs/>
          <w:sz w:val="20"/>
          <w:szCs w:val="20"/>
        </w:rPr>
        <w:t>.</w:t>
      </w:r>
      <w:r w:rsidR="00DF37B0">
        <w:rPr>
          <w:b/>
          <w:bCs/>
          <w:sz w:val="20"/>
          <w:szCs w:val="20"/>
        </w:rPr>
        <w:fldChar w:fldCharType="begin"/>
      </w:r>
      <w:r w:rsidR="00DF37B0">
        <w:rPr>
          <w:b/>
          <w:bCs/>
          <w:sz w:val="20"/>
          <w:szCs w:val="20"/>
        </w:rPr>
        <w:instrText xml:space="preserve"> SEQ Figure \* ARABIC \s 1 </w:instrText>
      </w:r>
      <w:r w:rsidR="00DF37B0">
        <w:rPr>
          <w:b/>
          <w:bCs/>
          <w:sz w:val="20"/>
          <w:szCs w:val="20"/>
        </w:rPr>
        <w:fldChar w:fldCharType="separate"/>
      </w:r>
      <w:proofErr w:type="gramStart"/>
      <w:r w:rsidR="00374B77">
        <w:rPr>
          <w:b/>
          <w:bCs/>
          <w:noProof/>
          <w:sz w:val="20"/>
          <w:szCs w:val="20"/>
        </w:rPr>
        <w:t>18</w:t>
      </w:r>
      <w:r w:rsidR="00DF37B0">
        <w:rPr>
          <w:b/>
          <w:bCs/>
          <w:sz w:val="20"/>
          <w:szCs w:val="20"/>
        </w:rPr>
        <w:fldChar w:fldCharType="end"/>
      </w:r>
      <w:bookmarkEnd w:id="608"/>
      <w:r w:rsidR="005305DB" w:rsidRPr="005305DB">
        <w:rPr>
          <w:b/>
          <w:bCs/>
          <w:color w:val="000000" w:themeColor="text1"/>
          <w:sz w:val="20"/>
          <w:szCs w:val="20"/>
          <w:lang w:val="en-US"/>
        </w:rPr>
        <w:t xml:space="preserve"> </w:t>
      </w:r>
      <w:r w:rsidR="000D33EF">
        <w:rPr>
          <w:b/>
          <w:bCs/>
          <w:color w:val="000000" w:themeColor="text1"/>
          <w:sz w:val="20"/>
          <w:szCs w:val="20"/>
          <w:lang w:val="en-US"/>
        </w:rPr>
        <w:t>I</w:t>
      </w:r>
      <w:r w:rsidR="005305DB">
        <w:rPr>
          <w:b/>
          <w:bCs/>
          <w:color w:val="000000" w:themeColor="text1"/>
          <w:sz w:val="20"/>
          <w:szCs w:val="20"/>
          <w:lang w:val="en-US"/>
        </w:rPr>
        <w:t>nhibition zone</w:t>
      </w:r>
      <w:proofErr w:type="gramEnd"/>
      <w:r w:rsidR="005305DB">
        <w:rPr>
          <w:b/>
          <w:bCs/>
          <w:color w:val="000000" w:themeColor="text1"/>
          <w:sz w:val="20"/>
          <w:szCs w:val="20"/>
          <w:lang w:val="en-US"/>
        </w:rPr>
        <w:t xml:space="preserve"> of selected bacteria </w:t>
      </w:r>
      <w:r w:rsidR="006B5362">
        <w:rPr>
          <w:b/>
          <w:bCs/>
          <w:color w:val="000000" w:themeColor="text1"/>
          <w:sz w:val="20"/>
          <w:szCs w:val="20"/>
          <w:lang w:val="en-US"/>
        </w:rPr>
        <w:t xml:space="preserve">with </w:t>
      </w:r>
      <w:r w:rsidR="005305DB" w:rsidRPr="00C91C92">
        <w:rPr>
          <w:b/>
          <w:bCs/>
          <w:color w:val="000000" w:themeColor="text1"/>
          <w:sz w:val="20"/>
          <w:szCs w:val="20"/>
          <w:lang w:val="en-US"/>
        </w:rPr>
        <w:t>MTA and NSCH</w:t>
      </w:r>
      <w:r w:rsidR="005305DB">
        <w:rPr>
          <w:b/>
          <w:bCs/>
          <w:color w:val="000000" w:themeColor="text1"/>
          <w:sz w:val="20"/>
          <w:szCs w:val="20"/>
          <w:lang w:val="en-US"/>
        </w:rPr>
        <w:t xml:space="preserve"> application</w:t>
      </w:r>
      <w:bookmarkEnd w:id="609"/>
      <w:bookmarkEnd w:id="610"/>
    </w:p>
    <w:p w:rsidR="00EC38E2" w:rsidRPr="00B013ED" w:rsidRDefault="0023641C" w:rsidP="00EC38E2">
      <w:pPr>
        <w:spacing w:line="240" w:lineRule="auto"/>
        <w:rPr>
          <w:rFonts w:eastAsia="Times New Roman"/>
          <w:lang w:eastAsia="en-GB"/>
        </w:rPr>
      </w:pPr>
      <w:r>
        <w:rPr>
          <w:noProof/>
          <w:lang w:eastAsia="en-GB"/>
        </w:rPr>
        <w:lastRenderedPageBreak/>
        <mc:AlternateContent>
          <mc:Choice Requires="wps">
            <w:drawing>
              <wp:anchor distT="0" distB="0" distL="114300" distR="114300" simplePos="0" relativeHeight="251751424" behindDoc="0" locked="0" layoutInCell="1" allowOverlap="1" wp14:anchorId="57B57CDD" wp14:editId="6884179A">
                <wp:simplePos x="0" y="0"/>
                <wp:positionH relativeFrom="column">
                  <wp:posOffset>-46990</wp:posOffset>
                </wp:positionH>
                <wp:positionV relativeFrom="paragraph">
                  <wp:posOffset>194945</wp:posOffset>
                </wp:positionV>
                <wp:extent cx="577215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72150" cy="457200"/>
                        </a:xfrm>
                        <a:prstGeom prst="rect">
                          <a:avLst/>
                        </a:prstGeom>
                        <a:solidFill>
                          <a:prstClr val="white"/>
                        </a:solidFill>
                        <a:ln>
                          <a:noFill/>
                        </a:ln>
                        <a:effectLst/>
                      </wps:spPr>
                      <wps:txbx>
                        <w:txbxContent>
                          <w:p w:rsidR="003208E6" w:rsidRPr="00B426B1" w:rsidRDefault="003208E6" w:rsidP="00AD2009">
                            <w:pPr>
                              <w:jc w:val="center"/>
                              <w:rPr>
                                <w:b/>
                                <w:bCs/>
                                <w:color w:val="000000" w:themeColor="text1"/>
                                <w:sz w:val="20"/>
                                <w:szCs w:val="20"/>
                                <w:lang w:val="en-US"/>
                              </w:rPr>
                            </w:pPr>
                            <w:bookmarkStart w:id="611" w:name="_Ref360563619"/>
                            <w:bookmarkStart w:id="612" w:name="_Toc361733633"/>
                            <w:bookmarkStart w:id="613" w:name="_Toc361734276"/>
                            <w:bookmarkStart w:id="614" w:name="_Toc370511672"/>
                            <w:r>
                              <w:rPr>
                                <w:b/>
                                <w:sz w:val="20"/>
                                <w:szCs w:val="20"/>
                              </w:rPr>
                              <w:t>Figure</w:t>
                            </w:r>
                            <w:r w:rsidRPr="00B426B1">
                              <w:rPr>
                                <w:b/>
                                <w:sz w:val="20"/>
                                <w:szCs w:val="20"/>
                              </w:rPr>
                              <w:t xml:space="preserve"> </w:t>
                            </w:r>
                            <w:r>
                              <w:rPr>
                                <w:b/>
                                <w:sz w:val="20"/>
                                <w:szCs w:val="20"/>
                              </w:rPr>
                              <w:fldChar w:fldCharType="begin"/>
                            </w:r>
                            <w:r>
                              <w:rPr>
                                <w:b/>
                                <w:sz w:val="20"/>
                                <w:szCs w:val="20"/>
                              </w:rPr>
                              <w:instrText xml:space="preserve"> STYLEREF 1 \s </w:instrText>
                            </w:r>
                            <w:r>
                              <w:rPr>
                                <w:b/>
                                <w:sz w:val="20"/>
                                <w:szCs w:val="20"/>
                              </w:rPr>
                              <w:fldChar w:fldCharType="separate"/>
                            </w:r>
                            <w:r>
                              <w:rPr>
                                <w:b/>
                                <w:noProof/>
                                <w:sz w:val="20"/>
                                <w:szCs w:val="20"/>
                                <w:cs/>
                              </w:rPr>
                              <w:t>‎</w:t>
                            </w:r>
                            <w:r>
                              <w:rPr>
                                <w:b/>
                                <w:noProof/>
                                <w:sz w:val="20"/>
                                <w:szCs w:val="20"/>
                              </w:rPr>
                              <w:t>3</w:t>
                            </w:r>
                            <w:r>
                              <w:rPr>
                                <w:b/>
                                <w:sz w:val="20"/>
                                <w:szCs w:val="20"/>
                              </w:rPr>
                              <w:fldChar w:fldCharType="end"/>
                            </w:r>
                            <w:r>
                              <w:rPr>
                                <w:b/>
                                <w:sz w:val="20"/>
                                <w:szCs w:val="20"/>
                              </w:rPr>
                              <w:t>.</w:t>
                            </w:r>
                            <w:r>
                              <w:rPr>
                                <w:b/>
                                <w:sz w:val="20"/>
                                <w:szCs w:val="20"/>
                              </w:rPr>
                              <w:fldChar w:fldCharType="begin"/>
                            </w:r>
                            <w:r>
                              <w:rPr>
                                <w:b/>
                                <w:sz w:val="20"/>
                                <w:szCs w:val="20"/>
                              </w:rPr>
                              <w:instrText xml:space="preserve"> SEQ Figure \* ARABIC \s 1 </w:instrText>
                            </w:r>
                            <w:r>
                              <w:rPr>
                                <w:b/>
                                <w:sz w:val="20"/>
                                <w:szCs w:val="20"/>
                              </w:rPr>
                              <w:fldChar w:fldCharType="separate"/>
                            </w:r>
                            <w:r>
                              <w:rPr>
                                <w:b/>
                                <w:noProof/>
                                <w:sz w:val="20"/>
                                <w:szCs w:val="20"/>
                              </w:rPr>
                              <w:t>19</w:t>
                            </w:r>
                            <w:r>
                              <w:rPr>
                                <w:b/>
                                <w:sz w:val="20"/>
                                <w:szCs w:val="20"/>
                              </w:rPr>
                              <w:fldChar w:fldCharType="end"/>
                            </w:r>
                            <w:bookmarkEnd w:id="611"/>
                            <w:r w:rsidRPr="00B426B1">
                              <w:rPr>
                                <w:b/>
                                <w:bCs/>
                                <w:color w:val="000000" w:themeColor="text1"/>
                                <w:sz w:val="20"/>
                                <w:szCs w:val="20"/>
                                <w:lang w:val="en-US"/>
                              </w:rPr>
                              <w:t xml:space="preserve"> </w:t>
                            </w:r>
                            <w:r>
                              <w:rPr>
                                <w:b/>
                                <w:bCs/>
                                <w:color w:val="000000" w:themeColor="text1"/>
                                <w:sz w:val="20"/>
                                <w:szCs w:val="20"/>
                                <w:lang w:val="en-US"/>
                              </w:rPr>
                              <w:t xml:space="preserve"> I</w:t>
                            </w:r>
                            <w:r w:rsidRPr="00B426B1">
                              <w:rPr>
                                <w:b/>
                                <w:bCs/>
                                <w:color w:val="000000" w:themeColor="text1"/>
                                <w:sz w:val="20"/>
                                <w:szCs w:val="20"/>
                                <w:lang w:val="en-US"/>
                              </w:rPr>
                              <w:t>nhibition zone of selected bacteria with Mino, Cip, and Met individually or in combination</w:t>
                            </w:r>
                            <w:bookmarkEnd w:id="612"/>
                            <w:bookmarkEnd w:id="613"/>
                            <w:bookmarkEnd w:id="614"/>
                            <w:r w:rsidRPr="00B426B1">
                              <w:rPr>
                                <w:b/>
                                <w:bCs/>
                                <w:color w:val="000000" w:themeColor="text1"/>
                                <w:sz w:val="20"/>
                                <w:szCs w:val="20"/>
                                <w:lang w:val="en-US"/>
                              </w:rPr>
                              <w:t xml:space="preserve"> </w:t>
                            </w:r>
                          </w:p>
                          <w:p w:rsidR="003208E6" w:rsidRPr="00B426B1" w:rsidRDefault="003208E6" w:rsidP="001D3F19">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7" type="#_x0000_t202" style="position:absolute;margin-left:-3.7pt;margin-top:15.35pt;width:454.5pt;height:36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" stroked="f">
                <v:textbox inset="0,0,0,0">
                  <w:txbxContent>
                    <w:p w:rsidR="003208E6" w:rsidRPr="00B426B1" w:rsidRDefault="003208E6" w:rsidP="00AD2009">
                      <w:pPr>
                        <w:jc w:val="center"/>
                        <w:rPr>
                          <w:b/>
                          <w:bCs/>
                          <w:color w:val="000000" w:themeColor="text1"/>
                          <w:sz w:val="20"/>
                          <w:szCs w:val="20"/>
                          <w:lang w:val="en-US"/>
                        </w:rPr>
                      </w:pPr>
                      <w:bookmarkStart w:id="657" w:name="_Ref360563619"/>
                      <w:bookmarkStart w:id="658" w:name="_Toc361733633"/>
                      <w:bookmarkStart w:id="659" w:name="_Toc361734276"/>
                      <w:bookmarkStart w:id="660" w:name="_Toc370511672"/>
                      <w:r>
                        <w:rPr>
                          <w:b/>
                          <w:sz w:val="20"/>
                          <w:szCs w:val="20"/>
                        </w:rPr>
                        <w:t>Figure</w:t>
                      </w:r>
                      <w:r w:rsidRPr="00B426B1">
                        <w:rPr>
                          <w:b/>
                          <w:sz w:val="20"/>
                          <w:szCs w:val="20"/>
                        </w:rPr>
                        <w:t xml:space="preserve"> </w:t>
                      </w:r>
                      <w:r>
                        <w:rPr>
                          <w:b/>
                          <w:sz w:val="20"/>
                          <w:szCs w:val="20"/>
                        </w:rPr>
                        <w:fldChar w:fldCharType="begin"/>
                      </w:r>
                      <w:r>
                        <w:rPr>
                          <w:b/>
                          <w:sz w:val="20"/>
                          <w:szCs w:val="20"/>
                        </w:rPr>
                        <w:instrText xml:space="preserve"> STYLEREF 1 \s </w:instrText>
                      </w:r>
                      <w:r>
                        <w:rPr>
                          <w:b/>
                          <w:sz w:val="20"/>
                          <w:szCs w:val="20"/>
                        </w:rPr>
                        <w:fldChar w:fldCharType="separate"/>
                      </w:r>
                      <w:r>
                        <w:rPr>
                          <w:b/>
                          <w:noProof/>
                          <w:sz w:val="20"/>
                          <w:szCs w:val="20"/>
                          <w:cs/>
                        </w:rPr>
                        <w:t>‎</w:t>
                      </w:r>
                      <w:r>
                        <w:rPr>
                          <w:b/>
                          <w:noProof/>
                          <w:sz w:val="20"/>
                          <w:szCs w:val="20"/>
                        </w:rPr>
                        <w:t>3</w:t>
                      </w:r>
                      <w:r>
                        <w:rPr>
                          <w:b/>
                          <w:sz w:val="20"/>
                          <w:szCs w:val="20"/>
                        </w:rPr>
                        <w:fldChar w:fldCharType="end"/>
                      </w:r>
                      <w:r>
                        <w:rPr>
                          <w:b/>
                          <w:sz w:val="20"/>
                          <w:szCs w:val="20"/>
                        </w:rPr>
                        <w:t>.</w:t>
                      </w:r>
                      <w:r>
                        <w:rPr>
                          <w:b/>
                          <w:sz w:val="20"/>
                          <w:szCs w:val="20"/>
                        </w:rPr>
                        <w:fldChar w:fldCharType="begin"/>
                      </w:r>
                      <w:r>
                        <w:rPr>
                          <w:b/>
                          <w:sz w:val="20"/>
                          <w:szCs w:val="20"/>
                        </w:rPr>
                        <w:instrText xml:space="preserve"> SEQ Figure \* ARABIC \s 1 </w:instrText>
                      </w:r>
                      <w:r>
                        <w:rPr>
                          <w:b/>
                          <w:sz w:val="20"/>
                          <w:szCs w:val="20"/>
                        </w:rPr>
                        <w:fldChar w:fldCharType="separate"/>
                      </w:r>
                      <w:r>
                        <w:rPr>
                          <w:b/>
                          <w:noProof/>
                          <w:sz w:val="20"/>
                          <w:szCs w:val="20"/>
                        </w:rPr>
                        <w:t>19</w:t>
                      </w:r>
                      <w:r>
                        <w:rPr>
                          <w:b/>
                          <w:sz w:val="20"/>
                          <w:szCs w:val="20"/>
                        </w:rPr>
                        <w:fldChar w:fldCharType="end"/>
                      </w:r>
                      <w:bookmarkEnd w:id="657"/>
                      <w:r w:rsidRPr="00B426B1">
                        <w:rPr>
                          <w:b/>
                          <w:bCs/>
                          <w:color w:val="000000" w:themeColor="text1"/>
                          <w:sz w:val="20"/>
                          <w:szCs w:val="20"/>
                          <w:lang w:val="en-US"/>
                        </w:rPr>
                        <w:t xml:space="preserve"> </w:t>
                      </w:r>
                      <w:r>
                        <w:rPr>
                          <w:b/>
                          <w:bCs/>
                          <w:color w:val="000000" w:themeColor="text1"/>
                          <w:sz w:val="20"/>
                          <w:szCs w:val="20"/>
                          <w:lang w:val="en-US"/>
                        </w:rPr>
                        <w:t xml:space="preserve"> I</w:t>
                      </w:r>
                      <w:r w:rsidRPr="00B426B1">
                        <w:rPr>
                          <w:b/>
                          <w:bCs/>
                          <w:color w:val="000000" w:themeColor="text1"/>
                          <w:sz w:val="20"/>
                          <w:szCs w:val="20"/>
                          <w:lang w:val="en-US"/>
                        </w:rPr>
                        <w:t>nhibition zone of selected bacteria with Mino, Cip, and Met individually or in combination</w:t>
                      </w:r>
                      <w:bookmarkEnd w:id="658"/>
                      <w:bookmarkEnd w:id="659"/>
                      <w:bookmarkEnd w:id="660"/>
                      <w:r w:rsidRPr="00B426B1">
                        <w:rPr>
                          <w:b/>
                          <w:bCs/>
                          <w:color w:val="000000" w:themeColor="text1"/>
                          <w:sz w:val="20"/>
                          <w:szCs w:val="20"/>
                          <w:lang w:val="en-US"/>
                        </w:rPr>
                        <w:t xml:space="preserve"> </w:t>
                      </w:r>
                    </w:p>
                    <w:p w:rsidR="003208E6" w:rsidRPr="00B426B1" w:rsidRDefault="003208E6" w:rsidP="001D3F19">
                      <w:pPr>
                        <w:rPr>
                          <w:lang w:val="en-US"/>
                        </w:rPr>
                      </w:pPr>
                    </w:p>
                  </w:txbxContent>
                </v:textbox>
              </v:shape>
            </w:pict>
          </mc:Fallback>
        </mc:AlternateContent>
      </w:r>
    </w:p>
    <w:p w:rsidR="00EC38E2" w:rsidRPr="00B013ED" w:rsidRDefault="00A076CB" w:rsidP="00EC38E2">
      <w:pPr>
        <w:spacing w:line="240" w:lineRule="auto"/>
        <w:rPr>
          <w:rFonts w:eastAsia="Times New Roman"/>
          <w:lang w:eastAsia="en-GB"/>
        </w:rPr>
      </w:pPr>
      <w:r w:rsidRPr="006679A6">
        <w:rPr>
          <w:noProof/>
          <w:bdr w:val="single" w:sz="4" w:space="0" w:color="auto"/>
          <w:lang w:eastAsia="en-GB"/>
        </w:rPr>
        <w:drawing>
          <wp:anchor distT="0" distB="0" distL="114300" distR="114300" simplePos="0" relativeHeight="251849728" behindDoc="0" locked="0" layoutInCell="1" allowOverlap="1" wp14:anchorId="2E8A6FAC" wp14:editId="0FEAF593">
            <wp:simplePos x="0" y="0"/>
            <wp:positionH relativeFrom="column">
              <wp:posOffset>26670</wp:posOffset>
            </wp:positionH>
            <wp:positionV relativeFrom="paragraph">
              <wp:posOffset>354965</wp:posOffset>
            </wp:positionV>
            <wp:extent cx="5400675" cy="7400925"/>
            <wp:effectExtent l="19050" t="19050" r="28575" b="28575"/>
            <wp:wrapSquare wrapText="bothSides"/>
            <wp:docPr id="276" name="Picture 276" descr="C:\Users\wageh\Desktop\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geh\Desktop\Presentation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675" cy="7400925"/>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r w:rsidR="006679A6">
        <w:rPr>
          <w:noProof/>
          <w:lang w:eastAsia="en-GB"/>
        </w:rPr>
        <mc:AlternateContent>
          <mc:Choice Requires="wps">
            <w:drawing>
              <wp:anchor distT="0" distB="0" distL="114300" distR="114300" simplePos="0" relativeHeight="251850752" behindDoc="0" locked="0" layoutInCell="1" allowOverlap="1" wp14:anchorId="43DBC4F2" wp14:editId="611F48C3">
                <wp:simplePos x="0" y="0"/>
                <wp:positionH relativeFrom="column">
                  <wp:posOffset>26670</wp:posOffset>
                </wp:positionH>
                <wp:positionV relativeFrom="paragraph">
                  <wp:posOffset>3126740</wp:posOffset>
                </wp:positionV>
                <wp:extent cx="5400675" cy="9525"/>
                <wp:effectExtent l="0" t="0" r="9525" b="28575"/>
                <wp:wrapNone/>
                <wp:docPr id="277" name="Straight Connector 277"/>
                <wp:cNvGraphicFramePr/>
                <a:graphic xmlns:a="http://schemas.openxmlformats.org/drawingml/2006/main">
                  <a:graphicData uri="http://schemas.microsoft.com/office/word/2010/wordprocessingShape">
                    <wps:wsp>
                      <wps:cNvCnPr/>
                      <wps:spPr>
                        <a:xfrm flipH="1">
                          <a:off x="0" y="0"/>
                          <a:ext cx="54006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7" o:spid="_x0000_s1026" style="position:absolute;flip:x;z-index:251850752;visibility:visible;mso-wrap-style:square;mso-wrap-distance-left:9pt;mso-wrap-distance-top:0;mso-wrap-distance-right:9pt;mso-wrap-distance-bottom:0;mso-position-horizontal:absolute;mso-position-horizontal-relative:text;mso-position-vertical:absolute;mso-position-vertical-relative:text" from="2.1pt,246.2pt" to="427.35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" strokecolor="red" strokeweight="1.5pt"/>
            </w:pict>
          </mc:Fallback>
        </mc:AlternateContent>
      </w:r>
    </w:p>
    <w:p w:rsidR="006679A6" w:rsidRDefault="006679A6" w:rsidP="00EC38E2">
      <w:pPr>
        <w:spacing w:line="240" w:lineRule="auto"/>
        <w:rPr>
          <w:rFonts w:eastAsia="Times New Roman"/>
          <w:lang w:eastAsia="en-GB"/>
        </w:rPr>
      </w:pPr>
    </w:p>
    <w:p w:rsidR="006679A6" w:rsidRDefault="006679A6">
      <w:pPr>
        <w:rPr>
          <w:rFonts w:eastAsia="Times New Roman"/>
          <w:lang w:eastAsia="en-GB"/>
        </w:rPr>
      </w:pPr>
      <w:r>
        <w:rPr>
          <w:rFonts w:eastAsia="Times New Roman"/>
          <w:lang w:eastAsia="en-GB"/>
        </w:rPr>
        <w:br w:type="page"/>
      </w:r>
    </w:p>
    <w:p w:rsidR="00EC38E2" w:rsidRPr="00B013ED" w:rsidRDefault="00EC38E2" w:rsidP="00EC38E2">
      <w:pPr>
        <w:spacing w:line="240" w:lineRule="auto"/>
        <w:rPr>
          <w:rFonts w:eastAsia="Times New Roman"/>
          <w:lang w:eastAsia="en-GB"/>
        </w:rPr>
      </w:pPr>
    </w:p>
    <w:p w:rsidR="00E17CD7" w:rsidRPr="00B013ED" w:rsidRDefault="00E17CD7" w:rsidP="008B7B28">
      <w:pPr>
        <w:pStyle w:val="Heading2"/>
        <w:rPr>
          <w:lang w:val="en-US"/>
        </w:rPr>
      </w:pPr>
      <w:bookmarkStart w:id="615" w:name="_Toc370819299"/>
      <w:r w:rsidRPr="00B013ED">
        <w:rPr>
          <w:lang w:val="en-US"/>
        </w:rPr>
        <w:t>Discussion</w:t>
      </w:r>
      <w:bookmarkEnd w:id="615"/>
      <w:r w:rsidR="009F17FD">
        <w:rPr>
          <w:lang w:val="en-US"/>
        </w:rPr>
        <w:t xml:space="preserve"> </w:t>
      </w:r>
    </w:p>
    <w:p w:rsidR="00FC2BEC" w:rsidRPr="00B013ED" w:rsidRDefault="00FC2BEC" w:rsidP="00FC2BEC">
      <w:pPr>
        <w:spacing w:line="480" w:lineRule="auto"/>
        <w:contextualSpacing/>
        <w:jc w:val="both"/>
        <w:rPr>
          <w:rFonts w:eastAsia="Corbel" w:cstheme="minorBidi"/>
          <w:szCs w:val="22"/>
        </w:rPr>
      </w:pPr>
      <w:r w:rsidRPr="00B013ED">
        <w:rPr>
          <w:rFonts w:eastAsia="Corbel" w:cstheme="minorBidi"/>
          <w:szCs w:val="24"/>
        </w:rPr>
        <w:t>Extensive carious lesions</w:t>
      </w:r>
      <w:r w:rsidRPr="00B013ED">
        <w:rPr>
          <w:rFonts w:eastAsia="Corbel" w:cstheme="minorBidi"/>
          <w:szCs w:val="22"/>
        </w:rPr>
        <w:t xml:space="preserve"> involving the pulp or any pulpal damage in the form of tooth surface loss, trauma and other iatrogenic factors may also compromise the pulp. As long as the pulp is vital, balance between the host immune system and bacterial invasion is maintained. However, severe bacterial attack causes pulp necrosis, tissue destruction and the defence system to come to a standstill (</w:t>
      </w:r>
      <w:r w:rsidRPr="00B013ED">
        <w:rPr>
          <w:rFonts w:eastAsia="Arial Unicode MS" w:cstheme="minorBidi"/>
          <w:noProof/>
          <w:szCs w:val="22"/>
        </w:rPr>
        <w:t>Siqueira and Rôças, 2009)</w:t>
      </w:r>
      <w:r>
        <w:rPr>
          <w:rFonts w:eastAsia="Arial Unicode MS" w:cstheme="minorBidi"/>
          <w:noProof/>
          <w:szCs w:val="22"/>
        </w:rPr>
        <w:t>.</w:t>
      </w:r>
      <w:r w:rsidRPr="00B013ED">
        <w:rPr>
          <w:rFonts w:eastAsia="Arial Unicode MS" w:cstheme="minorBidi"/>
          <w:noProof/>
          <w:szCs w:val="22"/>
        </w:rPr>
        <w:t xml:space="preserve"> </w:t>
      </w:r>
    </w:p>
    <w:p w:rsidR="00E17CD7" w:rsidRPr="00B013ED" w:rsidRDefault="00E17CD7" w:rsidP="008250CA">
      <w:pPr>
        <w:pStyle w:val="Heading3"/>
        <w:spacing w:line="480" w:lineRule="auto"/>
        <w:rPr>
          <w:lang w:eastAsia="en-GB"/>
        </w:rPr>
      </w:pPr>
      <w:r w:rsidRPr="00B013ED">
        <w:rPr>
          <w:lang w:eastAsia="en-GB"/>
        </w:rPr>
        <w:t xml:space="preserve"> </w:t>
      </w:r>
      <w:bookmarkStart w:id="616" w:name="_Toc370819300"/>
      <w:r w:rsidRPr="00B013ED">
        <w:rPr>
          <w:lang w:eastAsia="en-GB"/>
        </w:rPr>
        <w:t>Bacterial selection</w:t>
      </w:r>
      <w:bookmarkEnd w:id="616"/>
    </w:p>
    <w:p w:rsidR="00FC2BEC" w:rsidRPr="00B013ED" w:rsidRDefault="00FC2BEC" w:rsidP="00FC2BEC">
      <w:pPr>
        <w:spacing w:line="480" w:lineRule="auto"/>
        <w:jc w:val="both"/>
      </w:pPr>
      <w:r w:rsidRPr="00B013ED">
        <w:t>The oral microbiota consists of more than 500 species of micro-organisms but only limited amounts have been identified in the infected canal (</w:t>
      </w:r>
      <w:r w:rsidRPr="00B013ED">
        <w:rPr>
          <w:rFonts w:eastAsia="Arial Unicode MS" w:cs="Arial Unicode MS"/>
          <w:noProof/>
        </w:rPr>
        <w:t xml:space="preserve">Figdor </w:t>
      </w:r>
      <w:r w:rsidRPr="00B013ED">
        <w:rPr>
          <w:rFonts w:eastAsia="Times New Roman" w:cstheme="minorBidi"/>
          <w:i/>
          <w:iCs/>
        </w:rPr>
        <w:t>et al.,</w:t>
      </w:r>
      <w:r w:rsidRPr="00B013ED">
        <w:rPr>
          <w:rFonts w:eastAsia="Times New Roman" w:cstheme="minorBidi"/>
        </w:rPr>
        <w:t xml:space="preserve"> </w:t>
      </w:r>
      <w:r w:rsidRPr="00B013ED">
        <w:rPr>
          <w:rFonts w:eastAsia="Arial Unicode MS" w:cs="Arial Unicode MS"/>
          <w:noProof/>
        </w:rPr>
        <w:t xml:space="preserve">2007). </w:t>
      </w:r>
      <w:r w:rsidRPr="00B013ED">
        <w:t xml:space="preserve">Due to their advantages, superior molecular techniques are employed for bacterial species identification. In this study it was very difficult to choose between the bacteria. There was wide range of primary infection caused by bacteria, secondary, aerobic and anaerobic bacteria. After a consultation from our restorative department and microbiology, </w:t>
      </w:r>
      <w:r>
        <w:t>in this</w:t>
      </w:r>
      <w:r w:rsidRPr="00B013ED">
        <w:t xml:space="preserve"> study </w:t>
      </w:r>
      <w:r>
        <w:t>we used the</w:t>
      </w:r>
      <w:r w:rsidRPr="00B013ED">
        <w:t xml:space="preserve"> bacteri</w:t>
      </w:r>
      <w:r>
        <w:t>a</w:t>
      </w:r>
      <w:r w:rsidRPr="00B013ED">
        <w:t xml:space="preserve"> </w:t>
      </w:r>
      <w:r>
        <w:t xml:space="preserve">that were </w:t>
      </w:r>
      <w:r w:rsidRPr="00B013ED">
        <w:t>frequently isolated in primary infection</w:t>
      </w:r>
      <w:r>
        <w:t>s</w:t>
      </w:r>
      <w:r w:rsidRPr="00B013ED">
        <w:t xml:space="preserve"> and one of the most responsible bacteria </w:t>
      </w:r>
      <w:r>
        <w:t xml:space="preserve">for </w:t>
      </w:r>
      <w:r w:rsidRPr="00B013ED">
        <w:t>secondary infection</w:t>
      </w:r>
      <w:r>
        <w:t>s</w:t>
      </w:r>
      <w:r w:rsidRPr="00B013ED">
        <w:t xml:space="preserve">. </w:t>
      </w:r>
    </w:p>
    <w:p w:rsidR="00584C8A" w:rsidRPr="0012248F" w:rsidRDefault="00FC2BEC" w:rsidP="0012248F">
      <w:pPr>
        <w:spacing w:line="480" w:lineRule="auto"/>
        <w:jc w:val="both"/>
      </w:pPr>
      <w:r w:rsidRPr="00B013ED">
        <w:t xml:space="preserve"> </w:t>
      </w:r>
      <w:r w:rsidRPr="00B013ED">
        <w:rPr>
          <w:rFonts w:eastAsia="Times New Roman" w:cstheme="minorBidi"/>
        </w:rPr>
        <w:t xml:space="preserve">One of the bacteria used in this study </w:t>
      </w:r>
      <w:r>
        <w:rPr>
          <w:rFonts w:eastAsia="Times New Roman" w:cstheme="minorBidi"/>
        </w:rPr>
        <w:t>wa</w:t>
      </w:r>
      <w:r w:rsidRPr="00B013ED">
        <w:rPr>
          <w:rFonts w:eastAsia="Times New Roman" w:cstheme="minorBidi"/>
        </w:rPr>
        <w:t xml:space="preserve">s </w:t>
      </w:r>
      <w:r w:rsidRPr="005A01BB">
        <w:rPr>
          <w:rFonts w:eastAsia="Times New Roman" w:cstheme="minorBidi"/>
          <w:i/>
          <w:iCs/>
        </w:rPr>
        <w:t>E. coli</w:t>
      </w:r>
      <w:r w:rsidRPr="00B013ED">
        <w:rPr>
          <w:rFonts w:eastAsia="Times New Roman" w:cstheme="minorBidi"/>
        </w:rPr>
        <w:t xml:space="preserve">. It is very rare </w:t>
      </w:r>
      <w:r>
        <w:rPr>
          <w:rFonts w:eastAsia="Times New Roman" w:cstheme="minorBidi"/>
        </w:rPr>
        <w:t xml:space="preserve">for </w:t>
      </w:r>
      <w:r w:rsidRPr="00304C2F">
        <w:rPr>
          <w:rFonts w:eastAsia="Times New Roman" w:cstheme="minorBidi"/>
          <w:i/>
        </w:rPr>
        <w:t>E. coli</w:t>
      </w:r>
      <w:r>
        <w:rPr>
          <w:rFonts w:eastAsia="Times New Roman" w:cstheme="minorBidi"/>
        </w:rPr>
        <w:t xml:space="preserve"> </w:t>
      </w:r>
      <w:r w:rsidRPr="00B013ED">
        <w:rPr>
          <w:rFonts w:eastAsia="Times New Roman" w:cstheme="minorBidi"/>
        </w:rPr>
        <w:t xml:space="preserve">to be present in the root canal, however it </w:t>
      </w:r>
      <w:r>
        <w:rPr>
          <w:rFonts w:eastAsia="Times New Roman" w:cstheme="minorBidi"/>
        </w:rPr>
        <w:t xml:space="preserve">is </w:t>
      </w:r>
      <w:r w:rsidRPr="00B013ED">
        <w:rPr>
          <w:rFonts w:eastAsia="Times New Roman" w:cstheme="minorBidi"/>
        </w:rPr>
        <w:t>one of the most important bacteria presented in periapical lesion</w:t>
      </w:r>
      <w:r>
        <w:rPr>
          <w:rFonts w:eastAsia="Times New Roman" w:cstheme="minorBidi"/>
        </w:rPr>
        <w:t>s a</w:t>
      </w:r>
      <w:r w:rsidRPr="00B013ED">
        <w:rPr>
          <w:rFonts w:eastAsia="Times New Roman" w:cstheme="minorBidi"/>
        </w:rPr>
        <w:t>s this specific bacterium</w:t>
      </w:r>
      <w:r>
        <w:rPr>
          <w:rFonts w:eastAsia="Times New Roman" w:cstheme="minorBidi"/>
        </w:rPr>
        <w:t xml:space="preserve"> </w:t>
      </w:r>
      <w:r w:rsidRPr="00B013ED">
        <w:rPr>
          <w:rFonts w:eastAsia="Times New Roman" w:cstheme="minorBidi"/>
        </w:rPr>
        <w:t xml:space="preserve">is responsible for discontinuing blood connection in </w:t>
      </w:r>
      <w:r>
        <w:rPr>
          <w:rFonts w:eastAsia="Times New Roman" w:cstheme="minorBidi"/>
        </w:rPr>
        <w:t xml:space="preserve">the </w:t>
      </w:r>
      <w:r w:rsidRPr="00B013ED">
        <w:rPr>
          <w:rFonts w:eastAsia="Times New Roman" w:cstheme="minorBidi"/>
        </w:rPr>
        <w:t>tooth apical area</w:t>
      </w:r>
      <w:r>
        <w:rPr>
          <w:rFonts w:eastAsia="Times New Roman" w:cstheme="minorBidi"/>
        </w:rPr>
        <w:t xml:space="preserve"> and destroying</w:t>
      </w:r>
      <w:r w:rsidRPr="00B013ED">
        <w:rPr>
          <w:rFonts w:eastAsia="Times New Roman" w:cstheme="minorBidi"/>
        </w:rPr>
        <w:t xml:space="preserve"> the tissue around the tooth </w:t>
      </w:r>
      <w:r>
        <w:rPr>
          <w:rFonts w:eastAsia="Times New Roman" w:cstheme="minorBidi"/>
        </w:rPr>
        <w:t xml:space="preserve">thereby </w:t>
      </w:r>
      <w:r w:rsidRPr="00B013ED">
        <w:rPr>
          <w:rFonts w:eastAsia="Times New Roman" w:cstheme="minorBidi"/>
        </w:rPr>
        <w:t>causing the lesion</w:t>
      </w:r>
      <w:r w:rsidRPr="00B013ED">
        <w:rPr>
          <w:rFonts w:ascii="Times New Roman" w:eastAsia="Times New Roman" w:hAnsi="Times New Roman"/>
        </w:rPr>
        <w:t xml:space="preserve">. </w:t>
      </w:r>
      <w:r w:rsidR="00584C8A">
        <w:br w:type="page"/>
      </w:r>
    </w:p>
    <w:p w:rsidR="00E17CD7" w:rsidRPr="00B013ED" w:rsidRDefault="00E17CD7" w:rsidP="00FC2BEC">
      <w:pPr>
        <w:pStyle w:val="Heading3"/>
        <w:spacing w:line="480" w:lineRule="auto"/>
      </w:pPr>
      <w:bookmarkStart w:id="617" w:name="_Toc370819301"/>
      <w:r w:rsidRPr="00B013ED">
        <w:lastRenderedPageBreak/>
        <w:t>Calcium hydroxide for root canal disinfection</w:t>
      </w:r>
      <w:bookmarkEnd w:id="617"/>
      <w:r w:rsidRPr="00B013ED">
        <w:t xml:space="preserve"> </w:t>
      </w:r>
    </w:p>
    <w:p w:rsidR="00FC2BEC" w:rsidRPr="00B013ED" w:rsidRDefault="00FC2BEC" w:rsidP="00DC0870">
      <w:pPr>
        <w:autoSpaceDE w:val="0"/>
        <w:autoSpaceDN w:val="0"/>
        <w:adjustRightInd w:val="0"/>
        <w:spacing w:after="120" w:line="480" w:lineRule="auto"/>
        <w:jc w:val="both"/>
        <w:rPr>
          <w:rFonts w:eastAsia="Times New Roman" w:cstheme="minorBidi"/>
          <w:color w:val="000000" w:themeColor="text1"/>
          <w:lang w:eastAsia="en-GB"/>
        </w:rPr>
      </w:pPr>
      <w:r>
        <w:rPr>
          <w:rFonts w:eastAsia="Times New Roman" w:cstheme="minorBidi"/>
        </w:rPr>
        <w:t>I</w:t>
      </w:r>
      <w:r w:rsidRPr="00B013ED">
        <w:rPr>
          <w:rFonts w:eastAsia="Times New Roman" w:cstheme="minorBidi"/>
        </w:rPr>
        <w:t xml:space="preserve">n the last </w:t>
      </w:r>
      <w:r>
        <w:t>decade</w:t>
      </w:r>
      <w:r w:rsidRPr="00B013ED">
        <w:rPr>
          <w:rFonts w:eastAsia="Times New Roman" w:cstheme="minorBidi"/>
        </w:rPr>
        <w:t xml:space="preserve"> </w:t>
      </w:r>
      <w:r>
        <w:rPr>
          <w:rFonts w:eastAsia="Times New Roman" w:cstheme="minorBidi"/>
        </w:rPr>
        <w:t>c</w:t>
      </w:r>
      <w:r w:rsidRPr="00B013ED">
        <w:rPr>
          <w:rFonts w:eastAsia="Times New Roman" w:cstheme="minorBidi"/>
        </w:rPr>
        <w:t>alcium hydroxide use</w:t>
      </w:r>
      <w:r w:rsidR="00DC0870">
        <w:rPr>
          <w:rFonts w:eastAsia="Times New Roman" w:cstheme="minorBidi"/>
        </w:rPr>
        <w:t>d</w:t>
      </w:r>
      <w:r w:rsidRPr="00B013ED">
        <w:rPr>
          <w:rFonts w:eastAsia="Times New Roman" w:cstheme="minorBidi"/>
        </w:rPr>
        <w:t xml:space="preserve"> to be </w:t>
      </w:r>
      <w:r>
        <w:rPr>
          <w:rFonts w:eastAsia="Times New Roman" w:cstheme="minorBidi"/>
        </w:rPr>
        <w:t>the</w:t>
      </w:r>
      <w:r w:rsidRPr="00B013ED">
        <w:rPr>
          <w:rFonts w:eastAsia="Times New Roman" w:cstheme="minorBidi"/>
        </w:rPr>
        <w:t xml:space="preserve"> gold standard for</w:t>
      </w:r>
      <w:r>
        <w:rPr>
          <w:rFonts w:eastAsia="Times New Roman" w:cstheme="minorBidi"/>
        </w:rPr>
        <w:t xml:space="preserve"> treating immature</w:t>
      </w:r>
      <w:r w:rsidRPr="00B013ED">
        <w:rPr>
          <w:rFonts w:eastAsia="Times New Roman" w:cstheme="minorBidi"/>
        </w:rPr>
        <w:t xml:space="preserve"> root canal</w:t>
      </w:r>
      <w:r>
        <w:rPr>
          <w:rFonts w:eastAsia="Times New Roman" w:cstheme="minorBidi"/>
        </w:rPr>
        <w:t>s</w:t>
      </w:r>
      <w:r w:rsidRPr="00B013ED">
        <w:rPr>
          <w:rFonts w:eastAsia="Times New Roman" w:cstheme="minorBidi"/>
        </w:rPr>
        <w:t xml:space="preserve"> </w:t>
      </w:r>
      <w:r>
        <w:rPr>
          <w:rFonts w:eastAsia="Times New Roman" w:cstheme="minorBidi"/>
        </w:rPr>
        <w:t xml:space="preserve">especially for </w:t>
      </w:r>
      <w:r w:rsidRPr="00B013ED">
        <w:rPr>
          <w:rFonts w:eastAsia="Times New Roman" w:cstheme="minorBidi"/>
        </w:rPr>
        <w:t>disinfection, as it has the ability to kill and neutrali</w:t>
      </w:r>
      <w:r>
        <w:rPr>
          <w:rFonts w:eastAsia="Times New Roman" w:cstheme="minorBidi"/>
        </w:rPr>
        <w:t>s</w:t>
      </w:r>
      <w:r w:rsidRPr="00B013ED">
        <w:rPr>
          <w:rFonts w:eastAsia="Times New Roman" w:cstheme="minorBidi"/>
        </w:rPr>
        <w:t xml:space="preserve">e </w:t>
      </w:r>
      <w:r>
        <w:rPr>
          <w:rFonts w:eastAsia="Times New Roman" w:cstheme="minorBidi"/>
        </w:rPr>
        <w:t xml:space="preserve">a </w:t>
      </w:r>
      <w:r w:rsidRPr="00B013ED">
        <w:rPr>
          <w:rFonts w:eastAsia="Times New Roman" w:cstheme="minorBidi"/>
        </w:rPr>
        <w:t xml:space="preserve">wide range of bacteria and </w:t>
      </w:r>
      <w:r w:rsidR="00DC0870">
        <w:rPr>
          <w:rFonts w:eastAsia="Times New Roman" w:cstheme="minorBidi"/>
        </w:rPr>
        <w:t xml:space="preserve">aid </w:t>
      </w:r>
      <w:r w:rsidRPr="00B013ED">
        <w:rPr>
          <w:rFonts w:eastAsia="Times New Roman" w:cstheme="minorBidi"/>
        </w:rPr>
        <w:t>dissolution of remnant root tissues</w:t>
      </w:r>
      <w:r w:rsidR="00DC0870">
        <w:rPr>
          <w:rFonts w:eastAsia="Times New Roman" w:cstheme="minorBidi"/>
        </w:rPr>
        <w:t xml:space="preserve"> It also </w:t>
      </w:r>
      <w:r>
        <w:rPr>
          <w:rFonts w:eastAsia="Times New Roman" w:cstheme="minorBidi"/>
        </w:rPr>
        <w:t>m</w:t>
      </w:r>
      <w:r w:rsidRPr="00B013ED">
        <w:rPr>
          <w:rFonts w:eastAsia="Times New Roman" w:cstheme="minorBidi"/>
        </w:rPr>
        <w:t>aintain</w:t>
      </w:r>
      <w:r w:rsidR="00DC0870">
        <w:rPr>
          <w:rFonts w:eastAsia="Times New Roman" w:cstheme="minorBidi"/>
        </w:rPr>
        <w:t>s</w:t>
      </w:r>
      <w:r w:rsidRPr="00B013ED">
        <w:rPr>
          <w:rFonts w:eastAsia="Times New Roman" w:cstheme="minorBidi"/>
        </w:rPr>
        <w:t xml:space="preserve"> </w:t>
      </w:r>
      <w:r>
        <w:rPr>
          <w:rFonts w:eastAsia="Times New Roman" w:cstheme="minorBidi"/>
        </w:rPr>
        <w:t xml:space="preserve">a </w:t>
      </w:r>
      <w:r w:rsidRPr="00B013ED">
        <w:rPr>
          <w:rFonts w:eastAsia="Times New Roman" w:cstheme="minorBidi"/>
        </w:rPr>
        <w:t>healthy environment for successful root canal obturation. Calcium hydroxide act</w:t>
      </w:r>
      <w:r>
        <w:rPr>
          <w:rFonts w:eastAsia="Times New Roman" w:cstheme="minorBidi"/>
        </w:rPr>
        <w:t>s</w:t>
      </w:r>
      <w:r w:rsidRPr="00B013ED">
        <w:rPr>
          <w:rFonts w:eastAsia="Times New Roman" w:cstheme="minorBidi"/>
        </w:rPr>
        <w:t xml:space="preserve"> effectively as an </w:t>
      </w:r>
      <w:r>
        <w:rPr>
          <w:rFonts w:eastAsia="Times New Roman" w:cstheme="minorBidi"/>
        </w:rPr>
        <w:t>intra-canal</w:t>
      </w:r>
      <w:r w:rsidRPr="00B013ED">
        <w:rPr>
          <w:rFonts w:eastAsia="Times New Roman" w:cstheme="minorBidi"/>
        </w:rPr>
        <w:t xml:space="preserve"> dressing, via diffusing hydroxyl ions and </w:t>
      </w:r>
      <w:r>
        <w:rPr>
          <w:rFonts w:eastAsia="Times New Roman" w:cstheme="minorBidi"/>
        </w:rPr>
        <w:t xml:space="preserve">dissolves the </w:t>
      </w:r>
      <w:r w:rsidRPr="00B013ED">
        <w:rPr>
          <w:rFonts w:eastAsia="Times New Roman" w:cstheme="minorBidi"/>
        </w:rPr>
        <w:t>pulpal tissue remnants (</w:t>
      </w:r>
      <w:proofErr w:type="gramStart"/>
      <w:r w:rsidRPr="00B013ED">
        <w:rPr>
          <w:rFonts w:eastAsia="Times New Roman" w:cstheme="minorBidi"/>
          <w:color w:val="000000" w:themeColor="text1"/>
          <w:lang w:eastAsia="en-GB"/>
        </w:rPr>
        <w:t>Cvek ,</w:t>
      </w:r>
      <w:proofErr w:type="gramEnd"/>
      <w:r w:rsidRPr="00B013ED">
        <w:rPr>
          <w:rFonts w:eastAsia="Times New Roman" w:cstheme="minorBidi"/>
          <w:color w:val="000000" w:themeColor="text1"/>
          <w:lang w:eastAsia="en-GB"/>
        </w:rPr>
        <w:t xml:space="preserve"> 1974</w:t>
      </w:r>
      <w:r>
        <w:rPr>
          <w:rFonts w:eastAsia="Times New Roman" w:cstheme="minorBidi"/>
          <w:color w:val="000000" w:themeColor="text1"/>
          <w:lang w:eastAsia="en-GB"/>
        </w:rPr>
        <w:t>;</w:t>
      </w:r>
      <w:r w:rsidRPr="00B013ED">
        <w:rPr>
          <w:rFonts w:eastAsia="Times New Roman" w:cstheme="minorBidi"/>
          <w:color w:val="000000" w:themeColor="text1"/>
          <w:lang w:eastAsia="en-GB"/>
        </w:rPr>
        <w:t xml:space="preserve"> Bystrom </w:t>
      </w:r>
      <w:r w:rsidRPr="00B013ED">
        <w:rPr>
          <w:rFonts w:eastAsia="Times New Roman" w:cstheme="minorBidi"/>
          <w:i/>
          <w:iCs/>
        </w:rPr>
        <w:t>et al.,</w:t>
      </w:r>
      <w:r w:rsidRPr="00B013ED">
        <w:rPr>
          <w:rFonts w:eastAsia="Times New Roman" w:cstheme="minorBidi"/>
        </w:rPr>
        <w:t xml:space="preserve"> </w:t>
      </w:r>
      <w:r w:rsidRPr="00B013ED">
        <w:rPr>
          <w:rFonts w:eastAsia="Times New Roman" w:cstheme="minorBidi"/>
          <w:color w:val="000000" w:themeColor="text1"/>
          <w:lang w:eastAsia="en-GB"/>
        </w:rPr>
        <w:t>1985</w:t>
      </w:r>
      <w:r w:rsidRPr="00B013ED">
        <w:rPr>
          <w:rFonts w:eastAsia="Times New Roman" w:cstheme="minorBidi"/>
        </w:rPr>
        <w:t xml:space="preserve">). </w:t>
      </w:r>
      <w:r w:rsidRPr="00B013ED">
        <w:rPr>
          <w:rFonts w:eastAsia="Times New Roman" w:cstheme="minorBidi"/>
          <w:color w:val="000000" w:themeColor="text1"/>
          <w:lang w:eastAsia="en-GB"/>
        </w:rPr>
        <w:t>The alkaline pH of calcium hydroxide neutrali</w:t>
      </w:r>
      <w:r>
        <w:rPr>
          <w:rFonts w:eastAsia="Times New Roman" w:cstheme="minorBidi"/>
          <w:color w:val="000000" w:themeColor="text1"/>
          <w:lang w:eastAsia="en-GB"/>
        </w:rPr>
        <w:t>s</w:t>
      </w:r>
      <w:r w:rsidRPr="00B013ED">
        <w:rPr>
          <w:rFonts w:eastAsia="Times New Roman" w:cstheme="minorBidi"/>
          <w:color w:val="000000" w:themeColor="text1"/>
          <w:lang w:eastAsia="en-GB"/>
        </w:rPr>
        <w:t xml:space="preserve">es lactic acid from osteoclasts and prevents dissolution of </w:t>
      </w:r>
      <w:r>
        <w:rPr>
          <w:rFonts w:eastAsia="Times New Roman" w:cstheme="minorBidi"/>
          <w:color w:val="000000" w:themeColor="text1"/>
          <w:lang w:eastAsia="en-GB"/>
        </w:rPr>
        <w:t>mineralised</w:t>
      </w:r>
      <w:r w:rsidRPr="00B013ED">
        <w:rPr>
          <w:rFonts w:eastAsia="Times New Roman" w:cstheme="minorBidi"/>
          <w:color w:val="000000" w:themeColor="text1"/>
          <w:lang w:eastAsia="en-GB"/>
        </w:rPr>
        <w:t xml:space="preserve"> components of teeth. This pH also activates alkaline phosphatase that plays an important role in hard tissue formation (Stoc</w:t>
      </w:r>
      <w:r>
        <w:rPr>
          <w:rFonts w:eastAsia="Times New Roman" w:cstheme="minorBidi"/>
          <w:color w:val="000000" w:themeColor="text1"/>
          <w:lang w:eastAsia="en-GB"/>
        </w:rPr>
        <w:t>k</w:t>
      </w:r>
      <w:r w:rsidRPr="00B013ED">
        <w:rPr>
          <w:rFonts w:eastAsia="Times New Roman" w:cstheme="minorBidi"/>
          <w:color w:val="000000" w:themeColor="text1"/>
          <w:lang w:eastAsia="en-GB"/>
        </w:rPr>
        <w:t xml:space="preserve">, 1985). </w:t>
      </w:r>
    </w:p>
    <w:p w:rsidR="00FC2BEC" w:rsidRPr="00B013ED" w:rsidRDefault="00FC2BEC" w:rsidP="00E84998">
      <w:pPr>
        <w:spacing w:line="480" w:lineRule="auto"/>
        <w:jc w:val="both"/>
        <w:rPr>
          <w:rFonts w:eastAsia="Times New Roman" w:cstheme="minorBidi"/>
        </w:rPr>
      </w:pPr>
      <w:r>
        <w:rPr>
          <w:rFonts w:eastAsia="Times New Roman" w:cstheme="minorBidi"/>
        </w:rPr>
        <w:t>T</w:t>
      </w:r>
      <w:r w:rsidRPr="00B013ED">
        <w:rPr>
          <w:rFonts w:eastAsia="Times New Roman" w:cstheme="minorBidi"/>
        </w:rPr>
        <w:t>he</w:t>
      </w:r>
      <w:r>
        <w:rPr>
          <w:rFonts w:eastAsia="Times New Roman" w:cstheme="minorBidi"/>
        </w:rPr>
        <w:t xml:space="preserve"> application </w:t>
      </w:r>
      <w:r w:rsidRPr="00B013ED">
        <w:rPr>
          <w:rFonts w:cstheme="minorBidi"/>
        </w:rPr>
        <w:t>of calcium hydroxide on dentin</w:t>
      </w:r>
      <w:r>
        <w:rPr>
          <w:rFonts w:cstheme="minorBidi"/>
        </w:rPr>
        <w:t>e</w:t>
      </w:r>
      <w:r w:rsidRPr="00B013ED">
        <w:rPr>
          <w:rFonts w:cstheme="minorBidi"/>
        </w:rPr>
        <w:t xml:space="preserve"> walls </w:t>
      </w:r>
      <w:r>
        <w:rPr>
          <w:rFonts w:cstheme="minorBidi"/>
        </w:rPr>
        <w:t>could</w:t>
      </w:r>
      <w:r w:rsidRPr="00B013ED">
        <w:rPr>
          <w:rFonts w:cstheme="minorBidi"/>
        </w:rPr>
        <w:t xml:space="preserve"> affect the penetration of sealers into the dentinal tubules (Calt and Serper, 1999</w:t>
      </w:r>
      <w:r>
        <w:rPr>
          <w:rFonts w:cstheme="minorBidi"/>
        </w:rPr>
        <w:t>;</w:t>
      </w:r>
      <w:r w:rsidRPr="00B013ED">
        <w:rPr>
          <w:rFonts w:cstheme="minorBidi"/>
        </w:rPr>
        <w:t xml:space="preserve"> Kim and Kim, 200</w:t>
      </w:r>
      <w:r w:rsidR="00E84998">
        <w:rPr>
          <w:rFonts w:cstheme="minorBidi"/>
        </w:rPr>
        <w:t>1</w:t>
      </w:r>
      <w:r w:rsidRPr="00B013ED">
        <w:rPr>
          <w:rFonts w:cstheme="minorBidi"/>
        </w:rPr>
        <w:t>).</w:t>
      </w:r>
      <w:r w:rsidRPr="00B013ED">
        <w:rPr>
          <w:rFonts w:eastAsia="Times New Roman" w:cstheme="minorBidi"/>
        </w:rPr>
        <w:t xml:space="preserve"> </w:t>
      </w:r>
      <w:r>
        <w:rPr>
          <w:rFonts w:eastAsia="Times New Roman" w:cstheme="minorBidi"/>
        </w:rPr>
        <w:t xml:space="preserve">This might cause a problem for the disinfectant material to reach the target bacteria present in the dentinal tubules. If these bacteria are left untreated they could form </w:t>
      </w:r>
      <w:r w:rsidRPr="00B013ED">
        <w:rPr>
          <w:rFonts w:eastAsia="Times New Roman" w:cstheme="minorBidi"/>
        </w:rPr>
        <w:t xml:space="preserve">an important reservoir for infection or reinfection during or after endodontic treatment (Oguntebi, 1994). </w:t>
      </w:r>
    </w:p>
    <w:p w:rsidR="00FC2BEC" w:rsidRPr="00B013ED" w:rsidRDefault="00FC2BEC" w:rsidP="00DC0870">
      <w:pPr>
        <w:spacing w:line="480" w:lineRule="auto"/>
        <w:jc w:val="both"/>
        <w:rPr>
          <w:rFonts w:eastAsia="Times New Roman" w:cstheme="minorBidi"/>
        </w:rPr>
      </w:pPr>
      <w:r w:rsidRPr="00B013ED">
        <w:rPr>
          <w:rFonts w:eastAsia="Times New Roman" w:cstheme="minorBidi"/>
        </w:rPr>
        <w:t xml:space="preserve">Recently many studies </w:t>
      </w:r>
      <w:r>
        <w:rPr>
          <w:rFonts w:eastAsia="Times New Roman" w:cstheme="minorBidi"/>
        </w:rPr>
        <w:t>confirmed</w:t>
      </w:r>
      <w:r w:rsidRPr="00B013ED">
        <w:rPr>
          <w:rFonts w:eastAsia="Times New Roman" w:cstheme="minorBidi"/>
        </w:rPr>
        <w:t xml:space="preserve"> that a long term application of calcium hydroxide ha</w:t>
      </w:r>
      <w:r>
        <w:rPr>
          <w:rFonts w:eastAsia="Times New Roman" w:cstheme="minorBidi"/>
        </w:rPr>
        <w:t>d</w:t>
      </w:r>
      <w:r w:rsidRPr="00B013ED">
        <w:rPr>
          <w:rFonts w:eastAsia="Times New Roman" w:cstheme="minorBidi"/>
        </w:rPr>
        <w:t xml:space="preserve"> protein denatur</w:t>
      </w:r>
      <w:r>
        <w:rPr>
          <w:rFonts w:eastAsia="Times New Roman" w:cstheme="minorBidi"/>
        </w:rPr>
        <w:t>ing</w:t>
      </w:r>
      <w:r w:rsidRPr="00B013ED">
        <w:rPr>
          <w:rFonts w:eastAsia="Times New Roman" w:cstheme="minorBidi"/>
        </w:rPr>
        <w:t xml:space="preserve"> properties affecting the mechanical properties and weaken</w:t>
      </w:r>
      <w:r>
        <w:rPr>
          <w:rFonts w:eastAsia="Times New Roman" w:cstheme="minorBidi"/>
        </w:rPr>
        <w:t>ing</w:t>
      </w:r>
      <w:r w:rsidRPr="00B013ED">
        <w:rPr>
          <w:rFonts w:eastAsia="Times New Roman" w:cstheme="minorBidi"/>
        </w:rPr>
        <w:t xml:space="preserve"> the tooth </w:t>
      </w:r>
      <w:r>
        <w:rPr>
          <w:rFonts w:eastAsia="Times New Roman" w:cstheme="minorBidi"/>
        </w:rPr>
        <w:t>which might increase</w:t>
      </w:r>
      <w:r w:rsidRPr="00B013ED">
        <w:rPr>
          <w:rFonts w:eastAsia="Times New Roman" w:cstheme="minorBidi"/>
        </w:rPr>
        <w:t xml:space="preserve"> </w:t>
      </w:r>
      <w:r>
        <w:rPr>
          <w:rFonts w:eastAsia="Times New Roman" w:cstheme="minorBidi"/>
        </w:rPr>
        <w:t>the risk of tooth</w:t>
      </w:r>
      <w:r w:rsidRPr="00B013ED">
        <w:rPr>
          <w:rFonts w:eastAsia="Times New Roman" w:cstheme="minorBidi"/>
        </w:rPr>
        <w:t xml:space="preserve"> fracture (Andreas</w:t>
      </w:r>
      <w:r>
        <w:rPr>
          <w:rFonts w:eastAsia="Times New Roman" w:cstheme="minorBidi"/>
        </w:rPr>
        <w:t>e</w:t>
      </w:r>
      <w:r w:rsidRPr="00B013ED">
        <w:rPr>
          <w:rFonts w:eastAsia="Times New Roman" w:cstheme="minorBidi"/>
        </w:rPr>
        <w:t xml:space="preserve">n </w:t>
      </w:r>
      <w:r w:rsidRPr="00B013ED">
        <w:rPr>
          <w:rFonts w:eastAsia="Times New Roman" w:cstheme="minorBidi"/>
          <w:i/>
          <w:iCs/>
        </w:rPr>
        <w:t>et al.,</w:t>
      </w:r>
      <w:r w:rsidRPr="00B013ED">
        <w:rPr>
          <w:rFonts w:eastAsia="Times New Roman" w:cstheme="minorBidi"/>
        </w:rPr>
        <w:t xml:space="preserve"> 2002</w:t>
      </w:r>
      <w:r>
        <w:rPr>
          <w:rFonts w:eastAsia="Times New Roman" w:cstheme="minorBidi"/>
        </w:rPr>
        <w:t>;</w:t>
      </w:r>
      <w:r w:rsidRPr="00B013ED">
        <w:rPr>
          <w:rFonts w:eastAsia="Times New Roman" w:cstheme="minorBidi"/>
        </w:rPr>
        <w:t xml:space="preserve"> Twati </w:t>
      </w:r>
      <w:r w:rsidRPr="00B013ED">
        <w:rPr>
          <w:rFonts w:eastAsia="Times New Roman" w:cstheme="minorBidi"/>
          <w:i/>
          <w:iCs/>
        </w:rPr>
        <w:t>et al.,</w:t>
      </w:r>
      <w:r w:rsidRPr="00B013ED">
        <w:rPr>
          <w:rFonts w:eastAsia="Times New Roman" w:cstheme="minorBidi"/>
        </w:rPr>
        <w:t xml:space="preserve"> 2009). This was </w:t>
      </w:r>
      <w:r>
        <w:rPr>
          <w:rFonts w:eastAsia="Times New Roman" w:cstheme="minorBidi"/>
        </w:rPr>
        <w:t xml:space="preserve">also </w:t>
      </w:r>
      <w:r w:rsidR="00DC0870">
        <w:rPr>
          <w:rFonts w:eastAsia="Times New Roman" w:cstheme="minorBidi"/>
        </w:rPr>
        <w:t>discussed</w:t>
      </w:r>
      <w:r w:rsidR="00DC0870" w:rsidRPr="00B013ED">
        <w:rPr>
          <w:rFonts w:eastAsia="Times New Roman" w:cstheme="minorBidi"/>
        </w:rPr>
        <w:t xml:space="preserve"> </w:t>
      </w:r>
      <w:r w:rsidRPr="00B013ED">
        <w:rPr>
          <w:rFonts w:eastAsia="Times New Roman" w:cstheme="minorBidi"/>
        </w:rPr>
        <w:t xml:space="preserve">in </w:t>
      </w:r>
      <w:r>
        <w:rPr>
          <w:rFonts w:eastAsia="Times New Roman" w:cstheme="minorBidi"/>
        </w:rPr>
        <w:t>chapter 2</w:t>
      </w:r>
      <w:r w:rsidRPr="00B013ED">
        <w:rPr>
          <w:rFonts w:eastAsia="Times New Roman" w:cstheme="minorBidi"/>
        </w:rPr>
        <w:t>.</w:t>
      </w:r>
    </w:p>
    <w:p w:rsidR="00584C8A" w:rsidRDefault="00584C8A">
      <w:pPr>
        <w:rPr>
          <w:rFonts w:eastAsiaTheme="majorEastAsia" w:cstheme="majorBidi"/>
          <w:b/>
          <w:bCs/>
          <w:iCs/>
        </w:rPr>
      </w:pPr>
      <w:r>
        <w:br w:type="page"/>
      </w:r>
    </w:p>
    <w:p w:rsidR="00E17CD7" w:rsidRPr="00B013ED" w:rsidRDefault="00E17CD7" w:rsidP="002D37AF">
      <w:pPr>
        <w:pStyle w:val="Heading4"/>
        <w:spacing w:line="480" w:lineRule="auto"/>
      </w:pPr>
      <w:r w:rsidRPr="00B013ED">
        <w:lastRenderedPageBreak/>
        <w:t xml:space="preserve">Comparing the finding of this study to previous work on selected bacteria with calcium hydroxide </w:t>
      </w:r>
    </w:p>
    <w:p w:rsidR="00FC2BEC" w:rsidRPr="00B013ED" w:rsidRDefault="00FC2BEC" w:rsidP="00FC2BEC">
      <w:pPr>
        <w:spacing w:line="480" w:lineRule="auto"/>
        <w:jc w:val="both"/>
        <w:rPr>
          <w:rFonts w:eastAsia="Times New Roman" w:cstheme="minorBidi"/>
        </w:rPr>
      </w:pPr>
      <w:r w:rsidRPr="00B013ED">
        <w:rPr>
          <w:rFonts w:eastAsia="Times New Roman" w:cstheme="minorBidi"/>
        </w:rPr>
        <w:t xml:space="preserve">Several substances have been recommended for </w:t>
      </w:r>
      <w:r>
        <w:rPr>
          <w:rFonts w:eastAsia="Times New Roman" w:cstheme="minorBidi"/>
        </w:rPr>
        <w:t>intra-canal</w:t>
      </w:r>
      <w:r w:rsidRPr="00B013ED">
        <w:rPr>
          <w:rFonts w:eastAsia="Times New Roman" w:cstheme="minorBidi"/>
        </w:rPr>
        <w:t xml:space="preserve"> medication. Most recommendations are based on empiricism. In an analysis of the literature, (Law and Messer, 2004), suggested that the ideal </w:t>
      </w:r>
      <w:r>
        <w:rPr>
          <w:rFonts w:eastAsia="Times New Roman" w:cstheme="minorBidi"/>
        </w:rPr>
        <w:t>intra-canal</w:t>
      </w:r>
      <w:r w:rsidRPr="00B013ED">
        <w:rPr>
          <w:rFonts w:eastAsia="Times New Roman" w:cstheme="minorBidi"/>
        </w:rPr>
        <w:t xml:space="preserve"> medicament ha</w:t>
      </w:r>
      <w:r>
        <w:rPr>
          <w:rFonts w:eastAsia="Times New Roman" w:cstheme="minorBidi"/>
        </w:rPr>
        <w:t>d</w:t>
      </w:r>
      <w:r w:rsidRPr="00B013ED">
        <w:rPr>
          <w:rFonts w:eastAsia="Times New Roman" w:cstheme="minorBidi"/>
        </w:rPr>
        <w:t xml:space="preserve"> not been found. However, calcium hydroxide has been an established antimicrobial medicament in dentistry for over 40 years (Spangburg and Haapasalo, 2002), and researchers have reported it may be the best inter</w:t>
      </w:r>
      <w:r>
        <w:rPr>
          <w:rFonts w:eastAsia="Times New Roman" w:cstheme="minorBidi"/>
        </w:rPr>
        <w:t>-</w:t>
      </w:r>
      <w:r w:rsidRPr="00B013ED">
        <w:rPr>
          <w:rFonts w:eastAsia="Times New Roman" w:cstheme="minorBidi"/>
        </w:rPr>
        <w:t>appointment medicament available to reduce residual microbial flora (Law and Messer, 2004).</w:t>
      </w:r>
    </w:p>
    <w:p w:rsidR="00FC2BEC" w:rsidRPr="00B013ED" w:rsidRDefault="00FC2BEC" w:rsidP="00FC2BEC">
      <w:pPr>
        <w:spacing w:line="480" w:lineRule="auto"/>
        <w:rPr>
          <w:rFonts w:eastAsia="Times New Roman" w:cstheme="minorBidi"/>
        </w:rPr>
      </w:pPr>
      <w:r w:rsidRPr="00B013ED">
        <w:rPr>
          <w:rFonts w:eastAsia="Times New Roman" w:cstheme="minorBidi"/>
        </w:rPr>
        <w:t xml:space="preserve">Calcium hydroxide </w:t>
      </w:r>
      <w:r>
        <w:rPr>
          <w:rFonts w:eastAsia="Times New Roman" w:cstheme="minorBidi"/>
        </w:rPr>
        <w:t>is widely used due to its</w:t>
      </w:r>
      <w:r w:rsidRPr="00B013ED">
        <w:rPr>
          <w:rFonts w:eastAsia="Times New Roman" w:cstheme="minorBidi"/>
        </w:rPr>
        <w:t xml:space="preserve"> ability to dissolve the remaining tissue, antimicrobial and antifungal activity, treatment of perforations, and detoxification of lipopolysaccharides (Spangburg and Haapasalo, 2002</w:t>
      </w:r>
      <w:r>
        <w:rPr>
          <w:rFonts w:eastAsia="Times New Roman" w:cstheme="minorBidi"/>
        </w:rPr>
        <w:t>;</w:t>
      </w:r>
      <w:r w:rsidRPr="00B013ED">
        <w:rPr>
          <w:rFonts w:eastAsia="Times New Roman" w:cstheme="minorBidi"/>
        </w:rPr>
        <w:t xml:space="preserve"> Siqueira </w:t>
      </w:r>
      <w:r w:rsidRPr="00B013ED">
        <w:rPr>
          <w:rFonts w:eastAsia="Times New Roman" w:cstheme="minorBidi"/>
          <w:i/>
          <w:iCs/>
        </w:rPr>
        <w:t>et al</w:t>
      </w:r>
      <w:r w:rsidRPr="00B013ED">
        <w:rPr>
          <w:rFonts w:eastAsia="Times New Roman" w:cstheme="minorBidi"/>
        </w:rPr>
        <w:t>., 2003</w:t>
      </w:r>
      <w:r>
        <w:rPr>
          <w:rFonts w:eastAsia="Times New Roman" w:cstheme="minorBidi"/>
        </w:rPr>
        <w:t xml:space="preserve">; </w:t>
      </w:r>
      <w:r w:rsidRPr="00B013ED">
        <w:rPr>
          <w:rFonts w:eastAsia="Times New Roman" w:cstheme="minorBidi"/>
        </w:rPr>
        <w:t>Law and Messer</w:t>
      </w:r>
      <w:r>
        <w:rPr>
          <w:rFonts w:eastAsia="Times New Roman" w:cstheme="minorBidi"/>
        </w:rPr>
        <w:t>,</w:t>
      </w:r>
      <w:r w:rsidRPr="00B013ED">
        <w:rPr>
          <w:rFonts w:eastAsia="Times New Roman" w:cstheme="minorBidi"/>
        </w:rPr>
        <w:t xml:space="preserve"> 2004).</w:t>
      </w:r>
    </w:p>
    <w:p w:rsidR="00FC2BEC" w:rsidRDefault="00FC2BEC" w:rsidP="00584C8A">
      <w:pPr>
        <w:spacing w:line="480" w:lineRule="auto"/>
        <w:jc w:val="both"/>
        <w:rPr>
          <w:rFonts w:eastAsia="Times New Roman" w:cstheme="minorBidi"/>
        </w:rPr>
      </w:pPr>
      <w:r>
        <w:rPr>
          <w:rFonts w:eastAsia="Times New Roman" w:cstheme="minorBidi"/>
        </w:rPr>
        <w:t>A study</w:t>
      </w:r>
      <w:r w:rsidRPr="00B013ED">
        <w:rPr>
          <w:rFonts w:eastAsia="Times New Roman" w:cstheme="minorBidi"/>
        </w:rPr>
        <w:t xml:space="preserve"> stated that calcium hydroxide </w:t>
      </w:r>
      <w:r>
        <w:rPr>
          <w:rFonts w:eastAsia="Times New Roman" w:cstheme="minorBidi"/>
        </w:rPr>
        <w:t xml:space="preserve">was </w:t>
      </w:r>
      <w:r w:rsidRPr="00B013ED">
        <w:rPr>
          <w:rFonts w:eastAsia="Times New Roman" w:cstheme="minorBidi"/>
        </w:rPr>
        <w:t xml:space="preserve">as good as antibiotics when compared to metronidazole and </w:t>
      </w:r>
      <w:r>
        <w:rPr>
          <w:rFonts w:eastAsia="Times New Roman" w:cstheme="minorBidi"/>
        </w:rPr>
        <w:t xml:space="preserve">had an </w:t>
      </w:r>
      <w:r w:rsidRPr="00B013ED">
        <w:rPr>
          <w:rFonts w:eastAsia="Times New Roman" w:cstheme="minorBidi"/>
        </w:rPr>
        <w:t>inhibitory</w:t>
      </w:r>
      <w:r>
        <w:rPr>
          <w:rFonts w:eastAsia="Times New Roman" w:cstheme="minorBidi"/>
        </w:rPr>
        <w:t xml:space="preserve"> effect on</w:t>
      </w:r>
      <w:r w:rsidRPr="00B013ED">
        <w:rPr>
          <w:rFonts w:eastAsia="Times New Roman" w:cstheme="minorBidi"/>
        </w:rPr>
        <w:t xml:space="preserve"> all strains of bacteria if </w:t>
      </w:r>
      <w:r>
        <w:rPr>
          <w:rFonts w:eastAsia="Times New Roman" w:cstheme="minorBidi"/>
        </w:rPr>
        <w:t>c</w:t>
      </w:r>
      <w:r w:rsidRPr="00B013ED">
        <w:rPr>
          <w:rFonts w:eastAsia="Times New Roman" w:cstheme="minorBidi"/>
        </w:rPr>
        <w:t>hlorhexidine w</w:t>
      </w:r>
      <w:r>
        <w:rPr>
          <w:rFonts w:eastAsia="Times New Roman" w:cstheme="minorBidi"/>
        </w:rPr>
        <w:t>as</w:t>
      </w:r>
      <w:r w:rsidRPr="00B013ED">
        <w:rPr>
          <w:rFonts w:eastAsia="Times New Roman" w:cstheme="minorBidi"/>
        </w:rPr>
        <w:t xml:space="preserve"> added (Jose </w:t>
      </w:r>
      <w:r w:rsidRPr="00B013ED">
        <w:rPr>
          <w:rFonts w:eastAsia="Times New Roman" w:cstheme="minorBidi"/>
          <w:i/>
          <w:iCs/>
        </w:rPr>
        <w:t>et al.,</w:t>
      </w:r>
      <w:r w:rsidRPr="00B013ED">
        <w:rPr>
          <w:rFonts w:eastAsia="Times New Roman" w:cstheme="minorBidi"/>
        </w:rPr>
        <w:t xml:space="preserve"> 1997). However a higher percentage of calcium hydroxide led to greater efficacy on bacteria (</w:t>
      </w:r>
      <w:r w:rsidRPr="00030D06">
        <w:rPr>
          <w:rFonts w:eastAsia="Times New Roman" w:cstheme="minorBidi"/>
        </w:rPr>
        <w:t xml:space="preserve">Gautam </w:t>
      </w:r>
      <w:r w:rsidRPr="00030D06">
        <w:rPr>
          <w:rFonts w:eastAsia="Times New Roman" w:cstheme="minorBidi"/>
          <w:i/>
          <w:iCs/>
        </w:rPr>
        <w:t>et al.,</w:t>
      </w:r>
      <w:r w:rsidRPr="00030D06">
        <w:rPr>
          <w:rFonts w:eastAsia="Times New Roman" w:cstheme="minorBidi"/>
        </w:rPr>
        <w:t xml:space="preserve"> 2011</w:t>
      </w:r>
      <w:r>
        <w:rPr>
          <w:rFonts w:eastAsia="Times New Roman" w:cstheme="minorBidi"/>
        </w:rPr>
        <w:t>).</w:t>
      </w:r>
    </w:p>
    <w:p w:rsidR="00E26131" w:rsidRPr="00B013ED" w:rsidRDefault="00E26131" w:rsidP="00E26131">
      <w:pPr>
        <w:spacing w:line="480" w:lineRule="auto"/>
        <w:jc w:val="both"/>
        <w:rPr>
          <w:rFonts w:eastAsia="Times New Roman" w:cstheme="minorBidi"/>
        </w:rPr>
      </w:pPr>
      <w:r w:rsidRPr="00B013ED">
        <w:rPr>
          <w:rFonts w:eastAsia="Times New Roman" w:cstheme="minorBidi"/>
        </w:rPr>
        <w:t>Looking at the market today, there are many product</w:t>
      </w:r>
      <w:r>
        <w:rPr>
          <w:rFonts w:eastAsia="Times New Roman" w:cstheme="minorBidi"/>
        </w:rPr>
        <w:t>s</w:t>
      </w:r>
      <w:r w:rsidRPr="00B013ED">
        <w:rPr>
          <w:rFonts w:eastAsia="Times New Roman" w:cstheme="minorBidi"/>
        </w:rPr>
        <w:t xml:space="preserve"> of calcium hydroxide which ha</w:t>
      </w:r>
      <w:r>
        <w:rPr>
          <w:rFonts w:eastAsia="Times New Roman" w:cstheme="minorBidi"/>
        </w:rPr>
        <w:t>ve</w:t>
      </w:r>
      <w:r w:rsidRPr="00B013ED">
        <w:rPr>
          <w:rFonts w:eastAsia="Times New Roman" w:cstheme="minorBidi"/>
        </w:rPr>
        <w:t xml:space="preserve"> different </w:t>
      </w:r>
      <w:proofErr w:type="gramStart"/>
      <w:r w:rsidRPr="00B013ED">
        <w:rPr>
          <w:rFonts w:eastAsia="Times New Roman" w:cstheme="minorBidi"/>
        </w:rPr>
        <w:t>pH</w:t>
      </w:r>
      <w:r>
        <w:rPr>
          <w:rFonts w:eastAsia="Times New Roman" w:cstheme="minorBidi"/>
        </w:rPr>
        <w:t>’s</w:t>
      </w:r>
      <w:proofErr w:type="gramEnd"/>
      <w:r w:rsidRPr="00B013ED">
        <w:rPr>
          <w:rFonts w:eastAsia="Times New Roman" w:cstheme="minorBidi"/>
        </w:rPr>
        <w:t xml:space="preserve"> and that may affect the ability of calcium hydroxide to inhibit growing bacteria. </w:t>
      </w:r>
      <w:r>
        <w:rPr>
          <w:rFonts w:eastAsia="Times New Roman" w:cstheme="minorBidi"/>
        </w:rPr>
        <w:t>An i</w:t>
      </w:r>
      <w:r w:rsidRPr="00B013ED">
        <w:rPr>
          <w:rFonts w:eastAsia="Times New Roman" w:cstheme="minorBidi"/>
        </w:rPr>
        <w:t xml:space="preserve">n vitro study concluded that calcium hydroxide (Apexit) was unsuccessful in elimination of </w:t>
      </w:r>
      <w:r w:rsidRPr="009241D9">
        <w:rPr>
          <w:rFonts w:eastAsia="Times New Roman" w:cstheme="minorBidi"/>
          <w:i/>
        </w:rPr>
        <w:t>Candida albicans</w:t>
      </w:r>
      <w:r w:rsidRPr="00B013ED">
        <w:rPr>
          <w:rFonts w:eastAsia="Times New Roman" w:cstheme="minorBidi"/>
        </w:rPr>
        <w:t xml:space="preserve"> and </w:t>
      </w:r>
      <w:r w:rsidRPr="009241D9">
        <w:rPr>
          <w:rFonts w:eastAsia="Times New Roman" w:cstheme="minorBidi"/>
          <w:i/>
        </w:rPr>
        <w:t>Staphylococcus aureus</w:t>
      </w:r>
      <w:r w:rsidRPr="00B013ED">
        <w:rPr>
          <w:rFonts w:eastAsia="Times New Roman" w:cstheme="minorBidi"/>
        </w:rPr>
        <w:t xml:space="preserve"> because of insufficient elevation of pH (Kaplan </w:t>
      </w:r>
      <w:r w:rsidRPr="00B013ED">
        <w:rPr>
          <w:rFonts w:eastAsia="Times New Roman" w:cstheme="minorBidi"/>
          <w:i/>
          <w:iCs/>
        </w:rPr>
        <w:t>et al.,</w:t>
      </w:r>
      <w:r w:rsidRPr="00B013ED">
        <w:rPr>
          <w:rFonts w:eastAsia="Times New Roman" w:cstheme="minorBidi"/>
        </w:rPr>
        <w:t xml:space="preserve"> 1999).</w:t>
      </w:r>
    </w:p>
    <w:p w:rsidR="00E26131" w:rsidRPr="00B013ED" w:rsidRDefault="00E26131" w:rsidP="00E26131">
      <w:pPr>
        <w:spacing w:line="480" w:lineRule="auto"/>
        <w:jc w:val="both"/>
        <w:rPr>
          <w:rFonts w:eastAsia="Times New Roman" w:cstheme="minorBidi"/>
        </w:rPr>
      </w:pPr>
      <w:r w:rsidRPr="00B013ED">
        <w:rPr>
          <w:rFonts w:eastAsia="Times New Roman" w:cstheme="minorBidi"/>
        </w:rPr>
        <w:lastRenderedPageBreak/>
        <w:t xml:space="preserve">In this study we used </w:t>
      </w:r>
      <w:r>
        <w:rPr>
          <w:rFonts w:eastAsia="Times New Roman" w:cstheme="minorBidi"/>
        </w:rPr>
        <w:t>U</w:t>
      </w:r>
      <w:r w:rsidRPr="00B013ED">
        <w:rPr>
          <w:rFonts w:eastAsia="Times New Roman" w:cstheme="minorBidi"/>
        </w:rPr>
        <w:t xml:space="preserve">ltracal which </w:t>
      </w:r>
      <w:r>
        <w:rPr>
          <w:rFonts w:eastAsia="Times New Roman" w:cstheme="minorBidi"/>
        </w:rPr>
        <w:t xml:space="preserve">is </w:t>
      </w:r>
      <w:r w:rsidRPr="00B013ED">
        <w:rPr>
          <w:rFonts w:eastAsia="Times New Roman" w:cstheme="minorBidi"/>
        </w:rPr>
        <w:t>one of most sophisticated formula</w:t>
      </w:r>
      <w:r>
        <w:rPr>
          <w:rFonts w:eastAsia="Times New Roman" w:cstheme="minorBidi"/>
        </w:rPr>
        <w:t>e</w:t>
      </w:r>
      <w:r w:rsidRPr="00B013ED">
        <w:rPr>
          <w:rFonts w:eastAsia="Times New Roman" w:cstheme="minorBidi"/>
        </w:rPr>
        <w:t xml:space="preserve"> of non</w:t>
      </w:r>
      <w:r>
        <w:rPr>
          <w:rFonts w:eastAsia="Times New Roman" w:cstheme="minorBidi"/>
        </w:rPr>
        <w:t>-</w:t>
      </w:r>
      <w:r w:rsidRPr="00B013ED">
        <w:rPr>
          <w:rFonts w:eastAsia="Times New Roman" w:cstheme="minorBidi"/>
        </w:rPr>
        <w:t xml:space="preserve">setting calcium hydroxide, </w:t>
      </w:r>
      <w:r>
        <w:rPr>
          <w:rFonts w:eastAsia="Times New Roman" w:cstheme="minorBidi"/>
        </w:rPr>
        <w:t xml:space="preserve">with a </w:t>
      </w:r>
      <w:r w:rsidRPr="00B013ED">
        <w:rPr>
          <w:rFonts w:eastAsia="Times New Roman" w:cstheme="minorBidi"/>
        </w:rPr>
        <w:t xml:space="preserve">high </w:t>
      </w:r>
      <w:r>
        <w:rPr>
          <w:rFonts w:eastAsia="Times New Roman" w:cstheme="minorBidi"/>
        </w:rPr>
        <w:t>pH</w:t>
      </w:r>
      <w:r w:rsidRPr="00B013ED">
        <w:rPr>
          <w:rFonts w:eastAsia="Times New Roman" w:cstheme="minorBidi"/>
        </w:rPr>
        <w:t xml:space="preserve"> </w:t>
      </w:r>
      <w:r>
        <w:rPr>
          <w:rFonts w:eastAsia="Times New Roman" w:cstheme="minorBidi"/>
        </w:rPr>
        <w:t xml:space="preserve">of </w:t>
      </w:r>
      <w:r w:rsidRPr="00B013ED">
        <w:rPr>
          <w:rFonts w:eastAsia="Times New Roman" w:cstheme="minorBidi"/>
        </w:rPr>
        <w:t xml:space="preserve">up to pH 12.5 according to </w:t>
      </w:r>
      <w:r>
        <w:rPr>
          <w:rFonts w:eastAsia="Times New Roman" w:cstheme="minorBidi"/>
        </w:rPr>
        <w:t xml:space="preserve">the </w:t>
      </w:r>
      <w:r w:rsidRPr="00B013ED">
        <w:rPr>
          <w:rFonts w:eastAsia="Times New Roman" w:cstheme="minorBidi"/>
        </w:rPr>
        <w:t>manufacture</w:t>
      </w:r>
      <w:r>
        <w:rPr>
          <w:rFonts w:eastAsia="Times New Roman" w:cstheme="minorBidi"/>
        </w:rPr>
        <w:t>r (see chapter 2)</w:t>
      </w:r>
      <w:r w:rsidRPr="00B013ED">
        <w:rPr>
          <w:rFonts w:eastAsia="Times New Roman" w:cstheme="minorBidi"/>
        </w:rPr>
        <w:t>.</w:t>
      </w:r>
      <w:r w:rsidRPr="00B013ED">
        <w:t xml:space="preserve"> </w:t>
      </w:r>
      <w:r w:rsidRPr="00B013ED">
        <w:rPr>
          <w:rFonts w:eastAsia="Times New Roman" w:cstheme="minorBidi"/>
        </w:rPr>
        <w:t>Also this product of calcium hydroxide use</w:t>
      </w:r>
      <w:r>
        <w:rPr>
          <w:rFonts w:eastAsia="Times New Roman" w:cstheme="minorBidi"/>
        </w:rPr>
        <w:t>s</w:t>
      </w:r>
      <w:r w:rsidRPr="00B013ED">
        <w:rPr>
          <w:rFonts w:eastAsia="Times New Roman" w:cstheme="minorBidi"/>
        </w:rPr>
        <w:t xml:space="preserve"> a NaviTip making it easier for its uniform application in our experimental situation. Also it is the material used in our daily clinic at Leeds Dental Institute.  </w:t>
      </w:r>
    </w:p>
    <w:p w:rsidR="00E26131" w:rsidRPr="00B013ED" w:rsidRDefault="00E26131" w:rsidP="00E26131">
      <w:pPr>
        <w:spacing w:line="480" w:lineRule="auto"/>
        <w:jc w:val="both"/>
        <w:rPr>
          <w:rFonts w:eastAsia="Times New Roman"/>
          <w:lang w:eastAsia="en-GB"/>
        </w:rPr>
      </w:pPr>
      <w:r w:rsidRPr="00B013ED">
        <w:rPr>
          <w:rFonts w:eastAsia="Times New Roman"/>
          <w:lang w:eastAsia="en-GB"/>
        </w:rPr>
        <w:t xml:space="preserve">Several studies have studied the antimicrobial effects of calcium hydroxide–containing sealers and their duration of activity using different bacterial species and different test methods. The methods used to show short- and long-term antibacterial activity of sealers </w:t>
      </w:r>
      <w:r>
        <w:rPr>
          <w:rFonts w:eastAsia="Times New Roman"/>
          <w:lang w:eastAsia="en-GB"/>
        </w:rPr>
        <w:t>with</w:t>
      </w:r>
      <w:r w:rsidRPr="00B013ED">
        <w:rPr>
          <w:rFonts w:eastAsia="Times New Roman"/>
          <w:lang w:eastAsia="en-GB"/>
        </w:rPr>
        <w:t xml:space="preserve"> the agar diffusion inhibitory test (ADT) (Estrela </w:t>
      </w:r>
      <w:r w:rsidRPr="00B013ED">
        <w:rPr>
          <w:rFonts w:eastAsia="Times New Roman" w:cstheme="minorBidi"/>
          <w:i/>
          <w:iCs/>
        </w:rPr>
        <w:t>et al.,</w:t>
      </w:r>
      <w:r w:rsidRPr="00B013ED">
        <w:rPr>
          <w:rFonts w:eastAsia="Times New Roman" w:cstheme="minorBidi"/>
        </w:rPr>
        <w:t xml:space="preserve"> </w:t>
      </w:r>
      <w:r w:rsidRPr="00B013ED">
        <w:rPr>
          <w:rFonts w:eastAsia="Times New Roman"/>
          <w:lang w:eastAsia="en-GB"/>
        </w:rPr>
        <w:t xml:space="preserve">2000), and this is what this study had used to assess the effect of calcium hydroxide on bacteria. There has been debate in the literature regarding the use of the ADT as a method to determine the short-term antibacterial activity of calcium hydroxide sealers. The method relies on the solubility and physical properties of the antimicrobial component of the sealer. This works well for water-soluble materials (Mickel </w:t>
      </w:r>
      <w:r w:rsidRPr="00B013ED">
        <w:rPr>
          <w:rFonts w:eastAsia="Times New Roman"/>
          <w:i/>
          <w:iCs/>
          <w:lang w:eastAsia="en-GB"/>
        </w:rPr>
        <w:t>et al</w:t>
      </w:r>
      <w:r w:rsidRPr="00B013ED">
        <w:rPr>
          <w:rFonts w:eastAsia="Times New Roman"/>
          <w:lang w:eastAsia="en-GB"/>
        </w:rPr>
        <w:t xml:space="preserve">., 2003), and calcium hydroxide has low water solubility and diffusibility. </w:t>
      </w:r>
    </w:p>
    <w:p w:rsidR="00E26131" w:rsidRPr="00B013ED" w:rsidRDefault="00E26131" w:rsidP="00E26131">
      <w:pPr>
        <w:spacing w:line="480" w:lineRule="auto"/>
        <w:jc w:val="both"/>
        <w:rPr>
          <w:rFonts w:eastAsia="Times New Roman"/>
          <w:lang w:eastAsia="en-GB"/>
        </w:rPr>
      </w:pPr>
      <w:r w:rsidRPr="00B013ED">
        <w:rPr>
          <w:rFonts w:eastAsia="Times New Roman"/>
          <w:lang w:eastAsia="en-GB"/>
        </w:rPr>
        <w:t xml:space="preserve">However </w:t>
      </w:r>
      <w:r>
        <w:rPr>
          <w:rFonts w:eastAsia="Times New Roman"/>
          <w:lang w:eastAsia="en-GB"/>
        </w:rPr>
        <w:t xml:space="preserve">this is </w:t>
      </w:r>
      <w:r w:rsidRPr="00B013ED">
        <w:rPr>
          <w:rFonts w:eastAsia="Times New Roman"/>
          <w:lang w:eastAsia="en-GB"/>
        </w:rPr>
        <w:t xml:space="preserve">still the most popular method used in </w:t>
      </w:r>
      <w:r>
        <w:rPr>
          <w:rFonts w:eastAsia="Times New Roman"/>
          <w:lang w:eastAsia="en-GB"/>
        </w:rPr>
        <w:t xml:space="preserve">the </w:t>
      </w:r>
      <w:r w:rsidRPr="00B013ED">
        <w:rPr>
          <w:rFonts w:eastAsia="Times New Roman"/>
          <w:lang w:eastAsia="en-GB"/>
        </w:rPr>
        <w:t>laboratory for assessing the effect</w:t>
      </w:r>
      <w:r>
        <w:rPr>
          <w:rFonts w:eastAsia="Times New Roman"/>
          <w:lang w:eastAsia="en-GB"/>
        </w:rPr>
        <w:t>s</w:t>
      </w:r>
      <w:r w:rsidRPr="00B013ED">
        <w:rPr>
          <w:rFonts w:eastAsia="Times New Roman"/>
          <w:lang w:eastAsia="en-GB"/>
        </w:rPr>
        <w:t xml:space="preserve"> on bacteria.</w:t>
      </w:r>
    </w:p>
    <w:p w:rsidR="00E26131" w:rsidRPr="00B013ED" w:rsidRDefault="00E26131" w:rsidP="00E26131">
      <w:pPr>
        <w:spacing w:line="480" w:lineRule="auto"/>
        <w:jc w:val="both"/>
        <w:rPr>
          <w:rFonts w:eastAsia="Times New Roman"/>
          <w:lang w:eastAsia="en-GB"/>
        </w:rPr>
      </w:pPr>
      <w:r w:rsidRPr="00B013ED">
        <w:rPr>
          <w:rFonts w:eastAsia="Times New Roman"/>
          <w:lang w:eastAsia="en-GB"/>
        </w:rPr>
        <w:t xml:space="preserve">According to </w:t>
      </w:r>
      <w:r>
        <w:rPr>
          <w:rFonts w:eastAsia="Times New Roman"/>
          <w:lang w:eastAsia="en-GB"/>
        </w:rPr>
        <w:t>the</w:t>
      </w:r>
      <w:r w:rsidRPr="00B013ED">
        <w:rPr>
          <w:rFonts w:eastAsia="Times New Roman"/>
          <w:lang w:eastAsia="en-GB"/>
        </w:rPr>
        <w:t xml:space="preserve"> results </w:t>
      </w:r>
      <w:r>
        <w:rPr>
          <w:rFonts w:eastAsia="Times New Roman"/>
          <w:lang w:eastAsia="en-GB"/>
        </w:rPr>
        <w:t xml:space="preserve">of this study </w:t>
      </w:r>
      <w:r w:rsidRPr="00B013ED">
        <w:rPr>
          <w:rFonts w:eastAsia="Times New Roman"/>
          <w:lang w:eastAsia="en-GB"/>
        </w:rPr>
        <w:t xml:space="preserve">the best effect of calcium hydroxide was on </w:t>
      </w:r>
      <w:r w:rsidRPr="009241D9">
        <w:rPr>
          <w:rFonts w:eastAsia="Times New Roman"/>
          <w:i/>
          <w:lang w:eastAsia="en-GB"/>
        </w:rPr>
        <w:t>E. coli</w:t>
      </w:r>
      <w:r w:rsidRPr="00B013ED">
        <w:rPr>
          <w:rFonts w:eastAsia="Times New Roman"/>
          <w:lang w:eastAsia="en-GB"/>
        </w:rPr>
        <w:t xml:space="preserve"> by inhibition zone of 24.17 mm, followed by 24 mm on </w:t>
      </w:r>
      <w:r w:rsidRPr="009241D9">
        <w:rPr>
          <w:rFonts w:eastAsia="Times New Roman"/>
          <w:i/>
          <w:lang w:eastAsia="en-GB"/>
        </w:rPr>
        <w:t>P. gingivalis</w:t>
      </w:r>
      <w:r w:rsidRPr="00B013ED">
        <w:rPr>
          <w:rFonts w:eastAsia="Times New Roman"/>
          <w:lang w:eastAsia="en-GB"/>
        </w:rPr>
        <w:t xml:space="preserve">. This finding was supported by (Abdulkader </w:t>
      </w:r>
      <w:r w:rsidRPr="00B013ED">
        <w:rPr>
          <w:rFonts w:eastAsia="Times New Roman" w:cstheme="minorBidi"/>
          <w:i/>
          <w:iCs/>
        </w:rPr>
        <w:t>et al.,</w:t>
      </w:r>
      <w:r w:rsidRPr="00B013ED">
        <w:rPr>
          <w:rFonts w:eastAsia="Times New Roman" w:cstheme="minorBidi"/>
        </w:rPr>
        <w:t xml:space="preserve"> </w:t>
      </w:r>
      <w:r w:rsidRPr="00B013ED">
        <w:rPr>
          <w:rFonts w:eastAsia="Times New Roman"/>
          <w:lang w:eastAsia="en-GB"/>
        </w:rPr>
        <w:t xml:space="preserve">1996) </w:t>
      </w:r>
      <w:r>
        <w:rPr>
          <w:rFonts w:eastAsia="Times New Roman"/>
          <w:lang w:eastAsia="en-GB"/>
        </w:rPr>
        <w:t>w</w:t>
      </w:r>
      <w:r w:rsidRPr="00B013ED">
        <w:rPr>
          <w:rFonts w:eastAsia="Times New Roman"/>
          <w:lang w:eastAsia="en-GB"/>
        </w:rPr>
        <w:t xml:space="preserve">ho stated that calcium hydroxide </w:t>
      </w:r>
      <w:r>
        <w:rPr>
          <w:rFonts w:eastAsia="Times New Roman"/>
          <w:lang w:eastAsia="en-GB"/>
        </w:rPr>
        <w:t>wa</w:t>
      </w:r>
      <w:r w:rsidRPr="00B013ED">
        <w:rPr>
          <w:rFonts w:eastAsia="Times New Roman"/>
          <w:lang w:eastAsia="en-GB"/>
        </w:rPr>
        <w:t xml:space="preserve">s </w:t>
      </w:r>
      <w:r>
        <w:rPr>
          <w:rFonts w:eastAsia="Times New Roman"/>
          <w:lang w:eastAsia="en-GB"/>
        </w:rPr>
        <w:t xml:space="preserve">an </w:t>
      </w:r>
      <w:r w:rsidRPr="00B013ED">
        <w:rPr>
          <w:rFonts w:eastAsia="Times New Roman"/>
          <w:lang w:eastAsia="en-GB"/>
        </w:rPr>
        <w:t xml:space="preserve">effective antibacterial material to inhibit growth of bacteria. </w:t>
      </w:r>
      <w:r>
        <w:rPr>
          <w:rFonts w:eastAsia="Times New Roman"/>
          <w:lang w:eastAsia="en-GB"/>
        </w:rPr>
        <w:t>O</w:t>
      </w:r>
      <w:r w:rsidRPr="00B013ED">
        <w:rPr>
          <w:rFonts w:eastAsia="Times New Roman"/>
          <w:lang w:eastAsia="en-GB"/>
        </w:rPr>
        <w:t>n the other hand this study stated a limited effect of calcium hydroxide on</w:t>
      </w:r>
      <w:r w:rsidRPr="00B013ED">
        <w:t xml:space="preserve"> </w:t>
      </w:r>
      <w:r w:rsidRPr="009241D9">
        <w:rPr>
          <w:rFonts w:eastAsia="Times New Roman"/>
          <w:i/>
          <w:lang w:eastAsia="en-GB"/>
        </w:rPr>
        <w:t>A. odontolyticus</w:t>
      </w:r>
      <w:r w:rsidRPr="00B013ED">
        <w:rPr>
          <w:rFonts w:eastAsia="Times New Roman"/>
          <w:lang w:eastAsia="en-GB"/>
        </w:rPr>
        <w:t xml:space="preserve"> or no effect at all on bacteria</w:t>
      </w:r>
      <w:r>
        <w:rPr>
          <w:rFonts w:eastAsia="Times New Roman"/>
          <w:lang w:eastAsia="en-GB"/>
        </w:rPr>
        <w:t xml:space="preserve"> such</w:t>
      </w:r>
      <w:r w:rsidRPr="00B013ED">
        <w:rPr>
          <w:rFonts w:eastAsia="Times New Roman"/>
          <w:lang w:eastAsia="en-GB"/>
        </w:rPr>
        <w:t xml:space="preserve"> as </w:t>
      </w:r>
      <w:r w:rsidRPr="005A01BB">
        <w:rPr>
          <w:rFonts w:eastAsia="Times New Roman"/>
          <w:i/>
          <w:iCs/>
          <w:lang w:eastAsia="en-GB"/>
        </w:rPr>
        <w:t xml:space="preserve">F.  </w:t>
      </w:r>
      <w:proofErr w:type="gramStart"/>
      <w:r w:rsidRPr="005A01BB">
        <w:rPr>
          <w:rFonts w:eastAsia="Times New Roman"/>
          <w:i/>
          <w:iCs/>
          <w:lang w:eastAsia="en-GB"/>
        </w:rPr>
        <w:lastRenderedPageBreak/>
        <w:t>nucleatum</w:t>
      </w:r>
      <w:proofErr w:type="gramEnd"/>
      <w:r w:rsidRPr="00B013ED">
        <w:rPr>
          <w:rFonts w:eastAsia="Times New Roman"/>
          <w:lang w:eastAsia="en-GB"/>
        </w:rPr>
        <w:t xml:space="preserve"> and </w:t>
      </w:r>
      <w:r w:rsidRPr="00B013ED">
        <w:rPr>
          <w:rFonts w:eastAsia="Times New Roman"/>
          <w:i/>
          <w:iCs/>
          <w:lang w:eastAsia="en-GB"/>
        </w:rPr>
        <w:t>E</w:t>
      </w:r>
      <w:r>
        <w:rPr>
          <w:rFonts w:eastAsia="Times New Roman"/>
          <w:i/>
          <w:iCs/>
          <w:lang w:eastAsia="en-GB"/>
        </w:rPr>
        <w:t>. f</w:t>
      </w:r>
      <w:r w:rsidRPr="00B013ED">
        <w:rPr>
          <w:rFonts w:eastAsia="Times New Roman"/>
          <w:i/>
          <w:iCs/>
          <w:lang w:eastAsia="en-GB"/>
        </w:rPr>
        <w:t>aecalis</w:t>
      </w:r>
      <w:r w:rsidRPr="00B013ED">
        <w:rPr>
          <w:rFonts w:eastAsia="Times New Roman"/>
          <w:lang w:eastAsia="en-GB"/>
        </w:rPr>
        <w:t>. Th</w:t>
      </w:r>
      <w:r>
        <w:rPr>
          <w:rFonts w:eastAsia="Times New Roman"/>
          <w:lang w:eastAsia="en-GB"/>
        </w:rPr>
        <w:t xml:space="preserve">ese </w:t>
      </w:r>
      <w:r w:rsidRPr="00B013ED">
        <w:rPr>
          <w:rFonts w:eastAsia="Times New Roman"/>
          <w:lang w:eastAsia="en-GB"/>
        </w:rPr>
        <w:t>finding</w:t>
      </w:r>
      <w:r>
        <w:rPr>
          <w:rFonts w:eastAsia="Times New Roman"/>
          <w:lang w:eastAsia="en-GB"/>
        </w:rPr>
        <w:t>s are</w:t>
      </w:r>
      <w:r w:rsidRPr="00B013ED">
        <w:rPr>
          <w:rFonts w:eastAsia="Times New Roman"/>
          <w:lang w:eastAsia="en-GB"/>
        </w:rPr>
        <w:t xml:space="preserve"> supported by several studies (Al-Khatib </w:t>
      </w:r>
      <w:r w:rsidRPr="00B013ED">
        <w:rPr>
          <w:rFonts w:eastAsia="Times New Roman"/>
          <w:i/>
          <w:iCs/>
          <w:lang w:eastAsia="en-GB"/>
        </w:rPr>
        <w:t>et al.,</w:t>
      </w:r>
      <w:r w:rsidRPr="00B013ED">
        <w:rPr>
          <w:rFonts w:eastAsia="Times New Roman"/>
          <w:lang w:eastAsia="en-GB"/>
        </w:rPr>
        <w:t xml:space="preserve"> 1990</w:t>
      </w:r>
      <w:r>
        <w:rPr>
          <w:rFonts w:eastAsia="Times New Roman"/>
          <w:lang w:eastAsia="en-GB"/>
        </w:rPr>
        <w:t>;</w:t>
      </w:r>
      <w:r w:rsidRPr="00B013ED">
        <w:rPr>
          <w:rFonts w:eastAsia="Times New Roman"/>
          <w:lang w:eastAsia="en-GB"/>
        </w:rPr>
        <w:t xml:space="preserve"> Estrela </w:t>
      </w:r>
      <w:r w:rsidRPr="00B013ED">
        <w:rPr>
          <w:rFonts w:eastAsia="Times New Roman"/>
          <w:i/>
          <w:iCs/>
          <w:lang w:eastAsia="en-GB"/>
        </w:rPr>
        <w:t>et al</w:t>
      </w:r>
      <w:r w:rsidRPr="00B013ED">
        <w:rPr>
          <w:rFonts w:eastAsia="Times New Roman"/>
          <w:lang w:eastAsia="en-GB"/>
        </w:rPr>
        <w:t>., 2000</w:t>
      </w:r>
      <w:r>
        <w:rPr>
          <w:rFonts w:eastAsia="Times New Roman"/>
          <w:lang w:eastAsia="en-GB"/>
        </w:rPr>
        <w:t xml:space="preserve">; </w:t>
      </w:r>
      <w:r w:rsidRPr="00B013ED">
        <w:rPr>
          <w:rFonts w:eastAsia="Times New Roman"/>
          <w:lang w:eastAsia="en-GB"/>
        </w:rPr>
        <w:t xml:space="preserve">Leonardo </w:t>
      </w:r>
      <w:r w:rsidRPr="00B013ED">
        <w:rPr>
          <w:rFonts w:eastAsia="Times New Roman"/>
          <w:i/>
          <w:iCs/>
          <w:lang w:eastAsia="en-GB"/>
        </w:rPr>
        <w:t>et al</w:t>
      </w:r>
      <w:r w:rsidRPr="00B013ED">
        <w:rPr>
          <w:rFonts w:eastAsia="Times New Roman"/>
          <w:lang w:eastAsia="en-GB"/>
        </w:rPr>
        <w:t>., 2000</w:t>
      </w:r>
      <w:r>
        <w:rPr>
          <w:rFonts w:eastAsia="Times New Roman"/>
          <w:lang w:eastAsia="en-GB"/>
        </w:rPr>
        <w:t>;</w:t>
      </w:r>
      <w:r w:rsidRPr="00B013ED">
        <w:rPr>
          <w:rFonts w:eastAsia="Times New Roman"/>
          <w:lang w:eastAsia="en-GB"/>
        </w:rPr>
        <w:t xml:space="preserve"> Mickel </w:t>
      </w:r>
      <w:r w:rsidRPr="00B013ED">
        <w:rPr>
          <w:rFonts w:eastAsia="Times New Roman"/>
          <w:i/>
          <w:iCs/>
          <w:lang w:eastAsia="en-GB"/>
        </w:rPr>
        <w:t>et al.,</w:t>
      </w:r>
      <w:r w:rsidRPr="00B013ED">
        <w:rPr>
          <w:rFonts w:eastAsia="Times New Roman"/>
          <w:lang w:eastAsia="en-GB"/>
        </w:rPr>
        <w:t xml:space="preserve"> 2003).</w:t>
      </w:r>
    </w:p>
    <w:p w:rsidR="00E26131" w:rsidRPr="00B013ED" w:rsidRDefault="00E26131" w:rsidP="00E26131">
      <w:pPr>
        <w:spacing w:line="480" w:lineRule="auto"/>
        <w:jc w:val="both"/>
        <w:rPr>
          <w:rFonts w:eastAsia="Times New Roman"/>
          <w:lang w:eastAsia="en-GB"/>
        </w:rPr>
      </w:pPr>
      <w:r w:rsidRPr="00B013ED">
        <w:rPr>
          <w:rFonts w:eastAsia="Times New Roman"/>
          <w:lang w:eastAsia="en-GB"/>
        </w:rPr>
        <w:t xml:space="preserve">Overall according to </w:t>
      </w:r>
      <w:r>
        <w:rPr>
          <w:rFonts w:eastAsia="Times New Roman"/>
          <w:lang w:eastAsia="en-GB"/>
        </w:rPr>
        <w:t>the</w:t>
      </w:r>
      <w:r w:rsidRPr="00B013ED">
        <w:rPr>
          <w:rFonts w:eastAsia="Times New Roman"/>
          <w:lang w:eastAsia="en-GB"/>
        </w:rPr>
        <w:t xml:space="preserve"> finding</w:t>
      </w:r>
      <w:r>
        <w:rPr>
          <w:rFonts w:eastAsia="Times New Roman"/>
          <w:lang w:eastAsia="en-GB"/>
        </w:rPr>
        <w:t>s</w:t>
      </w:r>
      <w:r w:rsidRPr="00B013ED">
        <w:rPr>
          <w:rFonts w:eastAsia="Times New Roman"/>
          <w:lang w:eastAsia="en-GB"/>
        </w:rPr>
        <w:t xml:space="preserve"> in this study calcium hydroxide was the wors</w:t>
      </w:r>
      <w:r w:rsidR="00DC0870">
        <w:rPr>
          <w:rFonts w:eastAsia="Times New Roman"/>
          <w:lang w:eastAsia="en-GB"/>
        </w:rPr>
        <w:t>t</w:t>
      </w:r>
      <w:r w:rsidRPr="00B013ED">
        <w:rPr>
          <w:rFonts w:eastAsia="Times New Roman"/>
          <w:lang w:eastAsia="en-GB"/>
        </w:rPr>
        <w:t xml:space="preserve"> antibacterial material among all </w:t>
      </w:r>
      <w:r>
        <w:rPr>
          <w:rFonts w:eastAsia="Times New Roman"/>
          <w:lang w:eastAsia="en-GB"/>
        </w:rPr>
        <w:t xml:space="preserve">the </w:t>
      </w:r>
      <w:r w:rsidRPr="00B013ED">
        <w:rPr>
          <w:rFonts w:eastAsia="Times New Roman"/>
          <w:lang w:eastAsia="en-GB"/>
        </w:rPr>
        <w:t xml:space="preserve">other </w:t>
      </w:r>
      <w:r>
        <w:rPr>
          <w:rFonts w:eastAsia="Times New Roman"/>
          <w:lang w:eastAsia="en-GB"/>
        </w:rPr>
        <w:t xml:space="preserve">study </w:t>
      </w:r>
      <w:r w:rsidRPr="00B013ED">
        <w:rPr>
          <w:rFonts w:eastAsia="Times New Roman"/>
          <w:lang w:eastAsia="en-GB"/>
        </w:rPr>
        <w:t xml:space="preserve">groups. </w:t>
      </w:r>
    </w:p>
    <w:p w:rsidR="00E26131" w:rsidRPr="00B013ED" w:rsidRDefault="00E26131" w:rsidP="00E26131">
      <w:pPr>
        <w:spacing w:line="480" w:lineRule="auto"/>
        <w:jc w:val="both"/>
        <w:rPr>
          <w:rFonts w:eastAsia="Times New Roman"/>
          <w:lang w:eastAsia="en-GB"/>
        </w:rPr>
      </w:pPr>
      <w:r w:rsidRPr="00B013ED">
        <w:rPr>
          <w:rFonts w:eastAsia="Times New Roman"/>
          <w:lang w:eastAsia="en-GB"/>
        </w:rPr>
        <w:t>This result could be due to an inadequate rise in pH in dentinal tubules for effective results (Ørstavik, 1988). The limited antibacterial activity of calcium hydroxide sealer might be attributed to a lack of sufficient pH elevation, limited solubility, and diffusibility in ADT plates</w:t>
      </w:r>
      <w:r>
        <w:rPr>
          <w:rFonts w:eastAsia="Times New Roman"/>
          <w:lang w:eastAsia="en-GB"/>
        </w:rPr>
        <w:t xml:space="preserve"> </w:t>
      </w:r>
      <w:r w:rsidRPr="00B013ED">
        <w:rPr>
          <w:rFonts w:eastAsia="Times New Roman"/>
          <w:lang w:eastAsia="en-GB"/>
        </w:rPr>
        <w:t>(Heling and Chandler, 1996).</w:t>
      </w:r>
    </w:p>
    <w:p w:rsidR="00E26131" w:rsidRDefault="00E26131">
      <w:pPr>
        <w:rPr>
          <w:rFonts w:eastAsiaTheme="majorEastAsia"/>
          <w:b/>
          <w:bCs/>
          <w:sz w:val="28"/>
        </w:rPr>
      </w:pPr>
      <w:r>
        <w:br w:type="page"/>
      </w:r>
    </w:p>
    <w:p w:rsidR="00E17CD7" w:rsidRPr="00B013ED" w:rsidRDefault="00E17CD7" w:rsidP="002D37AF">
      <w:pPr>
        <w:pStyle w:val="Heading3"/>
        <w:spacing w:line="480" w:lineRule="auto"/>
      </w:pPr>
      <w:bookmarkStart w:id="618" w:name="_Toc370819302"/>
      <w:r w:rsidRPr="00B013ED">
        <w:lastRenderedPageBreak/>
        <w:t>Mineral trioxide aggregates MTA</w:t>
      </w:r>
      <w:bookmarkEnd w:id="618"/>
    </w:p>
    <w:p w:rsidR="00E26131" w:rsidRPr="00B013ED" w:rsidRDefault="00E26131" w:rsidP="00E26131">
      <w:pPr>
        <w:spacing w:line="480" w:lineRule="auto"/>
        <w:jc w:val="both"/>
        <w:rPr>
          <w:rFonts w:eastAsia="Times New Roman" w:cstheme="minorBidi"/>
        </w:rPr>
      </w:pPr>
      <w:r w:rsidRPr="00B013ED">
        <w:rPr>
          <w:rFonts w:eastAsia="Times New Roman" w:cstheme="minorBidi"/>
        </w:rPr>
        <w:t xml:space="preserve">In an antimicrobial study on MTA and PC against </w:t>
      </w:r>
      <w:r w:rsidRPr="005A01BB">
        <w:rPr>
          <w:rFonts w:eastAsia="Times New Roman" w:cstheme="minorBidi"/>
          <w:i/>
          <w:iCs/>
        </w:rPr>
        <w:t>Staphylococcus aureus</w:t>
      </w:r>
      <w:r w:rsidRPr="00B013ED">
        <w:rPr>
          <w:rFonts w:eastAsia="Times New Roman" w:cstheme="minorBidi"/>
        </w:rPr>
        <w:t xml:space="preserve">, </w:t>
      </w:r>
      <w:r w:rsidRPr="005A01BB">
        <w:rPr>
          <w:rFonts w:eastAsia="Times New Roman" w:cstheme="minorBidi"/>
          <w:i/>
          <w:iCs/>
        </w:rPr>
        <w:t>Enterococcus faecalis</w:t>
      </w:r>
      <w:r w:rsidRPr="00B013ED">
        <w:rPr>
          <w:rFonts w:eastAsia="Times New Roman" w:cstheme="minorBidi"/>
        </w:rPr>
        <w:t xml:space="preserve">, </w:t>
      </w:r>
      <w:r w:rsidRPr="005A01BB">
        <w:rPr>
          <w:rFonts w:eastAsia="Times New Roman" w:cstheme="minorBidi"/>
          <w:i/>
          <w:iCs/>
        </w:rPr>
        <w:t>Pseudomonas aeruginosa</w:t>
      </w:r>
      <w:r w:rsidRPr="00B013ED">
        <w:rPr>
          <w:rFonts w:eastAsia="Times New Roman" w:cstheme="minorBidi"/>
        </w:rPr>
        <w:t xml:space="preserve">, </w:t>
      </w:r>
      <w:r w:rsidRPr="005A01BB">
        <w:rPr>
          <w:rFonts w:eastAsia="Times New Roman" w:cstheme="minorBidi"/>
          <w:i/>
          <w:iCs/>
        </w:rPr>
        <w:t>Bacillus subtilis</w:t>
      </w:r>
      <w:r w:rsidRPr="00B013ED">
        <w:rPr>
          <w:rFonts w:eastAsia="Times New Roman" w:cstheme="minorBidi"/>
        </w:rPr>
        <w:t xml:space="preserve">, </w:t>
      </w:r>
      <w:r w:rsidRPr="009241D9">
        <w:rPr>
          <w:rFonts w:eastAsia="Times New Roman" w:cstheme="minorBidi"/>
          <w:i/>
        </w:rPr>
        <w:t>Candida albicans</w:t>
      </w:r>
      <w:r w:rsidRPr="00B013ED">
        <w:rPr>
          <w:rFonts w:eastAsia="Times New Roman" w:cstheme="minorBidi"/>
        </w:rPr>
        <w:t xml:space="preserve">, a fungus, and a mixture of these bacterial and fungal species, both materials exhibited diffusion in agar without inhibition of microbial growth (Estrela </w:t>
      </w:r>
      <w:r w:rsidRPr="00B013ED">
        <w:rPr>
          <w:rFonts w:eastAsia="Times New Roman" w:cstheme="minorBidi"/>
          <w:i/>
          <w:iCs/>
        </w:rPr>
        <w:t>et al.,</w:t>
      </w:r>
      <w:r w:rsidRPr="00B013ED">
        <w:rPr>
          <w:rFonts w:eastAsia="Times New Roman" w:cstheme="minorBidi"/>
        </w:rPr>
        <w:t xml:space="preserve"> 2000).</w:t>
      </w:r>
    </w:p>
    <w:p w:rsidR="00E26131" w:rsidRPr="00B013ED" w:rsidRDefault="00E26131" w:rsidP="00E26131">
      <w:pPr>
        <w:spacing w:line="480" w:lineRule="auto"/>
        <w:jc w:val="both"/>
        <w:rPr>
          <w:rFonts w:eastAsia="Times New Roman" w:cstheme="minorBidi"/>
        </w:rPr>
      </w:pPr>
      <w:r w:rsidRPr="00B013ED">
        <w:rPr>
          <w:rFonts w:eastAsia="Times New Roman" w:cstheme="minorBidi"/>
        </w:rPr>
        <w:t xml:space="preserve">Another investigation reported antimicrobial activity of GMTA, WPC, and OPC on </w:t>
      </w:r>
      <w:r w:rsidRPr="005A01BB">
        <w:rPr>
          <w:rFonts w:eastAsia="Times New Roman" w:cstheme="minorBidi"/>
          <w:i/>
          <w:iCs/>
        </w:rPr>
        <w:t>Micrococcus luteus,</w:t>
      </w:r>
      <w:r w:rsidRPr="00B013ED">
        <w:rPr>
          <w:rFonts w:eastAsia="Times New Roman" w:cstheme="minorBidi"/>
        </w:rPr>
        <w:t xml:space="preserve"> </w:t>
      </w:r>
      <w:r w:rsidRPr="005A01BB">
        <w:rPr>
          <w:rFonts w:eastAsia="Times New Roman" w:cstheme="minorBidi"/>
          <w:i/>
          <w:iCs/>
        </w:rPr>
        <w:t xml:space="preserve">S. aureus, E. coli, P. aeruginosa, </w:t>
      </w:r>
      <w:r w:rsidRPr="005A01BB">
        <w:rPr>
          <w:rFonts w:eastAsia="Times New Roman" w:cstheme="minorBidi"/>
        </w:rPr>
        <w:t>C. albicans</w:t>
      </w:r>
      <w:r w:rsidRPr="005A01BB">
        <w:rPr>
          <w:rFonts w:eastAsia="Times New Roman" w:cstheme="minorBidi"/>
          <w:i/>
          <w:iCs/>
        </w:rPr>
        <w:t xml:space="preserve">, and Enterococcus faecalis </w:t>
      </w:r>
      <w:r w:rsidRPr="00B013ED">
        <w:rPr>
          <w:rFonts w:eastAsia="Times New Roman" w:cstheme="minorBidi"/>
        </w:rPr>
        <w:t xml:space="preserve">(Tanomaru-Filho </w:t>
      </w:r>
      <w:r w:rsidRPr="00B013ED">
        <w:rPr>
          <w:rFonts w:eastAsia="Times New Roman" w:cstheme="minorBidi"/>
          <w:i/>
          <w:iCs/>
        </w:rPr>
        <w:t>et al.,</w:t>
      </w:r>
      <w:r w:rsidRPr="00B013ED">
        <w:rPr>
          <w:rFonts w:eastAsia="Times New Roman" w:cstheme="minorBidi"/>
        </w:rPr>
        <w:t xml:space="preserve"> 2007). Al-Hezaimi </w:t>
      </w:r>
      <w:r w:rsidRPr="00B013ED">
        <w:rPr>
          <w:rFonts w:eastAsia="Times New Roman" w:cstheme="minorBidi"/>
          <w:i/>
          <w:iCs/>
        </w:rPr>
        <w:t>et al.,</w:t>
      </w:r>
      <w:r w:rsidRPr="00B013ED">
        <w:rPr>
          <w:rFonts w:eastAsia="Times New Roman" w:cstheme="minorBidi"/>
        </w:rPr>
        <w:t xml:space="preserve"> (2005) evaluated the antifungal effect of WMTA on C. albicans and revealed that the concentration of MTA </w:t>
      </w:r>
      <w:r>
        <w:rPr>
          <w:rFonts w:eastAsia="Times New Roman" w:cstheme="minorBidi"/>
        </w:rPr>
        <w:t>wa</w:t>
      </w:r>
      <w:r w:rsidRPr="00B013ED">
        <w:rPr>
          <w:rFonts w:eastAsia="Times New Roman" w:cstheme="minorBidi"/>
        </w:rPr>
        <w:t xml:space="preserve">s a significant factor in the antifungal effect of this material. </w:t>
      </w:r>
    </w:p>
    <w:p w:rsidR="00E26131" w:rsidRPr="00B013ED" w:rsidRDefault="00E26131" w:rsidP="00E26131">
      <w:pPr>
        <w:spacing w:line="480" w:lineRule="auto"/>
        <w:jc w:val="both"/>
        <w:rPr>
          <w:rFonts w:eastAsia="Times New Roman" w:cstheme="minorBidi"/>
        </w:rPr>
      </w:pPr>
      <w:r w:rsidRPr="00B013ED">
        <w:rPr>
          <w:rFonts w:eastAsia="Times New Roman" w:cstheme="minorBidi"/>
        </w:rPr>
        <w:t xml:space="preserve">Plates containing a WMTA concentration of less than 25 mg/mL showed no antifungal effect. In contrast, plates containing a concentration of 25 mg/mL showed antifungal activity at 1 and 24 hours, whereas a concentration of 50 mg/ mL of WMTA was effective against C. albicans during the whole study time. Another investigation compared the antifungal effect of GMTA and WMTA in different concentrations on </w:t>
      </w:r>
      <w:r w:rsidRPr="005A01BB">
        <w:rPr>
          <w:rFonts w:eastAsia="Times New Roman" w:cstheme="minorBidi"/>
        </w:rPr>
        <w:t>C. albicans</w:t>
      </w:r>
      <w:r w:rsidRPr="00B013ED">
        <w:rPr>
          <w:rFonts w:eastAsia="Times New Roman" w:cstheme="minorBidi"/>
        </w:rPr>
        <w:t xml:space="preserve"> (Al-Hezaimi </w:t>
      </w:r>
      <w:r w:rsidRPr="00B013ED">
        <w:rPr>
          <w:rFonts w:eastAsia="Times New Roman" w:cstheme="minorBidi"/>
          <w:i/>
          <w:iCs/>
        </w:rPr>
        <w:t>et al.,</w:t>
      </w:r>
      <w:r w:rsidRPr="00B013ED">
        <w:rPr>
          <w:rFonts w:eastAsia="Times New Roman" w:cstheme="minorBidi"/>
        </w:rPr>
        <w:t xml:space="preserve"> 2006). Results confirmed a previous study by the same authors for WMTA (Al-Hezaimi </w:t>
      </w:r>
      <w:r w:rsidRPr="00B013ED">
        <w:rPr>
          <w:rFonts w:eastAsia="Times New Roman" w:cstheme="minorBidi"/>
          <w:i/>
          <w:iCs/>
        </w:rPr>
        <w:t>et al.,</w:t>
      </w:r>
      <w:r w:rsidRPr="00B013ED">
        <w:rPr>
          <w:rFonts w:eastAsia="Times New Roman" w:cstheme="minorBidi"/>
        </w:rPr>
        <w:t xml:space="preserve"> 2005). However, GMTA in concentrations lower than 25 mg/mL was significantly more effective against C. albicans than WMTA (Al-Hezaimi </w:t>
      </w:r>
      <w:r w:rsidRPr="00B013ED">
        <w:rPr>
          <w:rFonts w:eastAsia="Times New Roman" w:cstheme="minorBidi"/>
          <w:i/>
          <w:iCs/>
        </w:rPr>
        <w:t>et al.,</w:t>
      </w:r>
      <w:r w:rsidRPr="00B013ED">
        <w:rPr>
          <w:rFonts w:eastAsia="Times New Roman" w:cstheme="minorBidi"/>
        </w:rPr>
        <w:t xml:space="preserve"> 2006). The results for WMTA and GMTA in concentrations of 25 mg/mL and 50 mg/mL were similar.</w:t>
      </w:r>
    </w:p>
    <w:p w:rsidR="00E26131" w:rsidRPr="00B013ED" w:rsidRDefault="00E26131" w:rsidP="00455C3E">
      <w:pPr>
        <w:spacing w:line="480" w:lineRule="auto"/>
        <w:jc w:val="both"/>
        <w:rPr>
          <w:rFonts w:eastAsia="Times New Roman" w:cstheme="minorBidi"/>
        </w:rPr>
      </w:pPr>
      <w:r w:rsidRPr="001D5D3A">
        <w:rPr>
          <w:rFonts w:eastAsia="Times New Roman" w:cstheme="minorBidi"/>
        </w:rPr>
        <w:lastRenderedPageBreak/>
        <w:t>Same as calcium hydroxide when we have high concentration or high pH we will have more efficiency as different types of bacteria have different resistances. Comparing</w:t>
      </w:r>
      <w:r w:rsidRPr="00B013ED">
        <w:rPr>
          <w:rFonts w:eastAsia="Times New Roman" w:cstheme="minorBidi"/>
        </w:rPr>
        <w:t xml:space="preserve"> the antibacterial effects of different concentrations of GMTA and WMTA against </w:t>
      </w:r>
      <w:r w:rsidRPr="005A01BB">
        <w:rPr>
          <w:rFonts w:eastAsia="Times New Roman" w:cstheme="minorBidi"/>
          <w:i/>
          <w:iCs/>
        </w:rPr>
        <w:t>E. faecalis</w:t>
      </w:r>
      <w:r w:rsidRPr="00B013ED">
        <w:rPr>
          <w:rFonts w:eastAsia="Times New Roman" w:cstheme="minorBidi"/>
        </w:rPr>
        <w:t xml:space="preserve"> and </w:t>
      </w:r>
      <w:r w:rsidRPr="005A01BB">
        <w:rPr>
          <w:rFonts w:eastAsia="Times New Roman" w:cstheme="minorBidi"/>
          <w:i/>
          <w:iCs/>
        </w:rPr>
        <w:t>S. sanguis</w:t>
      </w:r>
      <w:r w:rsidRPr="00B013ED">
        <w:rPr>
          <w:rFonts w:eastAsia="Times New Roman" w:cstheme="minorBidi"/>
        </w:rPr>
        <w:t xml:space="preserve"> show</w:t>
      </w:r>
      <w:r>
        <w:rPr>
          <w:rFonts w:eastAsia="Times New Roman" w:cstheme="minorBidi"/>
        </w:rPr>
        <w:t>ed</w:t>
      </w:r>
      <w:r w:rsidRPr="00B013ED">
        <w:rPr>
          <w:rFonts w:eastAsia="Times New Roman" w:cstheme="minorBidi"/>
        </w:rPr>
        <w:t xml:space="preserve"> </w:t>
      </w:r>
      <w:r w:rsidR="00DC0870">
        <w:rPr>
          <w:rFonts w:eastAsia="Times New Roman" w:cstheme="minorBidi"/>
        </w:rPr>
        <w:t xml:space="preserve">that </w:t>
      </w:r>
      <w:r w:rsidRPr="00B013ED">
        <w:rPr>
          <w:rFonts w:eastAsia="Times New Roman" w:cstheme="minorBidi"/>
        </w:rPr>
        <w:t xml:space="preserve">the former material </w:t>
      </w:r>
      <w:r w:rsidR="00455C3E" w:rsidRPr="00B013ED">
        <w:rPr>
          <w:rFonts w:eastAsia="Times New Roman" w:cstheme="minorBidi"/>
        </w:rPr>
        <w:t>requir</w:t>
      </w:r>
      <w:r w:rsidR="00455C3E">
        <w:rPr>
          <w:rFonts w:eastAsia="Times New Roman" w:cstheme="minorBidi"/>
        </w:rPr>
        <w:t>ed</w:t>
      </w:r>
      <w:r w:rsidR="00455C3E" w:rsidRPr="00B013ED">
        <w:rPr>
          <w:rFonts w:eastAsia="Times New Roman" w:cstheme="minorBidi"/>
        </w:rPr>
        <w:t xml:space="preserve"> </w:t>
      </w:r>
      <w:r w:rsidRPr="00B013ED">
        <w:rPr>
          <w:rFonts w:eastAsia="Times New Roman" w:cstheme="minorBidi"/>
        </w:rPr>
        <w:t xml:space="preserve">lower concentrations to produce the same antibacterial effects against each of the bacteria tested (Al-Hezaimi </w:t>
      </w:r>
      <w:r w:rsidRPr="00B013ED">
        <w:rPr>
          <w:rFonts w:eastAsia="Times New Roman" w:cstheme="minorBidi"/>
          <w:i/>
          <w:iCs/>
        </w:rPr>
        <w:t>et al.,</w:t>
      </w:r>
      <w:r w:rsidRPr="00B013ED">
        <w:rPr>
          <w:rFonts w:eastAsia="Times New Roman" w:cstheme="minorBidi"/>
        </w:rPr>
        <w:t xml:space="preserve"> 2006). Comparing both species of bacteria, </w:t>
      </w:r>
      <w:r w:rsidRPr="005A01BB">
        <w:rPr>
          <w:rFonts w:eastAsia="Times New Roman" w:cstheme="minorBidi"/>
          <w:i/>
          <w:iCs/>
        </w:rPr>
        <w:t>E. faecalis</w:t>
      </w:r>
      <w:r w:rsidRPr="00B013ED">
        <w:rPr>
          <w:rFonts w:eastAsia="Times New Roman" w:cstheme="minorBidi"/>
        </w:rPr>
        <w:t xml:space="preserve"> require</w:t>
      </w:r>
      <w:r>
        <w:rPr>
          <w:rFonts w:eastAsia="Times New Roman" w:cstheme="minorBidi"/>
        </w:rPr>
        <w:t>d</w:t>
      </w:r>
      <w:r w:rsidRPr="00B013ED">
        <w:rPr>
          <w:rFonts w:eastAsia="Times New Roman" w:cstheme="minorBidi"/>
        </w:rPr>
        <w:t xml:space="preserve"> a higher MTA concentration for growth inhibition. However, </w:t>
      </w:r>
      <w:r>
        <w:rPr>
          <w:rFonts w:eastAsia="Times New Roman" w:cstheme="minorBidi"/>
        </w:rPr>
        <w:t>c</w:t>
      </w:r>
      <w:r w:rsidRPr="00B013ED">
        <w:rPr>
          <w:rFonts w:eastAsia="Times New Roman" w:cstheme="minorBidi"/>
        </w:rPr>
        <w:t xml:space="preserve">onflicting results from antibacterial and antifungal investigations on MTA might be attributed to the various tested species of the microorganisms, the source of the preparing material (Torabinejad </w:t>
      </w:r>
      <w:r w:rsidRPr="00B013ED">
        <w:rPr>
          <w:rFonts w:eastAsia="Times New Roman" w:cstheme="minorBidi"/>
          <w:i/>
          <w:iCs/>
        </w:rPr>
        <w:t>et al.,</w:t>
      </w:r>
      <w:r w:rsidRPr="00B013ED">
        <w:rPr>
          <w:rFonts w:eastAsia="Times New Roman" w:cstheme="minorBidi"/>
        </w:rPr>
        <w:t xml:space="preserve"> 1995</w:t>
      </w:r>
      <w:r>
        <w:rPr>
          <w:rFonts w:eastAsia="Times New Roman" w:cstheme="minorBidi"/>
        </w:rPr>
        <w:t>;</w:t>
      </w:r>
      <w:r w:rsidRPr="00B013ED">
        <w:rPr>
          <w:rFonts w:eastAsia="Times New Roman" w:cstheme="minorBidi"/>
        </w:rPr>
        <w:t xml:space="preserve"> Estrela </w:t>
      </w:r>
      <w:r w:rsidRPr="00B013ED">
        <w:rPr>
          <w:rFonts w:eastAsia="Times New Roman" w:cstheme="minorBidi"/>
          <w:i/>
          <w:iCs/>
        </w:rPr>
        <w:t>et al.,</w:t>
      </w:r>
      <w:r w:rsidRPr="00B013ED">
        <w:rPr>
          <w:rFonts w:eastAsia="Times New Roman" w:cstheme="minorBidi"/>
        </w:rPr>
        <w:t xml:space="preserve"> 2000</w:t>
      </w:r>
      <w:r>
        <w:rPr>
          <w:rFonts w:eastAsia="Times New Roman" w:cstheme="minorBidi"/>
        </w:rPr>
        <w:t>;</w:t>
      </w:r>
      <w:r w:rsidRPr="00B013ED">
        <w:rPr>
          <w:rFonts w:eastAsia="Times New Roman" w:cstheme="minorBidi"/>
        </w:rPr>
        <w:t xml:space="preserve"> Stowe </w:t>
      </w:r>
      <w:r w:rsidRPr="00B013ED">
        <w:rPr>
          <w:rFonts w:eastAsia="Times New Roman" w:cstheme="minorBidi"/>
          <w:i/>
          <w:iCs/>
        </w:rPr>
        <w:t>et al.,</w:t>
      </w:r>
      <w:r w:rsidRPr="00B013ED">
        <w:rPr>
          <w:rFonts w:eastAsia="Times New Roman" w:cstheme="minorBidi"/>
        </w:rPr>
        <w:t xml:space="preserve"> 2004</w:t>
      </w:r>
      <w:r>
        <w:rPr>
          <w:rFonts w:eastAsia="Times New Roman" w:cstheme="minorBidi"/>
        </w:rPr>
        <w:t>;</w:t>
      </w:r>
      <w:r w:rsidRPr="00B013ED">
        <w:rPr>
          <w:rFonts w:eastAsia="Times New Roman" w:cstheme="minorBidi"/>
        </w:rPr>
        <w:t xml:space="preserve"> Holt </w:t>
      </w:r>
      <w:r w:rsidRPr="00B013ED">
        <w:rPr>
          <w:rFonts w:eastAsia="Times New Roman" w:cstheme="minorBidi"/>
          <w:i/>
          <w:iCs/>
        </w:rPr>
        <w:t>et al.,</w:t>
      </w:r>
      <w:r w:rsidRPr="00B013ED">
        <w:rPr>
          <w:rFonts w:eastAsia="Times New Roman" w:cstheme="minorBidi"/>
        </w:rPr>
        <w:t xml:space="preserve"> 2007</w:t>
      </w:r>
      <w:r>
        <w:rPr>
          <w:rFonts w:eastAsia="Times New Roman" w:cstheme="minorBidi"/>
        </w:rPr>
        <w:t>;</w:t>
      </w:r>
      <w:r w:rsidRPr="00B013ED">
        <w:rPr>
          <w:rFonts w:eastAsia="Times New Roman" w:cstheme="minorBidi"/>
        </w:rPr>
        <w:t xml:space="preserve"> Zhang </w:t>
      </w:r>
      <w:r w:rsidRPr="00B013ED">
        <w:rPr>
          <w:rFonts w:eastAsia="Times New Roman" w:cstheme="minorBidi"/>
          <w:i/>
          <w:iCs/>
        </w:rPr>
        <w:t>et al.,</w:t>
      </w:r>
      <w:r w:rsidRPr="00B013ED">
        <w:rPr>
          <w:rFonts w:eastAsia="Times New Roman" w:cstheme="minorBidi"/>
        </w:rPr>
        <w:t xml:space="preserve"> 2009), as well as the concentration and the type of MTA used in these studies (Al-Hezaimi </w:t>
      </w:r>
      <w:r w:rsidRPr="00B013ED">
        <w:rPr>
          <w:rFonts w:eastAsia="Times New Roman" w:cstheme="minorBidi"/>
          <w:i/>
          <w:iCs/>
        </w:rPr>
        <w:t>et al.,</w:t>
      </w:r>
      <w:r w:rsidRPr="00B013ED">
        <w:rPr>
          <w:rFonts w:eastAsia="Times New Roman" w:cstheme="minorBidi"/>
        </w:rPr>
        <w:t xml:space="preserve"> 2005</w:t>
      </w:r>
      <w:r>
        <w:rPr>
          <w:rFonts w:eastAsia="Times New Roman" w:cstheme="minorBidi"/>
        </w:rPr>
        <w:t>;</w:t>
      </w:r>
      <w:r w:rsidRPr="00B013ED">
        <w:rPr>
          <w:rFonts w:eastAsia="Times New Roman" w:cstheme="minorBidi"/>
        </w:rPr>
        <w:t xml:space="preserve"> Al-Hezaimi </w:t>
      </w:r>
      <w:r w:rsidRPr="00B013ED">
        <w:rPr>
          <w:rFonts w:eastAsia="Times New Roman" w:cstheme="minorBidi"/>
          <w:i/>
          <w:iCs/>
        </w:rPr>
        <w:t>et al.,</w:t>
      </w:r>
      <w:r w:rsidRPr="00B013ED">
        <w:rPr>
          <w:rFonts w:eastAsia="Times New Roman" w:cstheme="minorBidi"/>
        </w:rPr>
        <w:t xml:space="preserve"> 2006</w:t>
      </w:r>
      <w:r>
        <w:rPr>
          <w:rFonts w:eastAsia="Times New Roman" w:cstheme="minorBidi"/>
        </w:rPr>
        <w:t>;</w:t>
      </w:r>
      <w:r w:rsidRPr="00B013ED">
        <w:rPr>
          <w:rFonts w:eastAsia="Times New Roman" w:cstheme="minorBidi"/>
        </w:rPr>
        <w:t xml:space="preserve"> Al-Hezaimi </w:t>
      </w:r>
      <w:r w:rsidRPr="00B013ED">
        <w:rPr>
          <w:rFonts w:eastAsia="Times New Roman" w:cstheme="minorBidi"/>
          <w:i/>
          <w:iCs/>
        </w:rPr>
        <w:t>et al.,</w:t>
      </w:r>
      <w:r w:rsidRPr="00B013ED">
        <w:rPr>
          <w:rFonts w:eastAsia="Times New Roman" w:cstheme="minorBidi"/>
        </w:rPr>
        <w:t xml:space="preserve"> 2009). The literature shows that MTA ha</w:t>
      </w:r>
      <w:r>
        <w:rPr>
          <w:rFonts w:eastAsia="Times New Roman" w:cstheme="minorBidi"/>
        </w:rPr>
        <w:t>d</w:t>
      </w:r>
      <w:r w:rsidRPr="00B013ED">
        <w:rPr>
          <w:rFonts w:eastAsia="Times New Roman" w:cstheme="minorBidi"/>
        </w:rPr>
        <w:t xml:space="preserve"> an antibacterial and antifungal effect. Lowering the powder-to-liquid ratio might adversely affect the antibacterial and antifungal properties of MTA.</w:t>
      </w:r>
    </w:p>
    <w:p w:rsidR="00E17CD7" w:rsidRPr="00B013ED" w:rsidRDefault="00E17CD7" w:rsidP="002D37AF">
      <w:pPr>
        <w:pStyle w:val="Heading4"/>
        <w:spacing w:line="480" w:lineRule="auto"/>
      </w:pPr>
      <w:r w:rsidRPr="00B013ED">
        <w:t>Antibacterial Properties of MTA</w:t>
      </w:r>
    </w:p>
    <w:p w:rsidR="00E26131" w:rsidRPr="00B013ED" w:rsidRDefault="00E26131" w:rsidP="00E26131">
      <w:pPr>
        <w:spacing w:line="480" w:lineRule="auto"/>
        <w:jc w:val="both"/>
        <w:rPr>
          <w:rFonts w:eastAsia="Times New Roman" w:cstheme="minorBidi"/>
        </w:rPr>
      </w:pPr>
      <w:r w:rsidRPr="00B013ED">
        <w:rPr>
          <w:rFonts w:eastAsia="Times New Roman" w:cstheme="minorBidi"/>
        </w:rPr>
        <w:t>Some investigations replaced distilled water with other liquids to mix with MTA powder. In this study we found that MTA had an effective anti-microbial effect against all type</w:t>
      </w:r>
      <w:r>
        <w:rPr>
          <w:rFonts w:eastAsia="Times New Roman" w:cstheme="minorBidi"/>
        </w:rPr>
        <w:t>s</w:t>
      </w:r>
      <w:r w:rsidRPr="00B013ED">
        <w:rPr>
          <w:rFonts w:eastAsia="Times New Roman" w:cstheme="minorBidi"/>
        </w:rPr>
        <w:t xml:space="preserve"> of primary infection bacteria</w:t>
      </w:r>
      <w:r>
        <w:rPr>
          <w:rFonts w:eastAsia="Times New Roman" w:cstheme="minorBidi"/>
        </w:rPr>
        <w:t>, but</w:t>
      </w:r>
      <w:r w:rsidRPr="00B013ED">
        <w:rPr>
          <w:rFonts w:eastAsia="Times New Roman" w:cstheme="minorBidi"/>
        </w:rPr>
        <w:t xml:space="preserve"> was not effective against the secondary cause of infection </w:t>
      </w:r>
      <w:r>
        <w:rPr>
          <w:rFonts w:eastAsia="Times New Roman" w:cstheme="minorBidi"/>
        </w:rPr>
        <w:t>(</w:t>
      </w:r>
      <w:r w:rsidRPr="00B013ED">
        <w:rPr>
          <w:rFonts w:eastAsia="Times New Roman" w:cstheme="minorBidi"/>
          <w:i/>
          <w:iCs/>
        </w:rPr>
        <w:t>E</w:t>
      </w:r>
      <w:r>
        <w:rPr>
          <w:rFonts w:eastAsia="Times New Roman" w:cstheme="minorBidi"/>
          <w:i/>
          <w:iCs/>
        </w:rPr>
        <w:t>.</w:t>
      </w:r>
      <w:r w:rsidRPr="00B013ED">
        <w:rPr>
          <w:rFonts w:eastAsia="Times New Roman" w:cstheme="minorBidi"/>
          <w:i/>
          <w:iCs/>
        </w:rPr>
        <w:t xml:space="preserve"> faecalis</w:t>
      </w:r>
      <w:r>
        <w:rPr>
          <w:rFonts w:eastAsia="Times New Roman" w:cstheme="minorBidi"/>
          <w:i/>
          <w:iCs/>
        </w:rPr>
        <w:t>)</w:t>
      </w:r>
      <w:r w:rsidRPr="00B013ED">
        <w:rPr>
          <w:rFonts w:eastAsia="Times New Roman" w:cstheme="minorBidi"/>
          <w:i/>
          <w:iCs/>
        </w:rPr>
        <w:t xml:space="preserve">. </w:t>
      </w:r>
    </w:p>
    <w:p w:rsidR="00E26131" w:rsidRPr="00B013ED" w:rsidRDefault="00E26131" w:rsidP="00E26131">
      <w:pPr>
        <w:spacing w:line="480" w:lineRule="auto"/>
        <w:jc w:val="both"/>
        <w:rPr>
          <w:rFonts w:eastAsia="Times New Roman" w:cstheme="minorBidi"/>
        </w:rPr>
      </w:pPr>
      <w:r w:rsidRPr="00B013ED">
        <w:rPr>
          <w:rFonts w:eastAsia="Times New Roman" w:cstheme="minorBidi"/>
        </w:rPr>
        <w:t xml:space="preserve">An investigation evaluated the antibacterial and antifungal activities of mixtures of WMTA with 0.12% CHX and sterile water against </w:t>
      </w:r>
      <w:r w:rsidRPr="00B013ED">
        <w:rPr>
          <w:rFonts w:eastAsia="Times New Roman" w:cstheme="minorBidi"/>
          <w:i/>
          <w:iCs/>
        </w:rPr>
        <w:t xml:space="preserve">Actinomyces odontolyticus, Fusobacterium nucleatum, Streptococcus sanguis, E. faecalis, E. coli, S. aureus, P. aeruginosa, and C. albicans </w:t>
      </w:r>
      <w:r w:rsidRPr="00B013ED">
        <w:rPr>
          <w:rFonts w:eastAsia="Times New Roman" w:cstheme="minorBidi"/>
        </w:rPr>
        <w:t xml:space="preserve">(Stowe </w:t>
      </w:r>
      <w:r w:rsidRPr="005A01BB">
        <w:rPr>
          <w:rFonts w:eastAsia="Times New Roman" w:cstheme="minorBidi"/>
          <w:i/>
          <w:iCs/>
        </w:rPr>
        <w:t>et a</w:t>
      </w:r>
      <w:r>
        <w:rPr>
          <w:rFonts w:eastAsia="Times New Roman" w:cstheme="minorBidi"/>
          <w:i/>
          <w:iCs/>
        </w:rPr>
        <w:t>l.,</w:t>
      </w:r>
      <w:r w:rsidRPr="00B013ED">
        <w:rPr>
          <w:rFonts w:eastAsia="Times New Roman" w:cstheme="minorBidi"/>
        </w:rPr>
        <w:t xml:space="preserve"> 2004). </w:t>
      </w:r>
    </w:p>
    <w:p w:rsidR="00E26131" w:rsidRPr="00B013ED" w:rsidRDefault="00E26131" w:rsidP="00E26131">
      <w:pPr>
        <w:spacing w:line="480" w:lineRule="auto"/>
        <w:jc w:val="both"/>
        <w:rPr>
          <w:rFonts w:eastAsia="Times New Roman" w:cstheme="minorBidi"/>
        </w:rPr>
      </w:pPr>
      <w:r w:rsidRPr="00B013ED">
        <w:rPr>
          <w:rFonts w:eastAsia="Times New Roman" w:cstheme="minorBidi"/>
        </w:rPr>
        <w:lastRenderedPageBreak/>
        <w:t xml:space="preserve">Regardless of the type of mixing agent, all WMTA samples inhibit microbial growth. </w:t>
      </w:r>
    </w:p>
    <w:p w:rsidR="00E26131" w:rsidRPr="00B013ED" w:rsidRDefault="00E26131" w:rsidP="00E26131">
      <w:pPr>
        <w:spacing w:line="480" w:lineRule="auto"/>
        <w:jc w:val="both"/>
        <w:rPr>
          <w:rFonts w:eastAsia="Times New Roman" w:cstheme="minorBidi"/>
        </w:rPr>
      </w:pPr>
      <w:r w:rsidRPr="00B013ED">
        <w:rPr>
          <w:rFonts w:eastAsia="Times New Roman" w:cstheme="minorBidi"/>
        </w:rPr>
        <w:t xml:space="preserve">Another study mixed 2% CHX with MTA powders and reported a significant increase in the antibacterial effect of WMTA and GMTA against E. faecalis (Holt </w:t>
      </w:r>
      <w:r w:rsidRPr="00B013ED">
        <w:rPr>
          <w:rFonts w:eastAsia="Times New Roman" w:cstheme="minorBidi"/>
          <w:i/>
          <w:iCs/>
        </w:rPr>
        <w:t>et al</w:t>
      </w:r>
      <w:r w:rsidRPr="00B013ED">
        <w:rPr>
          <w:rFonts w:eastAsia="Times New Roman" w:cstheme="minorBidi"/>
        </w:rPr>
        <w:t>., 2007)</w:t>
      </w:r>
      <w:r>
        <w:rPr>
          <w:rFonts w:eastAsia="Times New Roman" w:cstheme="minorBidi"/>
        </w:rPr>
        <w:t>.</w:t>
      </w:r>
      <w:r w:rsidRPr="00B013ED">
        <w:rPr>
          <w:rFonts w:eastAsia="Times New Roman" w:cstheme="minorBidi"/>
        </w:rPr>
        <w:t xml:space="preserve"> WMTA can cause cell apoptosis</w:t>
      </w:r>
      <w:r w:rsidRPr="00B013ED">
        <w:t xml:space="preserve"> (</w:t>
      </w:r>
      <w:r w:rsidRPr="00B013ED">
        <w:rPr>
          <w:rFonts w:eastAsia="Times New Roman" w:cstheme="minorBidi"/>
        </w:rPr>
        <w:t xml:space="preserve">Hernandez </w:t>
      </w:r>
      <w:r w:rsidRPr="00B013ED">
        <w:rPr>
          <w:rFonts w:eastAsia="Times New Roman" w:cstheme="minorBidi"/>
          <w:i/>
          <w:iCs/>
        </w:rPr>
        <w:t>et al.,</w:t>
      </w:r>
      <w:r w:rsidRPr="00B013ED">
        <w:rPr>
          <w:rFonts w:eastAsia="Times New Roman" w:cstheme="minorBidi"/>
        </w:rPr>
        <w:t xml:space="preserve"> 2005). </w:t>
      </w:r>
    </w:p>
    <w:p w:rsidR="00E26131" w:rsidRPr="00B013ED" w:rsidRDefault="00E26131" w:rsidP="00455C3E">
      <w:pPr>
        <w:spacing w:line="480" w:lineRule="auto"/>
        <w:jc w:val="both"/>
        <w:rPr>
          <w:rFonts w:eastAsia="Times New Roman" w:cstheme="minorBidi"/>
        </w:rPr>
      </w:pPr>
      <w:r w:rsidRPr="00B013ED">
        <w:rPr>
          <w:rFonts w:eastAsia="Times New Roman" w:cstheme="minorBidi"/>
        </w:rPr>
        <w:t>These studies support the result</w:t>
      </w:r>
      <w:r w:rsidR="00455C3E">
        <w:rPr>
          <w:rFonts w:eastAsia="Times New Roman" w:cstheme="minorBidi"/>
        </w:rPr>
        <w:t>s</w:t>
      </w:r>
      <w:r w:rsidRPr="00B013ED">
        <w:rPr>
          <w:rFonts w:eastAsia="Times New Roman" w:cstheme="minorBidi"/>
        </w:rPr>
        <w:t xml:space="preserve"> of this experiment, however disagreed on the effect of </w:t>
      </w:r>
      <w:r w:rsidRPr="00B013ED">
        <w:rPr>
          <w:rFonts w:eastAsia="Times New Roman" w:cstheme="minorBidi"/>
          <w:i/>
          <w:iCs/>
        </w:rPr>
        <w:t>E faecalis</w:t>
      </w:r>
      <w:r w:rsidRPr="00B013ED">
        <w:rPr>
          <w:rFonts w:eastAsia="Times New Roman" w:cstheme="minorBidi"/>
        </w:rPr>
        <w:t xml:space="preserve">. </w:t>
      </w:r>
      <w:r>
        <w:rPr>
          <w:rFonts w:eastAsia="Times New Roman" w:cstheme="minorBidi"/>
        </w:rPr>
        <w:t>T</w:t>
      </w:r>
      <w:r w:rsidRPr="00B013ED">
        <w:rPr>
          <w:rFonts w:eastAsia="Times New Roman" w:cstheme="minorBidi"/>
        </w:rPr>
        <w:t xml:space="preserve">his study found that MTA had a superior effect to NSCH but less effect than all other antibiotics. In addition </w:t>
      </w:r>
      <w:r>
        <w:rPr>
          <w:rFonts w:eastAsia="Times New Roman" w:cstheme="minorBidi"/>
        </w:rPr>
        <w:t>this study observed</w:t>
      </w:r>
      <w:r w:rsidRPr="00B013ED">
        <w:rPr>
          <w:rFonts w:eastAsia="Times New Roman" w:cstheme="minorBidi"/>
        </w:rPr>
        <w:t xml:space="preserve"> that WMTA turn</w:t>
      </w:r>
      <w:r>
        <w:rPr>
          <w:rFonts w:eastAsia="Times New Roman" w:cstheme="minorBidi"/>
        </w:rPr>
        <w:t>ed a</w:t>
      </w:r>
      <w:r w:rsidRPr="00B013ED">
        <w:rPr>
          <w:rFonts w:eastAsia="Times New Roman" w:cstheme="minorBidi"/>
        </w:rPr>
        <w:t xml:space="preserve"> grey colour after it ha</w:t>
      </w:r>
      <w:r>
        <w:rPr>
          <w:rFonts w:eastAsia="Times New Roman" w:cstheme="minorBidi"/>
        </w:rPr>
        <w:t>d</w:t>
      </w:r>
      <w:r w:rsidRPr="00B013ED">
        <w:rPr>
          <w:rFonts w:eastAsia="Times New Roman" w:cstheme="minorBidi"/>
        </w:rPr>
        <w:t xml:space="preserve"> been incubated in an anaerobic cabinet. This fact explains </w:t>
      </w:r>
      <w:r>
        <w:rPr>
          <w:rFonts w:eastAsia="Times New Roman" w:cstheme="minorBidi"/>
        </w:rPr>
        <w:t>the clinical tooth discolouration seen after treatment with WMTA</w:t>
      </w:r>
      <w:r w:rsidRPr="00B013ED">
        <w:rPr>
          <w:rFonts w:eastAsia="Times New Roman" w:cstheme="minorBidi"/>
        </w:rPr>
        <w:t xml:space="preserve"> </w:t>
      </w:r>
      <w:r>
        <w:rPr>
          <w:rFonts w:eastAsia="Times New Roman" w:cstheme="minorBidi"/>
        </w:rPr>
        <w:t xml:space="preserve">a </w:t>
      </w:r>
      <w:r w:rsidRPr="00B013ED">
        <w:rPr>
          <w:rFonts w:eastAsia="Times New Roman" w:cstheme="minorBidi"/>
        </w:rPr>
        <w:t xml:space="preserve">few years </w:t>
      </w:r>
      <w:r>
        <w:rPr>
          <w:rFonts w:eastAsia="Times New Roman" w:cstheme="minorBidi"/>
        </w:rPr>
        <w:t>later.</w:t>
      </w:r>
    </w:p>
    <w:p w:rsidR="00E26131" w:rsidRPr="00B013ED" w:rsidRDefault="00E26131" w:rsidP="00E26131">
      <w:pPr>
        <w:spacing w:line="480" w:lineRule="auto"/>
        <w:jc w:val="both"/>
        <w:rPr>
          <w:rFonts w:eastAsia="Times New Roman" w:cstheme="minorBidi"/>
        </w:rPr>
      </w:pPr>
      <w:r w:rsidRPr="00B013ED">
        <w:rPr>
          <w:rFonts w:eastAsia="Times New Roman" w:cstheme="minorBidi"/>
        </w:rPr>
        <w:t>The WMTA</w:t>
      </w:r>
      <w:r>
        <w:rPr>
          <w:rFonts w:eastAsia="Times New Roman" w:cstheme="minorBidi"/>
        </w:rPr>
        <w:t xml:space="preserve"> alone</w:t>
      </w:r>
      <w:r w:rsidRPr="00B013ED">
        <w:rPr>
          <w:rFonts w:eastAsia="Times New Roman" w:cstheme="minorBidi"/>
        </w:rPr>
        <w:t xml:space="preserve"> does not change colour when incubated in </w:t>
      </w:r>
      <w:r>
        <w:rPr>
          <w:rFonts w:eastAsia="Times New Roman" w:cstheme="minorBidi"/>
        </w:rPr>
        <w:t xml:space="preserve">an </w:t>
      </w:r>
      <w:r w:rsidRPr="00B013ED">
        <w:rPr>
          <w:rFonts w:eastAsia="Times New Roman" w:cstheme="minorBidi"/>
        </w:rPr>
        <w:t>aerobic cabinet. The explanation for this phenomenon could be because MTA is a liquid absorb</w:t>
      </w:r>
      <w:r>
        <w:rPr>
          <w:rFonts w:eastAsia="Times New Roman" w:cstheme="minorBidi"/>
        </w:rPr>
        <w:t>ing</w:t>
      </w:r>
      <w:r w:rsidRPr="00B013ED">
        <w:rPr>
          <w:rFonts w:eastAsia="Times New Roman" w:cstheme="minorBidi"/>
        </w:rPr>
        <w:t xml:space="preserve"> mater</w:t>
      </w:r>
      <w:r>
        <w:rPr>
          <w:rFonts w:eastAsia="Times New Roman" w:cstheme="minorBidi"/>
        </w:rPr>
        <w:t xml:space="preserve">ial (hydrophilic). </w:t>
      </w:r>
      <w:r w:rsidRPr="00B013ED">
        <w:rPr>
          <w:rFonts w:eastAsia="Times New Roman" w:cstheme="minorBidi"/>
        </w:rPr>
        <w:t xml:space="preserve">According to </w:t>
      </w:r>
      <w:r>
        <w:rPr>
          <w:rFonts w:eastAsia="Times New Roman" w:cstheme="minorBidi"/>
        </w:rPr>
        <w:t xml:space="preserve">the </w:t>
      </w:r>
      <w:r w:rsidRPr="00B013ED">
        <w:rPr>
          <w:rFonts w:eastAsia="Times New Roman" w:cstheme="minorBidi"/>
        </w:rPr>
        <w:t>literature</w:t>
      </w:r>
      <w:r>
        <w:rPr>
          <w:rFonts w:ascii="AdvPS7C84" w:hAnsi="AdvPS7C84" w:cs="AdvPS7C84"/>
          <w:szCs w:val="24"/>
        </w:rPr>
        <w:t xml:space="preserve"> (Parirokh and</w:t>
      </w:r>
      <w:r w:rsidRPr="00256E23">
        <w:rPr>
          <w:rFonts w:ascii="AdvPS7C84" w:hAnsi="AdvPS7C84" w:cs="AdvPS7C84"/>
          <w:szCs w:val="24"/>
        </w:rPr>
        <w:t xml:space="preserve"> </w:t>
      </w:r>
      <w:r>
        <w:rPr>
          <w:rFonts w:ascii="AdvPS7C84" w:hAnsi="AdvPS7C84" w:cs="AdvPS7C84"/>
          <w:szCs w:val="24"/>
        </w:rPr>
        <w:t xml:space="preserve">Torabinejad, 2010) </w:t>
      </w:r>
      <w:r w:rsidRPr="00B013ED">
        <w:rPr>
          <w:rFonts w:eastAsia="Times New Roman" w:cstheme="minorBidi"/>
        </w:rPr>
        <w:t>the differen</w:t>
      </w:r>
      <w:r>
        <w:rPr>
          <w:rFonts w:eastAsia="Times New Roman" w:cstheme="minorBidi"/>
        </w:rPr>
        <w:t>ce</w:t>
      </w:r>
      <w:r w:rsidRPr="00B013ED">
        <w:rPr>
          <w:rFonts w:eastAsia="Times New Roman" w:cstheme="minorBidi"/>
        </w:rPr>
        <w:t xml:space="preserve"> between WMTA and GMTA a</w:t>
      </w:r>
      <w:r>
        <w:rPr>
          <w:rFonts w:eastAsia="Times New Roman" w:cstheme="minorBidi"/>
        </w:rPr>
        <w:t>re</w:t>
      </w:r>
      <w:r w:rsidRPr="00B013ED">
        <w:rPr>
          <w:rFonts w:eastAsia="Times New Roman" w:cstheme="minorBidi"/>
        </w:rPr>
        <w:t xml:space="preserve"> ferric ions, so we presume that the WMTA absorb</w:t>
      </w:r>
      <w:r>
        <w:rPr>
          <w:rFonts w:eastAsia="Times New Roman" w:cstheme="minorBidi"/>
        </w:rPr>
        <w:t>s</w:t>
      </w:r>
      <w:r w:rsidRPr="00B013ED">
        <w:rPr>
          <w:rFonts w:eastAsia="Times New Roman" w:cstheme="minorBidi"/>
        </w:rPr>
        <w:t xml:space="preserve"> the ferric ions from the ABC plates</w:t>
      </w:r>
      <w:r>
        <w:rPr>
          <w:rFonts w:eastAsia="Times New Roman" w:cstheme="minorBidi"/>
        </w:rPr>
        <w:t>. T</w:t>
      </w:r>
      <w:r w:rsidRPr="00B013ED">
        <w:rPr>
          <w:rFonts w:eastAsia="Times New Roman" w:cstheme="minorBidi"/>
        </w:rPr>
        <w:t>his reaction happened</w:t>
      </w:r>
      <w:r w:rsidRPr="00256E23">
        <w:rPr>
          <w:rFonts w:eastAsia="Times New Roman" w:cstheme="minorBidi"/>
        </w:rPr>
        <w:t xml:space="preserve"> </w:t>
      </w:r>
      <w:r w:rsidRPr="00B013ED">
        <w:rPr>
          <w:rFonts w:eastAsia="Times New Roman" w:cstheme="minorBidi"/>
        </w:rPr>
        <w:t>only in an aerobic environment</w:t>
      </w:r>
      <w:r>
        <w:rPr>
          <w:rFonts w:eastAsia="Times New Roman" w:cstheme="minorBidi"/>
        </w:rPr>
        <w:t>.</w:t>
      </w:r>
    </w:p>
    <w:p w:rsidR="005A01BB" w:rsidRDefault="005A01BB">
      <w:pPr>
        <w:rPr>
          <w:rFonts w:eastAsiaTheme="majorEastAsia"/>
          <w:b/>
          <w:bCs/>
          <w:sz w:val="28"/>
          <w:lang w:eastAsia="en-GB"/>
        </w:rPr>
      </w:pPr>
      <w:r>
        <w:rPr>
          <w:lang w:eastAsia="en-GB"/>
        </w:rPr>
        <w:br w:type="page"/>
      </w:r>
    </w:p>
    <w:p w:rsidR="00E17CD7" w:rsidRPr="00B013ED" w:rsidRDefault="00E17CD7" w:rsidP="002D37AF">
      <w:pPr>
        <w:pStyle w:val="Heading3"/>
        <w:spacing w:line="480" w:lineRule="auto"/>
      </w:pPr>
      <w:bookmarkStart w:id="619" w:name="_Toc370819303"/>
      <w:r w:rsidRPr="00B013ED">
        <w:rPr>
          <w:lang w:eastAsia="en-GB"/>
        </w:rPr>
        <w:lastRenderedPageBreak/>
        <w:t>Antibiotics</w:t>
      </w:r>
      <w:bookmarkEnd w:id="619"/>
    </w:p>
    <w:p w:rsidR="00E26131" w:rsidRPr="00B013ED" w:rsidRDefault="00E26131" w:rsidP="00455C3E">
      <w:pPr>
        <w:spacing w:line="480" w:lineRule="auto"/>
        <w:jc w:val="both"/>
        <w:rPr>
          <w:rFonts w:eastAsia="Times New Roman" w:cstheme="minorBidi"/>
        </w:rPr>
      </w:pPr>
      <w:r w:rsidRPr="00B013ED">
        <w:rPr>
          <w:rFonts w:eastAsia="Times New Roman" w:cstheme="minorBidi"/>
        </w:rPr>
        <w:t>Bacteria located inside dentinal tubules are protected from the effects of host defence cells and molecules, systemically administered antibiotics, and chemo</w:t>
      </w:r>
      <w:r>
        <w:rPr>
          <w:rFonts w:eastAsia="Times New Roman" w:cstheme="minorBidi"/>
        </w:rPr>
        <w:t>-</w:t>
      </w:r>
      <w:r w:rsidRPr="00B013ED">
        <w:rPr>
          <w:rFonts w:eastAsia="Times New Roman" w:cstheme="minorBidi"/>
        </w:rPr>
        <w:t xml:space="preserve">mechanical preparation. Therefore, treatment strategies that are directed toward the elimination of tubule infection are necessary and must include medicaments that penetrate dentinal tubules and kill bacteria. As discussed above NSCH and MTA </w:t>
      </w:r>
      <w:r>
        <w:rPr>
          <w:rFonts w:eastAsia="Times New Roman" w:cstheme="minorBidi"/>
        </w:rPr>
        <w:t xml:space="preserve">do </w:t>
      </w:r>
      <w:r w:rsidRPr="00B013ED">
        <w:rPr>
          <w:rFonts w:eastAsia="Times New Roman" w:cstheme="minorBidi"/>
        </w:rPr>
        <w:t xml:space="preserve">not comply with our endodontic aim of treatment. The necessity of new treatment is needed </w:t>
      </w:r>
      <w:r>
        <w:rPr>
          <w:rFonts w:eastAsia="Times New Roman" w:cstheme="minorBidi"/>
        </w:rPr>
        <w:t>e</w:t>
      </w:r>
      <w:r w:rsidRPr="00B013ED">
        <w:rPr>
          <w:rFonts w:eastAsia="Times New Roman" w:cstheme="minorBidi"/>
        </w:rPr>
        <w:t xml:space="preserve">specially now with a new treatment of immature teeth with </w:t>
      </w:r>
      <w:r>
        <w:rPr>
          <w:rFonts w:eastAsia="Times New Roman" w:cstheme="minorBidi"/>
        </w:rPr>
        <w:t xml:space="preserve">the </w:t>
      </w:r>
      <w:r w:rsidRPr="00B013ED">
        <w:rPr>
          <w:rFonts w:eastAsia="Times New Roman" w:cstheme="minorBidi"/>
        </w:rPr>
        <w:t xml:space="preserve">regenerative endodontic technique. The uses of antibiotics in the root canal are not new but </w:t>
      </w:r>
      <w:r w:rsidR="00455C3E">
        <w:rPr>
          <w:rFonts w:eastAsia="Times New Roman" w:cstheme="minorBidi"/>
        </w:rPr>
        <w:t>they</w:t>
      </w:r>
      <w:r w:rsidR="00455C3E" w:rsidRPr="00B013ED">
        <w:rPr>
          <w:rFonts w:eastAsia="Times New Roman" w:cstheme="minorBidi"/>
        </w:rPr>
        <w:t xml:space="preserve"> </w:t>
      </w:r>
      <w:r w:rsidRPr="00B013ED">
        <w:rPr>
          <w:rFonts w:eastAsia="Times New Roman" w:cstheme="minorBidi"/>
        </w:rPr>
        <w:t>ha</w:t>
      </w:r>
      <w:r>
        <w:rPr>
          <w:rFonts w:eastAsia="Times New Roman" w:cstheme="minorBidi"/>
        </w:rPr>
        <w:t>d</w:t>
      </w:r>
      <w:r w:rsidRPr="00B013ED">
        <w:rPr>
          <w:rFonts w:eastAsia="Times New Roman" w:cstheme="minorBidi"/>
        </w:rPr>
        <w:t xml:space="preserve"> stopped because of antibiotic toxicity. However</w:t>
      </w:r>
      <w:r>
        <w:rPr>
          <w:rFonts w:eastAsia="Times New Roman" w:cstheme="minorBidi"/>
        </w:rPr>
        <w:t>,</w:t>
      </w:r>
      <w:r w:rsidRPr="00B013ED">
        <w:rPr>
          <w:rFonts w:eastAsia="Times New Roman" w:cstheme="minorBidi"/>
        </w:rPr>
        <w:t xml:space="preserve"> now we understand antibiotic</w:t>
      </w:r>
      <w:r w:rsidR="00455C3E">
        <w:rPr>
          <w:rFonts w:eastAsia="Times New Roman" w:cstheme="minorBidi"/>
        </w:rPr>
        <w:t xml:space="preserve"> action </w:t>
      </w:r>
      <w:proofErr w:type="gramStart"/>
      <w:r w:rsidR="00455C3E">
        <w:rPr>
          <w:rFonts w:eastAsia="Times New Roman" w:cstheme="minorBidi"/>
        </w:rPr>
        <w:t xml:space="preserve">better </w:t>
      </w:r>
      <w:r w:rsidRPr="00B013ED">
        <w:rPr>
          <w:rFonts w:eastAsia="Times New Roman" w:cstheme="minorBidi"/>
        </w:rPr>
        <w:t xml:space="preserve"> and</w:t>
      </w:r>
      <w:proofErr w:type="gramEnd"/>
      <w:r w:rsidRPr="00B013ED">
        <w:rPr>
          <w:rFonts w:eastAsia="Times New Roman" w:cstheme="minorBidi"/>
        </w:rPr>
        <w:t xml:space="preserve"> also know that </w:t>
      </w:r>
      <w:r>
        <w:rPr>
          <w:rFonts w:eastAsia="Times New Roman" w:cstheme="minorBidi"/>
        </w:rPr>
        <w:t xml:space="preserve">the </w:t>
      </w:r>
      <w:r w:rsidRPr="00B013ED">
        <w:rPr>
          <w:rFonts w:eastAsia="Times New Roman" w:cstheme="minorBidi"/>
        </w:rPr>
        <w:t>tooth has a small closed blood circle which will reduce any risk of adverse reaction of the drugs. The other reason for stopping</w:t>
      </w:r>
      <w:r>
        <w:rPr>
          <w:rFonts w:eastAsia="Times New Roman" w:cstheme="minorBidi"/>
        </w:rPr>
        <w:t xml:space="preserve"> the </w:t>
      </w:r>
      <w:r w:rsidRPr="00B013ED">
        <w:rPr>
          <w:rFonts w:eastAsia="Times New Roman" w:cstheme="minorBidi"/>
        </w:rPr>
        <w:t xml:space="preserve">use of antibiotics </w:t>
      </w:r>
      <w:r>
        <w:rPr>
          <w:rFonts w:eastAsia="Times New Roman" w:cstheme="minorBidi"/>
        </w:rPr>
        <w:t xml:space="preserve">was that </w:t>
      </w:r>
      <w:r w:rsidRPr="00B013ED">
        <w:rPr>
          <w:rFonts w:eastAsia="Times New Roman" w:cstheme="minorBidi"/>
        </w:rPr>
        <w:t>single antibiotic</w:t>
      </w:r>
      <w:r>
        <w:rPr>
          <w:rFonts w:eastAsia="Times New Roman" w:cstheme="minorBidi"/>
        </w:rPr>
        <w:t xml:space="preserve"> use</w:t>
      </w:r>
      <w:r w:rsidRPr="00B013ED">
        <w:rPr>
          <w:rFonts w:eastAsia="Times New Roman" w:cstheme="minorBidi"/>
        </w:rPr>
        <w:t xml:space="preserve"> was not effective but now </w:t>
      </w:r>
      <w:r>
        <w:rPr>
          <w:rFonts w:eastAsia="Times New Roman" w:cstheme="minorBidi"/>
        </w:rPr>
        <w:t>there is</w:t>
      </w:r>
      <w:r w:rsidRPr="00B013ED">
        <w:rPr>
          <w:rFonts w:eastAsia="Times New Roman" w:cstheme="minorBidi"/>
        </w:rPr>
        <w:t xml:space="preserve"> better knowledge of microflora and the causes of periapical lesion</w:t>
      </w:r>
      <w:r>
        <w:rPr>
          <w:rFonts w:eastAsia="Times New Roman" w:cstheme="minorBidi"/>
        </w:rPr>
        <w:t>s</w:t>
      </w:r>
      <w:r w:rsidRPr="00B013ED">
        <w:rPr>
          <w:rFonts w:eastAsia="Times New Roman" w:cstheme="minorBidi"/>
        </w:rPr>
        <w:t>.</w:t>
      </w:r>
      <w:r w:rsidRPr="00B013ED">
        <w:t xml:space="preserve"> </w:t>
      </w:r>
      <w:r w:rsidRPr="00B013ED">
        <w:rPr>
          <w:rFonts w:eastAsia="Times New Roman" w:cstheme="minorBidi"/>
        </w:rPr>
        <w:t xml:space="preserve">The other concept </w:t>
      </w:r>
      <w:r>
        <w:rPr>
          <w:rFonts w:eastAsia="Times New Roman" w:cstheme="minorBidi"/>
        </w:rPr>
        <w:t xml:space="preserve">is </w:t>
      </w:r>
      <w:r w:rsidRPr="00B013ED">
        <w:rPr>
          <w:rFonts w:eastAsia="Times New Roman" w:cstheme="minorBidi"/>
        </w:rPr>
        <w:t>that</w:t>
      </w:r>
      <w:r>
        <w:rPr>
          <w:rFonts w:eastAsia="Times New Roman" w:cstheme="minorBidi"/>
        </w:rPr>
        <w:t xml:space="preserve"> some</w:t>
      </w:r>
      <w:r w:rsidRPr="00B013ED">
        <w:rPr>
          <w:rFonts w:eastAsia="Times New Roman" w:cstheme="minorBidi"/>
        </w:rPr>
        <w:t xml:space="preserve"> </w:t>
      </w:r>
      <w:r>
        <w:rPr>
          <w:rFonts w:eastAsia="Times New Roman" w:cstheme="minorBidi"/>
        </w:rPr>
        <w:t>believe</w:t>
      </w:r>
      <w:r w:rsidRPr="00B013ED">
        <w:rPr>
          <w:rFonts w:eastAsia="Times New Roman" w:cstheme="minorBidi"/>
        </w:rPr>
        <w:t xml:space="preserve"> we should not use any chemical irritant to disinfect the </w:t>
      </w:r>
      <w:r>
        <w:rPr>
          <w:rFonts w:eastAsia="Times New Roman" w:cstheme="minorBidi"/>
        </w:rPr>
        <w:t xml:space="preserve">root </w:t>
      </w:r>
      <w:r w:rsidRPr="00B013ED">
        <w:rPr>
          <w:rFonts w:eastAsia="Times New Roman" w:cstheme="minorBidi"/>
        </w:rPr>
        <w:t>canal.</w:t>
      </w:r>
    </w:p>
    <w:p w:rsidR="00E26131" w:rsidRPr="00B013ED" w:rsidRDefault="00E26131" w:rsidP="00E26131">
      <w:pPr>
        <w:spacing w:line="480" w:lineRule="auto"/>
        <w:jc w:val="both"/>
        <w:rPr>
          <w:rFonts w:eastAsia="Times New Roman" w:cstheme="minorBidi"/>
        </w:rPr>
      </w:pPr>
      <w:r>
        <w:rPr>
          <w:rFonts w:eastAsia="Times New Roman" w:cstheme="minorBidi"/>
        </w:rPr>
        <w:t>P</w:t>
      </w:r>
      <w:r w:rsidRPr="00B013ED">
        <w:rPr>
          <w:rFonts w:eastAsia="Times New Roman" w:cstheme="minorBidi"/>
        </w:rPr>
        <w:t>oly</w:t>
      </w:r>
      <w:r>
        <w:rPr>
          <w:rFonts w:eastAsia="Times New Roman" w:cstheme="minorBidi"/>
        </w:rPr>
        <w:t>-</w:t>
      </w:r>
      <w:r w:rsidRPr="00B013ED">
        <w:rPr>
          <w:rFonts w:eastAsia="Times New Roman" w:cstheme="minorBidi"/>
        </w:rPr>
        <w:t>antibiotics w</w:t>
      </w:r>
      <w:r>
        <w:rPr>
          <w:rFonts w:eastAsia="Times New Roman" w:cstheme="minorBidi"/>
        </w:rPr>
        <w:t>ere</w:t>
      </w:r>
      <w:r w:rsidRPr="00B013ED">
        <w:rPr>
          <w:rFonts w:eastAsia="Times New Roman" w:cstheme="minorBidi"/>
        </w:rPr>
        <w:t xml:space="preserve"> introduced by </w:t>
      </w:r>
      <w:proofErr w:type="gramStart"/>
      <w:r>
        <w:rPr>
          <w:rFonts w:eastAsia="Times New Roman" w:cstheme="minorBidi"/>
        </w:rPr>
        <w:t>W</w:t>
      </w:r>
      <w:r w:rsidRPr="00B013ED">
        <w:rPr>
          <w:rFonts w:eastAsia="Times New Roman" w:cstheme="minorBidi"/>
        </w:rPr>
        <w:t>inter</w:t>
      </w:r>
      <w:proofErr w:type="gramEnd"/>
      <w:r w:rsidRPr="00B013ED">
        <w:rPr>
          <w:rFonts w:eastAsia="Times New Roman" w:cstheme="minorBidi"/>
        </w:rPr>
        <w:t xml:space="preserve"> </w:t>
      </w:r>
      <w:r>
        <w:rPr>
          <w:rFonts w:eastAsia="Times New Roman" w:cstheme="minorBidi"/>
        </w:rPr>
        <w:t>(</w:t>
      </w:r>
      <w:r w:rsidRPr="00B013ED">
        <w:rPr>
          <w:rFonts w:eastAsia="Times New Roman" w:cstheme="minorBidi"/>
        </w:rPr>
        <w:t>1966</w:t>
      </w:r>
      <w:r>
        <w:rPr>
          <w:rFonts w:eastAsia="Times New Roman" w:cstheme="minorBidi"/>
        </w:rPr>
        <w:t>)</w:t>
      </w:r>
      <w:r w:rsidRPr="00B013ED">
        <w:rPr>
          <w:rFonts w:eastAsia="Times New Roman" w:cstheme="minorBidi"/>
        </w:rPr>
        <w:t xml:space="preserve"> </w:t>
      </w:r>
      <w:r>
        <w:rPr>
          <w:rFonts w:eastAsia="Times New Roman" w:cstheme="minorBidi"/>
        </w:rPr>
        <w:t xml:space="preserve">and shown to </w:t>
      </w:r>
      <w:r w:rsidR="00455C3E">
        <w:rPr>
          <w:rFonts w:eastAsia="Times New Roman" w:cstheme="minorBidi"/>
        </w:rPr>
        <w:t xml:space="preserve">have </w:t>
      </w:r>
      <w:r w:rsidR="00455C3E" w:rsidRPr="00B013ED">
        <w:rPr>
          <w:rFonts w:eastAsia="Times New Roman" w:cstheme="minorBidi"/>
        </w:rPr>
        <w:t>very</w:t>
      </w:r>
      <w:r w:rsidRPr="00B013ED">
        <w:rPr>
          <w:rFonts w:eastAsia="Times New Roman" w:cstheme="minorBidi"/>
        </w:rPr>
        <w:t xml:space="preserve"> good results. </w:t>
      </w:r>
    </w:p>
    <w:p w:rsidR="00E26131" w:rsidRPr="00B013ED" w:rsidRDefault="00E26131" w:rsidP="00455C3E">
      <w:pPr>
        <w:spacing w:line="480" w:lineRule="auto"/>
        <w:jc w:val="both"/>
        <w:rPr>
          <w:rFonts w:eastAsia="Times New Roman"/>
          <w:lang w:eastAsia="en-GB"/>
        </w:rPr>
      </w:pPr>
      <w:r w:rsidRPr="00B013ED">
        <w:rPr>
          <w:rFonts w:eastAsia="Times New Roman"/>
          <w:lang w:eastAsia="en-GB"/>
        </w:rPr>
        <w:t xml:space="preserve">This study used individual antibiotics (single) and a combination that was mentioned in the literature by (Hoshino </w:t>
      </w:r>
      <w:r w:rsidRPr="00B013ED">
        <w:rPr>
          <w:rFonts w:eastAsia="Times New Roman"/>
          <w:i/>
          <w:iCs/>
          <w:lang w:eastAsia="en-GB"/>
        </w:rPr>
        <w:t>et al.,</w:t>
      </w:r>
      <w:r w:rsidRPr="00B013ED">
        <w:rPr>
          <w:rFonts w:eastAsia="Times New Roman"/>
          <w:lang w:eastAsia="en-GB"/>
        </w:rPr>
        <w:t xml:space="preserve"> 1996). This study concluded that all antibiotics </w:t>
      </w:r>
      <w:r>
        <w:rPr>
          <w:rFonts w:eastAsia="Times New Roman"/>
          <w:lang w:eastAsia="en-GB"/>
        </w:rPr>
        <w:t>we</w:t>
      </w:r>
      <w:r w:rsidRPr="00B013ED">
        <w:rPr>
          <w:rFonts w:eastAsia="Times New Roman"/>
          <w:lang w:eastAsia="en-GB"/>
        </w:rPr>
        <w:t>re very effective against all type</w:t>
      </w:r>
      <w:r>
        <w:rPr>
          <w:rFonts w:eastAsia="Times New Roman"/>
          <w:lang w:eastAsia="en-GB"/>
        </w:rPr>
        <w:t>s</w:t>
      </w:r>
      <w:r w:rsidRPr="00B013ED">
        <w:rPr>
          <w:rFonts w:eastAsia="Times New Roman"/>
          <w:lang w:eastAsia="en-GB"/>
        </w:rPr>
        <w:t xml:space="preserve"> of primary infectio</w:t>
      </w:r>
      <w:r>
        <w:rPr>
          <w:rFonts w:eastAsia="Times New Roman"/>
          <w:lang w:eastAsia="en-GB"/>
        </w:rPr>
        <w:t>n</w:t>
      </w:r>
      <w:r w:rsidRPr="00B013ED">
        <w:rPr>
          <w:rFonts w:eastAsia="Times New Roman"/>
          <w:lang w:eastAsia="en-GB"/>
        </w:rPr>
        <w:t xml:space="preserve">s bacteria used in this study except </w:t>
      </w:r>
      <w:r>
        <w:rPr>
          <w:rFonts w:eastAsia="Times New Roman"/>
          <w:lang w:eastAsia="en-GB"/>
        </w:rPr>
        <w:t>for m</w:t>
      </w:r>
      <w:r w:rsidRPr="00B013ED">
        <w:rPr>
          <w:rFonts w:eastAsia="Times New Roman"/>
          <w:lang w:eastAsia="en-GB"/>
        </w:rPr>
        <w:t xml:space="preserve">etronidazole which had no effect on </w:t>
      </w:r>
      <w:r w:rsidRPr="00B013ED">
        <w:rPr>
          <w:rFonts w:eastAsia="Times New Roman"/>
          <w:i/>
          <w:iCs/>
          <w:lang w:eastAsia="en-GB"/>
        </w:rPr>
        <w:t>E. faecalis</w:t>
      </w:r>
      <w:r w:rsidRPr="00B013ED">
        <w:rPr>
          <w:rFonts w:eastAsia="Times New Roman"/>
          <w:lang w:eastAsia="en-GB"/>
        </w:rPr>
        <w:t>. This effect of antibiotics vari</w:t>
      </w:r>
      <w:r>
        <w:rPr>
          <w:rFonts w:eastAsia="Times New Roman"/>
          <w:lang w:eastAsia="en-GB"/>
        </w:rPr>
        <w:t>ed</w:t>
      </w:r>
      <w:r w:rsidRPr="00B013ED">
        <w:rPr>
          <w:rFonts w:eastAsia="Times New Roman"/>
          <w:lang w:eastAsia="en-GB"/>
        </w:rPr>
        <w:t xml:space="preserve"> between bacteri</w:t>
      </w:r>
      <w:r>
        <w:rPr>
          <w:rFonts w:eastAsia="Times New Roman"/>
          <w:lang w:eastAsia="en-GB"/>
        </w:rPr>
        <w:t>a</w:t>
      </w:r>
      <w:r w:rsidRPr="00B013ED">
        <w:rPr>
          <w:rFonts w:eastAsia="Times New Roman"/>
          <w:lang w:eastAsia="en-GB"/>
        </w:rPr>
        <w:t xml:space="preserve"> but that was not statistically </w:t>
      </w:r>
      <w:r>
        <w:rPr>
          <w:rFonts w:eastAsia="Times New Roman"/>
          <w:lang w:eastAsia="en-GB"/>
        </w:rPr>
        <w:t>significant</w:t>
      </w:r>
      <w:r w:rsidRPr="00B013ED">
        <w:rPr>
          <w:rFonts w:eastAsia="Times New Roman"/>
          <w:lang w:eastAsia="en-GB"/>
        </w:rPr>
        <w:t xml:space="preserve">. Also this study found that </w:t>
      </w:r>
      <w:r w:rsidR="00455C3E" w:rsidRPr="00455C3E">
        <w:rPr>
          <w:rFonts w:eastAsia="Times New Roman"/>
          <w:lang w:eastAsia="en-GB"/>
        </w:rPr>
        <w:t>Ciprofloxacin</w:t>
      </w:r>
      <w:r w:rsidRPr="00B013ED">
        <w:rPr>
          <w:rFonts w:eastAsia="Times New Roman"/>
          <w:lang w:eastAsia="en-GB"/>
        </w:rPr>
        <w:t xml:space="preserve"> and </w:t>
      </w:r>
      <w:r w:rsidRPr="00B013ED">
        <w:rPr>
          <w:rFonts w:eastAsia="Times New Roman"/>
          <w:lang w:eastAsia="en-GB"/>
        </w:rPr>
        <w:lastRenderedPageBreak/>
        <w:t>minocycline in combination ha</w:t>
      </w:r>
      <w:r>
        <w:rPr>
          <w:rFonts w:eastAsia="Times New Roman"/>
          <w:lang w:eastAsia="en-GB"/>
        </w:rPr>
        <w:t>d</w:t>
      </w:r>
      <w:r w:rsidRPr="00B013ED">
        <w:rPr>
          <w:rFonts w:eastAsia="Times New Roman"/>
          <w:lang w:eastAsia="en-GB"/>
        </w:rPr>
        <w:t xml:space="preserve"> an inhibitor</w:t>
      </w:r>
      <w:r>
        <w:rPr>
          <w:rFonts w:eastAsia="Times New Roman"/>
          <w:lang w:eastAsia="en-GB"/>
        </w:rPr>
        <w:t>y</w:t>
      </w:r>
      <w:r w:rsidRPr="00B013ED">
        <w:rPr>
          <w:rFonts w:eastAsia="Times New Roman"/>
          <w:lang w:eastAsia="en-GB"/>
        </w:rPr>
        <w:t xml:space="preserve"> effect on all bacteria used in this study although there was no effect of metronidazole </w:t>
      </w:r>
      <w:r>
        <w:rPr>
          <w:rFonts w:eastAsia="Times New Roman"/>
          <w:lang w:eastAsia="en-GB"/>
        </w:rPr>
        <w:t xml:space="preserve">on </w:t>
      </w:r>
      <w:r w:rsidRPr="00B013ED">
        <w:rPr>
          <w:rFonts w:eastAsia="Times New Roman"/>
          <w:i/>
          <w:iCs/>
          <w:lang w:eastAsia="en-GB"/>
        </w:rPr>
        <w:t xml:space="preserve">E faecalis </w:t>
      </w:r>
      <w:r w:rsidRPr="00B013ED">
        <w:rPr>
          <w:rFonts w:eastAsia="Times New Roman"/>
          <w:lang w:eastAsia="en-GB"/>
        </w:rPr>
        <w:t>when used individually. The mixture of antibiotics show</w:t>
      </w:r>
      <w:r>
        <w:rPr>
          <w:rFonts w:eastAsia="Times New Roman"/>
          <w:lang w:eastAsia="en-GB"/>
        </w:rPr>
        <w:t>ed</w:t>
      </w:r>
      <w:r w:rsidRPr="00B013ED">
        <w:rPr>
          <w:rFonts w:eastAsia="Times New Roman"/>
          <w:lang w:eastAsia="en-GB"/>
        </w:rPr>
        <w:t xml:space="preserve"> superior effect</w:t>
      </w:r>
      <w:r>
        <w:rPr>
          <w:rFonts w:eastAsia="Times New Roman"/>
          <w:lang w:eastAsia="en-GB"/>
        </w:rPr>
        <w:t>s</w:t>
      </w:r>
      <w:r w:rsidRPr="00B013ED">
        <w:rPr>
          <w:rFonts w:eastAsia="Times New Roman"/>
          <w:lang w:eastAsia="en-GB"/>
        </w:rPr>
        <w:t xml:space="preserve"> </w:t>
      </w:r>
      <w:r w:rsidR="00455C3E">
        <w:rPr>
          <w:rFonts w:eastAsia="Times New Roman"/>
          <w:lang w:eastAsia="en-GB"/>
        </w:rPr>
        <w:t>compared to</w:t>
      </w:r>
      <w:r w:rsidR="00455C3E" w:rsidRPr="00B013ED">
        <w:rPr>
          <w:rFonts w:eastAsia="Times New Roman"/>
          <w:lang w:eastAsia="en-GB"/>
        </w:rPr>
        <w:t xml:space="preserve"> </w:t>
      </w:r>
      <w:r w:rsidRPr="00B013ED">
        <w:rPr>
          <w:rFonts w:eastAsia="Times New Roman"/>
          <w:lang w:eastAsia="en-GB"/>
        </w:rPr>
        <w:t xml:space="preserve">when </w:t>
      </w:r>
      <w:r>
        <w:rPr>
          <w:rFonts w:eastAsia="Times New Roman"/>
          <w:lang w:eastAsia="en-GB"/>
        </w:rPr>
        <w:t>they were</w:t>
      </w:r>
      <w:r w:rsidRPr="00B013ED">
        <w:rPr>
          <w:rFonts w:eastAsia="Times New Roman"/>
          <w:lang w:eastAsia="en-GB"/>
        </w:rPr>
        <w:t xml:space="preserve"> used individually</w:t>
      </w:r>
      <w:r w:rsidR="00455C3E">
        <w:rPr>
          <w:rFonts w:eastAsia="Times New Roman"/>
          <w:lang w:eastAsia="en-GB"/>
        </w:rPr>
        <w:t>,</w:t>
      </w:r>
      <w:r w:rsidRPr="00B013ED">
        <w:rPr>
          <w:rFonts w:eastAsia="Times New Roman"/>
          <w:lang w:eastAsia="en-GB"/>
        </w:rPr>
        <w:t xml:space="preserve"> but </w:t>
      </w:r>
      <w:r>
        <w:rPr>
          <w:rFonts w:eastAsia="Times New Roman"/>
          <w:lang w:eastAsia="en-GB"/>
        </w:rPr>
        <w:t xml:space="preserve">this </w:t>
      </w:r>
      <w:r w:rsidRPr="00B013ED">
        <w:rPr>
          <w:rFonts w:eastAsia="Times New Roman"/>
          <w:lang w:eastAsia="en-GB"/>
        </w:rPr>
        <w:t xml:space="preserve">was not statistically significant. </w:t>
      </w:r>
    </w:p>
    <w:p w:rsidR="00E26131" w:rsidRPr="00B013ED" w:rsidRDefault="00E26131" w:rsidP="00E26131">
      <w:pPr>
        <w:spacing w:line="480" w:lineRule="auto"/>
        <w:jc w:val="both"/>
        <w:rPr>
          <w:rFonts w:eastAsia="Times New Roman"/>
          <w:lang w:eastAsia="en-GB"/>
        </w:rPr>
      </w:pPr>
      <w:r w:rsidRPr="00B013ED">
        <w:rPr>
          <w:rFonts w:eastAsia="Times New Roman"/>
          <w:lang w:eastAsia="en-GB"/>
        </w:rPr>
        <w:t xml:space="preserve">The reasons </w:t>
      </w:r>
      <w:r>
        <w:rPr>
          <w:rFonts w:eastAsia="Times New Roman"/>
          <w:lang w:eastAsia="en-GB"/>
        </w:rPr>
        <w:t>for</w:t>
      </w:r>
      <w:r w:rsidRPr="00B013ED">
        <w:rPr>
          <w:rFonts w:eastAsia="Times New Roman"/>
          <w:lang w:eastAsia="en-GB"/>
        </w:rPr>
        <w:t xml:space="preserve"> try</w:t>
      </w:r>
      <w:r>
        <w:rPr>
          <w:rFonts w:eastAsia="Times New Roman"/>
          <w:lang w:eastAsia="en-GB"/>
        </w:rPr>
        <w:t>ing</w:t>
      </w:r>
      <w:r w:rsidRPr="00B013ED">
        <w:rPr>
          <w:rFonts w:eastAsia="Times New Roman"/>
          <w:lang w:eastAsia="en-GB"/>
        </w:rPr>
        <w:t xml:space="preserve"> to use two antibiotics were </w:t>
      </w:r>
      <w:r>
        <w:rPr>
          <w:rFonts w:eastAsia="Times New Roman"/>
          <w:lang w:eastAsia="en-GB"/>
        </w:rPr>
        <w:t>that m</w:t>
      </w:r>
      <w:r w:rsidRPr="00B013ED">
        <w:rPr>
          <w:rFonts w:eastAsia="Times New Roman"/>
          <w:lang w:eastAsia="en-GB"/>
        </w:rPr>
        <w:t xml:space="preserve">inocycline </w:t>
      </w:r>
      <w:r w:rsidR="00455C3E">
        <w:rPr>
          <w:rFonts w:eastAsia="Times New Roman"/>
          <w:lang w:eastAsia="en-GB"/>
        </w:rPr>
        <w:t xml:space="preserve">is known to </w:t>
      </w:r>
      <w:r w:rsidR="00455C3E" w:rsidRPr="00B013ED">
        <w:rPr>
          <w:rFonts w:eastAsia="Times New Roman"/>
          <w:lang w:eastAsia="en-GB"/>
        </w:rPr>
        <w:t>cause</w:t>
      </w:r>
      <w:r w:rsidRPr="00B013ED">
        <w:rPr>
          <w:rFonts w:eastAsia="Times New Roman"/>
          <w:lang w:eastAsia="en-GB"/>
        </w:rPr>
        <w:t xml:space="preserve"> tooth </w:t>
      </w:r>
      <w:r>
        <w:rPr>
          <w:rFonts w:eastAsia="Times New Roman"/>
          <w:lang w:eastAsia="en-GB"/>
        </w:rPr>
        <w:t>discolouration</w:t>
      </w:r>
      <w:r w:rsidRPr="00B013ED">
        <w:rPr>
          <w:rFonts w:eastAsia="Times New Roman"/>
          <w:lang w:eastAsia="en-GB"/>
        </w:rPr>
        <w:t>. Moreover, the dentin</w:t>
      </w:r>
      <w:r>
        <w:rPr>
          <w:rFonts w:eastAsia="Times New Roman"/>
          <w:lang w:eastAsia="en-GB"/>
        </w:rPr>
        <w:t>e</w:t>
      </w:r>
      <w:r w:rsidRPr="00B013ED">
        <w:rPr>
          <w:rFonts w:eastAsia="Times New Roman"/>
          <w:lang w:eastAsia="en-GB"/>
        </w:rPr>
        <w:t xml:space="preserve"> bonding agent reduced the intensity of the </w:t>
      </w:r>
      <w:r>
        <w:rPr>
          <w:rFonts w:eastAsia="Times New Roman"/>
          <w:lang w:eastAsia="en-GB"/>
        </w:rPr>
        <w:t>discolouration</w:t>
      </w:r>
      <w:r w:rsidRPr="00B013ED">
        <w:rPr>
          <w:rFonts w:eastAsia="Times New Roman"/>
          <w:lang w:eastAsia="en-GB"/>
        </w:rPr>
        <w:t xml:space="preserve"> but did not prevent it. Conclusions: The possible aesthetic problems with tooth colour should be considered when using minocycline as a canal medication</w:t>
      </w:r>
      <w:r w:rsidRPr="00B013ED">
        <w:t xml:space="preserve"> (</w:t>
      </w:r>
      <w:r w:rsidRPr="00B013ED">
        <w:rPr>
          <w:rFonts w:eastAsia="Times New Roman"/>
          <w:lang w:eastAsia="en-GB"/>
        </w:rPr>
        <w:t xml:space="preserve">Kim </w:t>
      </w:r>
      <w:r w:rsidRPr="00B013ED">
        <w:rPr>
          <w:rFonts w:eastAsia="Times New Roman"/>
          <w:i/>
          <w:lang w:eastAsia="en-GB"/>
        </w:rPr>
        <w:t>et al.,</w:t>
      </w:r>
      <w:r w:rsidRPr="00B013ED">
        <w:rPr>
          <w:rFonts w:eastAsia="Times New Roman"/>
          <w:lang w:eastAsia="en-GB"/>
        </w:rPr>
        <w:t xml:space="preserve"> 2010).</w:t>
      </w:r>
    </w:p>
    <w:p w:rsidR="00546214" w:rsidRPr="00B013ED" w:rsidRDefault="00546214" w:rsidP="00E26131">
      <w:pPr>
        <w:rPr>
          <w:rFonts w:eastAsiaTheme="majorEastAsia" w:cstheme="majorBidi"/>
          <w:b/>
          <w:bCs/>
          <w:spacing w:val="5"/>
          <w:kern w:val="28"/>
          <w:sz w:val="48"/>
          <w:szCs w:val="48"/>
          <w:lang w:val="en-US"/>
        </w:rPr>
      </w:pPr>
      <w:r w:rsidRPr="00B013ED">
        <w:rPr>
          <w:b/>
          <w:bCs/>
          <w:sz w:val="48"/>
          <w:szCs w:val="48"/>
          <w:lang w:val="en-US"/>
        </w:rPr>
        <w:br w:type="page"/>
      </w:r>
    </w:p>
    <w:p w:rsidR="00021DC9" w:rsidRPr="00B013ED" w:rsidRDefault="00C17E1E" w:rsidP="002B54A2">
      <w:pPr>
        <w:pStyle w:val="Heading1"/>
        <w:pBdr>
          <w:bottom w:val="single" w:sz="4" w:space="1" w:color="auto"/>
        </w:pBdr>
        <w:jc w:val="center"/>
        <w:rPr>
          <w:lang w:val="en-US"/>
        </w:rPr>
      </w:pPr>
      <w:bookmarkStart w:id="620" w:name="_Toc370819304"/>
      <w:r>
        <w:rPr>
          <w:lang w:val="en-US"/>
        </w:rPr>
        <w:lastRenderedPageBreak/>
        <w:t>Chapter 4</w:t>
      </w:r>
      <w:bookmarkEnd w:id="620"/>
    </w:p>
    <w:p w:rsidR="00294F6F" w:rsidRPr="00B013ED" w:rsidRDefault="00294F6F" w:rsidP="00294F6F">
      <w:pPr>
        <w:rPr>
          <w:lang w:val="en-US"/>
        </w:rPr>
      </w:pPr>
    </w:p>
    <w:p w:rsidR="00294F6F" w:rsidRPr="00B013ED" w:rsidRDefault="00294F6F" w:rsidP="00294F6F">
      <w:pPr>
        <w:rPr>
          <w:lang w:val="en-US"/>
        </w:rPr>
      </w:pPr>
    </w:p>
    <w:p w:rsidR="00294F6F" w:rsidRPr="00B013ED" w:rsidRDefault="00294F6F" w:rsidP="00294F6F">
      <w:pPr>
        <w:jc w:val="center"/>
        <w:rPr>
          <w:rFonts w:ascii="Arial" w:eastAsia="SimSun" w:hAnsi="Arial" w:cs="Arial"/>
          <w:b/>
          <w:bCs/>
          <w:color w:val="333333"/>
          <w:sz w:val="40"/>
          <w:szCs w:val="40"/>
          <w:lang w:eastAsia="zh-CN"/>
        </w:rPr>
      </w:pPr>
    </w:p>
    <w:p w:rsidR="00294F6F" w:rsidRPr="00B013ED" w:rsidRDefault="00294F6F" w:rsidP="00294F6F">
      <w:pPr>
        <w:jc w:val="center"/>
        <w:rPr>
          <w:rFonts w:ascii="Arial" w:eastAsia="SimSun" w:hAnsi="Arial" w:cs="Arial"/>
          <w:b/>
          <w:bCs/>
          <w:color w:val="333333"/>
          <w:sz w:val="40"/>
          <w:szCs w:val="40"/>
          <w:lang w:eastAsia="zh-CN"/>
        </w:rPr>
      </w:pPr>
    </w:p>
    <w:p w:rsidR="002B54A2" w:rsidRPr="002B54A2" w:rsidRDefault="002B54A2" w:rsidP="002B54A2">
      <w:pPr>
        <w:suppressAutoHyphens/>
        <w:autoSpaceDN w:val="0"/>
        <w:jc w:val="center"/>
        <w:textAlignment w:val="baseline"/>
        <w:rPr>
          <w:rFonts w:ascii="Arial" w:eastAsia="SimSun" w:hAnsi="Arial" w:cs="Arial"/>
          <w:b/>
          <w:bCs/>
          <w:color w:val="333333"/>
          <w:sz w:val="40"/>
          <w:szCs w:val="40"/>
          <w:lang w:eastAsia="zh-CN"/>
        </w:rPr>
      </w:pPr>
      <w:r w:rsidRPr="002B54A2">
        <w:rPr>
          <w:rFonts w:ascii="Arial" w:eastAsia="SimSun" w:hAnsi="Arial" w:cs="Arial"/>
          <w:b/>
          <w:bCs/>
          <w:color w:val="333333"/>
          <w:sz w:val="40"/>
          <w:szCs w:val="40"/>
          <w:lang w:eastAsia="zh-CN"/>
        </w:rPr>
        <w:t>The effect of antibiotics used for regenerative endodontics on cell survival</w:t>
      </w:r>
    </w:p>
    <w:p w:rsidR="00F13CE3" w:rsidRPr="00B7220D" w:rsidRDefault="00294F6F" w:rsidP="00B7220D">
      <w:pPr>
        <w:rPr>
          <w:rFonts w:ascii="Arial" w:eastAsia="SimSun" w:hAnsi="Arial" w:cs="Arial"/>
          <w:b/>
          <w:bCs/>
          <w:color w:val="333333"/>
          <w:sz w:val="40"/>
          <w:szCs w:val="40"/>
          <w:lang w:eastAsia="zh-CN"/>
        </w:rPr>
      </w:pPr>
      <w:bookmarkStart w:id="621" w:name="_Toc361049641"/>
      <w:bookmarkStart w:id="622" w:name="_Toc361049993"/>
      <w:bookmarkStart w:id="623" w:name="_Toc361050221"/>
      <w:bookmarkStart w:id="624" w:name="_Toc361051451"/>
      <w:bookmarkStart w:id="625" w:name="_Toc361641217"/>
      <w:bookmarkStart w:id="626" w:name="_Toc361641395"/>
      <w:bookmarkStart w:id="627" w:name="_Toc361641573"/>
      <w:bookmarkStart w:id="628" w:name="_Toc361702020"/>
      <w:bookmarkStart w:id="629" w:name="_Toc361702194"/>
      <w:bookmarkStart w:id="630" w:name="_Toc361706219"/>
      <w:bookmarkEnd w:id="621"/>
      <w:bookmarkEnd w:id="622"/>
      <w:bookmarkEnd w:id="623"/>
      <w:bookmarkEnd w:id="624"/>
      <w:bookmarkEnd w:id="625"/>
      <w:bookmarkEnd w:id="626"/>
      <w:bookmarkEnd w:id="627"/>
      <w:bookmarkEnd w:id="628"/>
      <w:bookmarkEnd w:id="629"/>
      <w:bookmarkEnd w:id="630"/>
      <w:r w:rsidRPr="00B013ED">
        <w:rPr>
          <w:rFonts w:ascii="Arial" w:eastAsia="Times New Roman" w:hAnsi="Arial" w:cs="Arial"/>
          <w:color w:val="231F20"/>
          <w:szCs w:val="24"/>
          <w:lang w:eastAsia="en-GB"/>
        </w:rPr>
        <w:br w:type="page"/>
      </w:r>
      <w:bookmarkStart w:id="631" w:name="_Toc226360716"/>
    </w:p>
    <w:p w:rsidR="00B7220D" w:rsidRPr="00B7220D" w:rsidRDefault="00B7220D" w:rsidP="00B7220D">
      <w:pPr>
        <w:pStyle w:val="ListParagraph"/>
        <w:keepLines/>
        <w:numPr>
          <w:ilvl w:val="0"/>
          <w:numId w:val="1"/>
        </w:numPr>
        <w:spacing w:before="200" w:line="480" w:lineRule="auto"/>
        <w:outlineLvl w:val="1"/>
        <w:rPr>
          <w:rFonts w:eastAsiaTheme="majorEastAsia"/>
          <w:b/>
          <w:bCs/>
          <w:vanish/>
          <w:sz w:val="32"/>
          <w:szCs w:val="26"/>
          <w:lang w:eastAsia="en-GB"/>
        </w:rPr>
      </w:pPr>
      <w:bookmarkStart w:id="632" w:name="_Toc361714603"/>
      <w:bookmarkStart w:id="633" w:name="_Toc361714776"/>
      <w:bookmarkStart w:id="634" w:name="_Toc361715031"/>
      <w:bookmarkStart w:id="635" w:name="_Toc361722477"/>
      <w:bookmarkStart w:id="636" w:name="_Toc361722743"/>
      <w:bookmarkStart w:id="637" w:name="_Toc361729363"/>
      <w:bookmarkStart w:id="638" w:name="_Toc361733494"/>
      <w:bookmarkStart w:id="639" w:name="_Toc361734422"/>
      <w:bookmarkStart w:id="640" w:name="_Toc362583014"/>
      <w:bookmarkStart w:id="641" w:name="_Toc370466183"/>
      <w:bookmarkStart w:id="642" w:name="_Toc370510960"/>
      <w:bookmarkStart w:id="643" w:name="_Toc370511178"/>
      <w:bookmarkStart w:id="644" w:name="_Toc370511401"/>
      <w:bookmarkStart w:id="645" w:name="_Toc370734353"/>
      <w:bookmarkStart w:id="646" w:name="_Toc370803291"/>
      <w:bookmarkStart w:id="647" w:name="_Toc370819305"/>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8E7511" w:rsidRPr="00ED2F35" w:rsidRDefault="00F13CE3" w:rsidP="00B7220D">
      <w:pPr>
        <w:pStyle w:val="Heading2"/>
      </w:pPr>
      <w:bookmarkStart w:id="648" w:name="_Toc370819306"/>
      <w:r w:rsidRPr="00B013ED">
        <w:t>Literature review:</w:t>
      </w:r>
      <w:bookmarkStart w:id="649" w:name="_Toc361049645"/>
      <w:bookmarkStart w:id="650" w:name="_Toc361049997"/>
      <w:bookmarkStart w:id="651" w:name="_Toc361050225"/>
      <w:bookmarkStart w:id="652" w:name="_Toc361051455"/>
      <w:bookmarkStart w:id="653" w:name="_Toc361049646"/>
      <w:bookmarkStart w:id="654" w:name="_Toc361049998"/>
      <w:bookmarkStart w:id="655" w:name="_Toc361050226"/>
      <w:bookmarkStart w:id="656" w:name="_Toc361051456"/>
      <w:bookmarkStart w:id="657" w:name="_Toc226360717"/>
      <w:bookmarkEnd w:id="648"/>
      <w:bookmarkEnd w:id="649"/>
      <w:bookmarkEnd w:id="650"/>
      <w:bookmarkEnd w:id="651"/>
      <w:bookmarkEnd w:id="652"/>
      <w:bookmarkEnd w:id="653"/>
      <w:bookmarkEnd w:id="654"/>
      <w:bookmarkEnd w:id="655"/>
      <w:bookmarkEnd w:id="656"/>
    </w:p>
    <w:p w:rsidR="00294F6F" w:rsidRPr="00DD6655" w:rsidRDefault="00294F6F" w:rsidP="00ED2F35">
      <w:pPr>
        <w:pStyle w:val="Heading3"/>
        <w:spacing w:line="480" w:lineRule="auto"/>
        <w:rPr>
          <w:lang w:eastAsia="en-GB"/>
        </w:rPr>
      </w:pPr>
      <w:bookmarkStart w:id="658" w:name="_Toc370819307"/>
      <w:proofErr w:type="gramStart"/>
      <w:r w:rsidRPr="00DD6655">
        <w:rPr>
          <w:lang w:eastAsia="en-GB"/>
        </w:rPr>
        <w:t>Background of revascularization</w:t>
      </w:r>
      <w:r w:rsidR="00C17E1E">
        <w:rPr>
          <w:lang w:eastAsia="en-GB"/>
        </w:rPr>
        <w:t xml:space="preserve">/regenerative </w:t>
      </w:r>
      <w:r w:rsidR="00592DB2">
        <w:rPr>
          <w:lang w:eastAsia="en-GB"/>
        </w:rPr>
        <w:t xml:space="preserve">endodontic </w:t>
      </w:r>
      <w:r w:rsidR="00F13CE3" w:rsidRPr="00DD6655">
        <w:rPr>
          <w:lang w:eastAsia="en-GB"/>
        </w:rPr>
        <w:t>technique</w:t>
      </w:r>
      <w:r w:rsidRPr="00DD6655">
        <w:rPr>
          <w:lang w:eastAsia="en-GB"/>
        </w:rPr>
        <w:t>.</w:t>
      </w:r>
      <w:bookmarkEnd w:id="657"/>
      <w:bookmarkEnd w:id="658"/>
      <w:proofErr w:type="gramEnd"/>
    </w:p>
    <w:p w:rsidR="002B54A2" w:rsidRDefault="002B54A2" w:rsidP="002B54A2">
      <w:pPr>
        <w:spacing w:line="480" w:lineRule="auto"/>
        <w:jc w:val="both"/>
      </w:pPr>
      <w:bookmarkStart w:id="659" w:name="_Toc226360719"/>
      <w:proofErr w:type="gramStart"/>
      <w:r>
        <w:rPr>
          <w:lang w:val="en-IE" w:eastAsia="en-GB"/>
        </w:rPr>
        <w:t>The novel concept of revascularisation although not actually a new concept, was conceived when Ostby (1961) considered the importance of using blood clot in bone healing (</w:t>
      </w:r>
      <w:r>
        <w:rPr>
          <w:rFonts w:eastAsia="SimSun"/>
        </w:rPr>
        <w:t>Lorin-Epstein, 1927;</w:t>
      </w:r>
      <w:r>
        <w:rPr>
          <w:lang w:val="en-IE" w:eastAsia="en-GB"/>
        </w:rPr>
        <w:t xml:space="preserve"> </w:t>
      </w:r>
      <w:r>
        <w:rPr>
          <w:rFonts w:eastAsia="SimSun"/>
        </w:rPr>
        <w:t>Weinmann and Sicher, 1955; Ackerman, 1959).</w:t>
      </w:r>
      <w:proofErr w:type="gramEnd"/>
      <w:r>
        <w:rPr>
          <w:rFonts w:eastAsia="SimSun"/>
        </w:rPr>
        <w:t xml:space="preserve"> </w:t>
      </w:r>
    </w:p>
    <w:p w:rsidR="002B54A2" w:rsidRDefault="002B54A2" w:rsidP="002B54A2">
      <w:pPr>
        <w:autoSpaceDE w:val="0"/>
        <w:spacing w:line="480" w:lineRule="auto"/>
        <w:jc w:val="both"/>
        <w:rPr>
          <w:lang w:eastAsia="en-GB"/>
        </w:rPr>
      </w:pPr>
      <w:r>
        <w:rPr>
          <w:lang w:eastAsia="en-GB"/>
        </w:rPr>
        <w:t>Ostby (1961) decided to study how the periodontal tissue would react if the entire pulp was removed from the main canal and the apical part subsequently allowed to be filled with blood. The investigation was carried out in animals and followed by human experiments.</w:t>
      </w:r>
    </w:p>
    <w:p w:rsidR="002B54A2" w:rsidRDefault="002B54A2" w:rsidP="002B54A2">
      <w:pPr>
        <w:autoSpaceDE w:val="0"/>
        <w:spacing w:line="480" w:lineRule="auto"/>
        <w:jc w:val="both"/>
      </w:pPr>
      <w:r>
        <w:rPr>
          <w:lang w:eastAsia="en-GB"/>
        </w:rPr>
        <w:t xml:space="preserve">Eight teeth were extracted from three healthy dogs, aged 8-8.5 years, under anaesthesia. The Apices were cut off, pulps were removed and no medicaments were used inside the canal. The tooth was then re-implanted and observed for a period of 42, 51, 60, 70 and 1019 days. The teeth were extracted and examined. There was fibrous connective tissue in the root canals that meant that there had been a degree of revascularisation.  </w:t>
      </w:r>
      <w:r>
        <w:rPr>
          <w:rFonts w:eastAsia="SimSun"/>
        </w:rPr>
        <w:t xml:space="preserve">Over an observation period of three and half years there were no clinical symptoms.  </w:t>
      </w:r>
    </w:p>
    <w:p w:rsidR="002B54A2" w:rsidRDefault="002B54A2" w:rsidP="002B54A2">
      <w:pPr>
        <w:autoSpaceDE w:val="0"/>
        <w:spacing w:line="480" w:lineRule="auto"/>
        <w:jc w:val="both"/>
        <w:rPr>
          <w:rFonts w:eastAsia="SimSun"/>
        </w:rPr>
      </w:pPr>
      <w:r>
        <w:rPr>
          <w:rFonts w:eastAsia="SimSun"/>
        </w:rPr>
        <w:t xml:space="preserve">Rule and Winter (1966), in their retrospective clinical and radiological study reviewing immature teeth over the a 10 year period, showed that it seemed likely that continued root growth was dependent on the biological integrity of the epithelial root sheath of Hertwig.  This must depend to a variable extent on </w:t>
      </w:r>
      <w:r>
        <w:rPr>
          <w:rFonts w:eastAsia="SimSun"/>
        </w:rPr>
        <w:lastRenderedPageBreak/>
        <w:t>the intensity of the initial infection, whilst repair may be attributed to dystrophic calcification within tissue of mesenchymal origin in the apical region. This review recommended avoidance of any solution or paste contain protoplasmic poisons, and also not to use any mechanical irrigation but to use only sterile water. The author</w:t>
      </w:r>
      <w:r w:rsidR="00632420">
        <w:rPr>
          <w:rFonts w:eastAsia="SimSun"/>
        </w:rPr>
        <w:t>s</w:t>
      </w:r>
      <w:r>
        <w:rPr>
          <w:rFonts w:eastAsia="SimSun"/>
        </w:rPr>
        <w:t xml:space="preserve"> suggested that the body’s immune system and polyantibiotics could be enough to disinfect the canal from bacteria.</w:t>
      </w:r>
    </w:p>
    <w:p w:rsidR="001C519A" w:rsidRDefault="001C519A" w:rsidP="001C519A">
      <w:pPr>
        <w:pStyle w:val="Heading3"/>
        <w:spacing w:line="480" w:lineRule="auto"/>
        <w:rPr>
          <w:lang w:eastAsia="en-GB"/>
        </w:rPr>
      </w:pPr>
      <w:bookmarkStart w:id="660" w:name="_Toc370819308"/>
      <w:bookmarkEnd w:id="659"/>
      <w:r>
        <w:rPr>
          <w:lang w:eastAsia="en-GB"/>
        </w:rPr>
        <w:t>Pulp regenerative treatment</w:t>
      </w:r>
      <w:bookmarkEnd w:id="660"/>
      <w:r>
        <w:rPr>
          <w:lang w:eastAsia="en-GB"/>
        </w:rPr>
        <w:t xml:space="preserve"> </w:t>
      </w:r>
    </w:p>
    <w:p w:rsidR="00AC7E8C" w:rsidRDefault="00AC7E8C" w:rsidP="00AC7E8C">
      <w:pPr>
        <w:spacing w:line="480" w:lineRule="auto"/>
      </w:pPr>
      <w:bookmarkStart w:id="661" w:name="_Toc226360720"/>
      <w:r>
        <w:rPr>
          <w:lang w:eastAsia="en-GB"/>
        </w:rPr>
        <w:t xml:space="preserve">The rationale for this technique is that if a sterile tissue matrix is provided in which new cells can grow, pulp vitality can be re-established to allow repair and regeneration of tissues. This means a </w:t>
      </w:r>
      <w:r>
        <w:rPr>
          <w:lang w:val="en-IE" w:eastAsia="en-GB"/>
        </w:rPr>
        <w:t xml:space="preserve">continuation of development of the immature tooth and an increase in dentine thickness. </w:t>
      </w:r>
    </w:p>
    <w:p w:rsidR="00AC7E8C" w:rsidRDefault="00AC7E8C" w:rsidP="00AC7E8C">
      <w:pPr>
        <w:autoSpaceDE w:val="0"/>
        <w:spacing w:line="480" w:lineRule="auto"/>
      </w:pPr>
      <w:r>
        <w:rPr>
          <w:color w:val="000000"/>
          <w:lang w:eastAsia="en-GB"/>
        </w:rPr>
        <w:t>The term apical papilla has been proposed (</w:t>
      </w:r>
      <w:r>
        <w:rPr>
          <w:lang w:val="en-US"/>
        </w:rPr>
        <w:t xml:space="preserve">Sonoyama </w:t>
      </w:r>
      <w:r>
        <w:rPr>
          <w:rFonts w:eastAsia="SimSun"/>
          <w:i/>
          <w:iCs/>
        </w:rPr>
        <w:t>et al.,</w:t>
      </w:r>
      <w:r>
        <w:rPr>
          <w:rFonts w:eastAsia="SimSun"/>
        </w:rPr>
        <w:t xml:space="preserve"> </w:t>
      </w:r>
      <w:r>
        <w:rPr>
          <w:lang w:eastAsia="en-GB"/>
        </w:rPr>
        <w:t xml:space="preserve">2008). </w:t>
      </w:r>
      <w:r>
        <w:rPr>
          <w:color w:val="000000"/>
          <w:lang w:eastAsia="en-GB"/>
        </w:rPr>
        <w:t>There is an area rich in pluripotent and multipotent cells lying between apical papilla and pulp.  Importantly, stem cells were located in both dental pulp and the apical papilla but with different characteristics (</w:t>
      </w:r>
      <w:r>
        <w:rPr>
          <w:lang w:val="en-US"/>
        </w:rPr>
        <w:t xml:space="preserve">Sonoyama </w:t>
      </w:r>
      <w:r>
        <w:rPr>
          <w:rFonts w:eastAsia="SimSun"/>
          <w:i/>
          <w:iCs/>
        </w:rPr>
        <w:t>et al.,</w:t>
      </w:r>
      <w:r>
        <w:rPr>
          <w:rFonts w:eastAsia="SimSun"/>
        </w:rPr>
        <w:t xml:space="preserve"> </w:t>
      </w:r>
      <w:r>
        <w:rPr>
          <w:lang w:eastAsia="en-GB"/>
        </w:rPr>
        <w:t>2008).</w:t>
      </w:r>
      <w:r>
        <w:rPr>
          <w:color w:val="000000"/>
          <w:lang w:eastAsia="en-GB"/>
        </w:rPr>
        <w:t xml:space="preserve"> The apical location enables the stem cells to survive during the pulp necrosis process.</w:t>
      </w:r>
    </w:p>
    <w:p w:rsidR="001C519A" w:rsidRPr="001C519A" w:rsidRDefault="001C519A" w:rsidP="001C519A">
      <w:pPr>
        <w:pStyle w:val="Heading3"/>
        <w:spacing w:line="480" w:lineRule="auto"/>
        <w:rPr>
          <w:lang w:eastAsia="en-GB"/>
        </w:rPr>
      </w:pPr>
      <w:bookmarkStart w:id="662" w:name="_Toc370819309"/>
      <w:r w:rsidRPr="001C519A">
        <w:rPr>
          <w:lang w:eastAsia="en-GB"/>
        </w:rPr>
        <w:t>Stem cells</w:t>
      </w:r>
      <w:bookmarkEnd w:id="662"/>
    </w:p>
    <w:p w:rsidR="00AC7E8C" w:rsidRDefault="00AC7E8C" w:rsidP="00AC7E8C">
      <w:pPr>
        <w:autoSpaceDE w:val="0"/>
        <w:spacing w:after="120" w:line="480" w:lineRule="auto"/>
        <w:jc w:val="both"/>
      </w:pPr>
      <w:r>
        <w:rPr>
          <w:rFonts w:eastAsia="Times New Roman" w:cs="Arial"/>
          <w:szCs w:val="24"/>
          <w:lang w:eastAsia="en-GB"/>
        </w:rPr>
        <w:t xml:space="preserve">Stem cells have the capability to proliferate and renew themselves.  </w:t>
      </w:r>
      <w:r>
        <w:rPr>
          <w:rFonts w:eastAsia="Times New Roman" w:cs="Arial"/>
          <w:color w:val="000000"/>
          <w:szCs w:val="24"/>
          <w:lang w:eastAsia="en-GB"/>
        </w:rPr>
        <w:t>Human dental stem cells were isolated from dental pulp tissue of extracted third molars. These cells have the ability to differentiate into odontoblast-like cells and form dentine and pulp-like complex when they were re-implanted in mice (</w:t>
      </w:r>
      <w:r>
        <w:rPr>
          <w:rFonts w:eastAsia="Times New Roman" w:cs="Arial"/>
          <w:szCs w:val="24"/>
          <w:lang w:eastAsia="en-GB"/>
        </w:rPr>
        <w:t>Gronthos</w:t>
      </w:r>
      <w:r>
        <w:rPr>
          <w:rFonts w:eastAsia="Times New Roman" w:cs="Arial"/>
          <w:color w:val="000000"/>
          <w:szCs w:val="24"/>
          <w:lang w:eastAsia="en-GB"/>
        </w:rPr>
        <w:t xml:space="preserve"> </w:t>
      </w:r>
      <w:r>
        <w:rPr>
          <w:rFonts w:eastAsia="SimSun" w:cs="Arial"/>
          <w:i/>
          <w:iCs/>
          <w:szCs w:val="24"/>
          <w:lang w:eastAsia="zh-CN"/>
        </w:rPr>
        <w:t>et al.,</w:t>
      </w:r>
      <w:r>
        <w:rPr>
          <w:rFonts w:eastAsia="SimSun" w:cs="Arial"/>
          <w:szCs w:val="24"/>
          <w:lang w:eastAsia="zh-CN"/>
        </w:rPr>
        <w:t xml:space="preserve"> </w:t>
      </w:r>
      <w:r>
        <w:rPr>
          <w:rFonts w:eastAsia="Times New Roman" w:cs="Arial"/>
          <w:color w:val="000000"/>
          <w:szCs w:val="24"/>
          <w:lang w:eastAsia="en-GB"/>
        </w:rPr>
        <w:t xml:space="preserve">2000).  Subsequently, a variety of dental Mesenchymal stem </w:t>
      </w:r>
      <w:r>
        <w:rPr>
          <w:rFonts w:eastAsia="Times New Roman" w:cs="Arial"/>
          <w:color w:val="000000"/>
          <w:szCs w:val="24"/>
          <w:lang w:eastAsia="en-GB"/>
        </w:rPr>
        <w:lastRenderedPageBreak/>
        <w:t>cells MSCs have been isolated including stem cells from human exfoliated primary teeth (</w:t>
      </w:r>
      <w:r>
        <w:rPr>
          <w:rFonts w:eastAsia="Times New Roman" w:cs="Arial"/>
          <w:szCs w:val="24"/>
          <w:lang w:eastAsia="en-GB"/>
        </w:rPr>
        <w:t xml:space="preserve">Miura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2003).</w:t>
      </w:r>
    </w:p>
    <w:p w:rsidR="00AC7E8C" w:rsidRDefault="00AC7E8C" w:rsidP="00AC7E8C">
      <w:pPr>
        <w:autoSpaceDE w:val="0"/>
        <w:spacing w:after="120" w:line="480" w:lineRule="auto"/>
        <w:jc w:val="both"/>
      </w:pPr>
      <w:r>
        <w:rPr>
          <w:rFonts w:eastAsia="Times New Roman" w:cs="Arial"/>
          <w:szCs w:val="24"/>
          <w:lang w:eastAsia="en-GB"/>
        </w:rPr>
        <w:t xml:space="preserve">The term of “stem cell” is a controversial term that is very difficult to define, especially with the growing numbers of cluster differentiation surface antigens that are claimed to be characteristic for the “stemness” of stem cells (Caplan, 1991; Gronthos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 xml:space="preserve">2003; Gronthos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2007). However, there are certain biological criteria that could be taken together to define stem cells.</w:t>
      </w:r>
    </w:p>
    <w:p w:rsidR="00AC7E8C" w:rsidRPr="00AC7E8C" w:rsidRDefault="00AC7E8C" w:rsidP="00AC7E8C">
      <w:pPr>
        <w:suppressAutoHyphens/>
        <w:autoSpaceDE w:val="0"/>
        <w:autoSpaceDN w:val="0"/>
        <w:spacing w:after="120" w:line="480" w:lineRule="auto"/>
        <w:jc w:val="both"/>
        <w:textAlignment w:val="baseline"/>
        <w:rPr>
          <w:rFonts w:ascii="Arial" w:eastAsia="Times New Roman" w:hAnsi="Arial" w:cs="Arial"/>
          <w:szCs w:val="24"/>
          <w:lang w:eastAsia="en-GB"/>
        </w:rPr>
      </w:pPr>
      <w:r w:rsidRPr="00AC7E8C">
        <w:rPr>
          <w:rFonts w:ascii="Arial" w:eastAsia="Times New Roman" w:hAnsi="Arial" w:cs="Arial"/>
          <w:szCs w:val="24"/>
          <w:lang w:eastAsia="en-GB"/>
        </w:rPr>
        <w:t xml:space="preserve">Stem cells are known for their unique ability to renovate (Caplan, 1991). They are also pluripotent or multipotent and form cell colonies (Caplan, 1991). </w:t>
      </w:r>
    </w:p>
    <w:p w:rsidR="00AC7E8C" w:rsidRDefault="00AC7E8C" w:rsidP="00AC7E8C">
      <w:pPr>
        <w:suppressAutoHyphens/>
        <w:autoSpaceDE w:val="0"/>
        <w:autoSpaceDN w:val="0"/>
        <w:spacing w:after="120" w:line="480" w:lineRule="auto"/>
        <w:jc w:val="both"/>
        <w:textAlignment w:val="baseline"/>
        <w:rPr>
          <w:rFonts w:ascii="Arial" w:eastAsia="Times New Roman" w:hAnsi="Arial" w:cs="Arial"/>
          <w:szCs w:val="24"/>
          <w:lang w:eastAsia="en-GB"/>
        </w:rPr>
      </w:pPr>
      <w:r w:rsidRPr="00AC7E8C">
        <w:rPr>
          <w:rFonts w:ascii="Arial" w:eastAsia="Times New Roman" w:hAnsi="Arial" w:cs="Arial"/>
          <w:szCs w:val="24"/>
          <w:lang w:eastAsia="en-GB"/>
        </w:rPr>
        <w:t xml:space="preserve">Stem cells can give rise to different progenitors of all body tissues (Castro-Malaspina </w:t>
      </w:r>
      <w:r w:rsidRPr="00AC7E8C">
        <w:rPr>
          <w:rFonts w:ascii="Arial" w:eastAsia="SimSun" w:hAnsi="Arial" w:cs="Arial"/>
          <w:i/>
          <w:iCs/>
          <w:szCs w:val="24"/>
          <w:lang w:eastAsia="zh-CN"/>
        </w:rPr>
        <w:t>et al.,</w:t>
      </w:r>
      <w:r w:rsidRPr="00AC7E8C">
        <w:rPr>
          <w:rFonts w:ascii="Arial" w:eastAsia="SimSun" w:hAnsi="Arial" w:cs="Arial"/>
          <w:szCs w:val="24"/>
          <w:lang w:eastAsia="zh-CN"/>
        </w:rPr>
        <w:t xml:space="preserve"> </w:t>
      </w:r>
      <w:r w:rsidRPr="00AC7E8C">
        <w:rPr>
          <w:rFonts w:ascii="Arial" w:eastAsia="Times New Roman" w:hAnsi="Arial" w:cs="Arial"/>
          <w:szCs w:val="24"/>
          <w:lang w:eastAsia="en-GB"/>
        </w:rPr>
        <w:t xml:space="preserve">1981; Caplan, 1991; Ying </w:t>
      </w:r>
      <w:r w:rsidRPr="00AC7E8C">
        <w:rPr>
          <w:rFonts w:ascii="Arial" w:eastAsia="SimSun" w:hAnsi="Arial" w:cs="Arial"/>
          <w:i/>
          <w:iCs/>
          <w:szCs w:val="24"/>
          <w:lang w:eastAsia="zh-CN"/>
        </w:rPr>
        <w:t>et al.,</w:t>
      </w:r>
      <w:r w:rsidRPr="00AC7E8C">
        <w:rPr>
          <w:rFonts w:ascii="Arial" w:eastAsia="SimSun" w:hAnsi="Arial" w:cs="Arial"/>
          <w:szCs w:val="24"/>
          <w:lang w:eastAsia="zh-CN"/>
        </w:rPr>
        <w:t xml:space="preserve"> </w:t>
      </w:r>
      <w:r w:rsidRPr="00AC7E8C">
        <w:rPr>
          <w:rFonts w:ascii="Arial" w:eastAsia="Times New Roman" w:hAnsi="Arial" w:cs="Arial"/>
          <w:szCs w:val="24"/>
          <w:lang w:eastAsia="en-GB"/>
        </w:rPr>
        <w:t>2002; Collas and Hakelien, 2003)</w:t>
      </w:r>
      <w:r w:rsidR="001C519A" w:rsidRPr="001C519A">
        <w:rPr>
          <w:rFonts w:ascii="Arial" w:eastAsia="Times New Roman" w:hAnsi="Arial" w:cs="Arial"/>
          <w:szCs w:val="24"/>
          <w:lang w:eastAsia="en-GB"/>
        </w:rPr>
        <w:t>.</w:t>
      </w:r>
      <w:r>
        <w:rPr>
          <w:rFonts w:ascii="Arial" w:eastAsia="Times New Roman" w:hAnsi="Arial" w:cs="Arial"/>
          <w:szCs w:val="24"/>
          <w:lang w:eastAsia="en-GB"/>
        </w:rPr>
        <w:t xml:space="preserve"> </w:t>
      </w:r>
      <w:r>
        <w:rPr>
          <w:rFonts w:eastAsia="Times New Roman" w:cs="Arial"/>
          <w:szCs w:val="24"/>
          <w:lang w:eastAsia="en-GB"/>
        </w:rPr>
        <w:t xml:space="preserve">They remain relatively quiescent in vivo but are activated in cases of disease and injury to repair and regenerate the damaged tissues (Castro-Malaspina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 xml:space="preserve">1981; Caplan, 1991; Ying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 xml:space="preserve">2002; Collas and Hakelien, 2003; Bernardo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2007a). Stem cells are usually recognised as being of two main types: embryonic and adult or post-natal stem cells (</w:t>
      </w:r>
      <w:r w:rsidRPr="001C519A">
        <w:rPr>
          <w:rFonts w:ascii="Arial" w:eastAsia="Times New Roman" w:hAnsi="Arial" w:cs="Arial"/>
          <w:szCs w:val="24"/>
          <w:lang w:eastAsia="en-GB"/>
        </w:rPr>
        <w:t xml:space="preserve">Breitbart et al., Bernardo </w:t>
      </w:r>
      <w:r w:rsidRPr="001C519A">
        <w:rPr>
          <w:rFonts w:ascii="Arial" w:eastAsia="SimSun" w:hAnsi="Arial" w:cs="Arial"/>
          <w:i/>
          <w:iCs/>
          <w:szCs w:val="24"/>
          <w:lang w:eastAsia="zh-CN"/>
        </w:rPr>
        <w:t>et al.,</w:t>
      </w:r>
      <w:r w:rsidRPr="001C519A">
        <w:rPr>
          <w:rFonts w:ascii="Arial" w:eastAsia="SimSun" w:hAnsi="Arial" w:cs="Arial"/>
          <w:szCs w:val="24"/>
          <w:lang w:eastAsia="zh-CN"/>
        </w:rPr>
        <w:t xml:space="preserve"> </w:t>
      </w:r>
      <w:r w:rsidRPr="001C519A">
        <w:rPr>
          <w:rFonts w:ascii="Arial" w:eastAsia="Times New Roman" w:hAnsi="Arial" w:cs="Arial"/>
          <w:szCs w:val="24"/>
          <w:lang w:eastAsia="en-GB"/>
        </w:rPr>
        <w:t xml:space="preserve">2007a, Castro-Malaspina </w:t>
      </w:r>
      <w:r w:rsidRPr="001C519A">
        <w:rPr>
          <w:rFonts w:ascii="Arial" w:eastAsia="SimSun" w:hAnsi="Arial" w:cs="Arial"/>
          <w:i/>
          <w:iCs/>
          <w:szCs w:val="24"/>
          <w:lang w:eastAsia="zh-CN"/>
        </w:rPr>
        <w:t>et al.,</w:t>
      </w:r>
      <w:r w:rsidRPr="001C519A">
        <w:rPr>
          <w:rFonts w:ascii="Arial" w:eastAsia="SimSun" w:hAnsi="Arial" w:cs="Arial"/>
          <w:szCs w:val="24"/>
          <w:lang w:eastAsia="zh-CN"/>
        </w:rPr>
        <w:t xml:space="preserve"> </w:t>
      </w:r>
      <w:r w:rsidRPr="001C519A">
        <w:rPr>
          <w:rFonts w:ascii="Arial" w:eastAsia="Times New Roman" w:hAnsi="Arial" w:cs="Arial"/>
          <w:szCs w:val="24"/>
          <w:lang w:eastAsia="en-GB"/>
        </w:rPr>
        <w:t xml:space="preserve">Henningson </w:t>
      </w:r>
      <w:r w:rsidRPr="001C519A">
        <w:rPr>
          <w:rFonts w:ascii="Arial" w:eastAsia="SimSun" w:hAnsi="Arial" w:cs="Arial"/>
          <w:i/>
          <w:iCs/>
          <w:szCs w:val="24"/>
          <w:lang w:eastAsia="zh-CN"/>
        </w:rPr>
        <w:t>et al.,</w:t>
      </w:r>
      <w:r w:rsidRPr="001C519A">
        <w:rPr>
          <w:rFonts w:ascii="Arial" w:eastAsia="SimSun" w:hAnsi="Arial" w:cs="Arial"/>
          <w:szCs w:val="24"/>
          <w:lang w:eastAsia="zh-CN"/>
        </w:rPr>
        <w:t xml:space="preserve"> </w:t>
      </w:r>
      <w:r w:rsidRPr="001C519A">
        <w:rPr>
          <w:rFonts w:ascii="Arial" w:eastAsia="Times New Roman" w:hAnsi="Arial" w:cs="Arial"/>
          <w:szCs w:val="24"/>
          <w:lang w:eastAsia="en-GB"/>
        </w:rPr>
        <w:t>2003).</w:t>
      </w:r>
    </w:p>
    <w:p w:rsidR="001C519A" w:rsidRPr="001C519A" w:rsidRDefault="001C519A" w:rsidP="00AC7E8C">
      <w:pPr>
        <w:pStyle w:val="Heading4"/>
        <w:spacing w:line="480" w:lineRule="auto"/>
        <w:rPr>
          <w:lang w:eastAsia="en-GB"/>
        </w:rPr>
      </w:pPr>
      <w:r w:rsidRPr="001C519A">
        <w:rPr>
          <w:lang w:eastAsia="en-GB"/>
        </w:rPr>
        <w:t>Human dental pulp stem cells (HDPSCs)</w:t>
      </w:r>
    </w:p>
    <w:p w:rsidR="00AC7E8C" w:rsidRDefault="00AC7E8C" w:rsidP="00E84998">
      <w:pPr>
        <w:autoSpaceDE w:val="0"/>
        <w:spacing w:after="120" w:line="480" w:lineRule="auto"/>
        <w:jc w:val="both"/>
      </w:pPr>
      <w:r>
        <w:rPr>
          <w:rFonts w:eastAsia="Times New Roman" w:cs="Arial"/>
          <w:szCs w:val="24"/>
          <w:lang w:eastAsia="en-GB"/>
        </w:rPr>
        <w:t xml:space="preserve">Human dental pulp is a connective tissue that occupies the centre of all teeth. Along with its surrounding dentine, dental pulp is considered as a complex, with the dental pulp itself considered to be an organ. Pulp tissue comprises of condensed connective tissue that contains a mixed population of cells embedded in a fibrous vascular stroma (de Oliveira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20</w:t>
      </w:r>
      <w:r w:rsidR="00E84998">
        <w:rPr>
          <w:rFonts w:eastAsia="Times New Roman" w:cs="Arial"/>
          <w:szCs w:val="24"/>
          <w:lang w:eastAsia="en-GB"/>
        </w:rPr>
        <w:t>10</w:t>
      </w:r>
      <w:r>
        <w:rPr>
          <w:rFonts w:eastAsia="Times New Roman" w:cs="Arial"/>
          <w:szCs w:val="24"/>
          <w:lang w:eastAsia="en-GB"/>
        </w:rPr>
        <w:t xml:space="preserve">). Dental pulp cells are a mixture of fibroblasts, lymphocytes, macrophages, dendritic cells, nerve cells, pericytes, endothelial cells and undifferentiated mesenchymal </w:t>
      </w:r>
      <w:r>
        <w:rPr>
          <w:rFonts w:eastAsia="Times New Roman" w:cs="Arial"/>
          <w:szCs w:val="24"/>
          <w:lang w:eastAsia="en-GB"/>
        </w:rPr>
        <w:lastRenderedPageBreak/>
        <w:t xml:space="preserve">cells (de Oliveira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20</w:t>
      </w:r>
      <w:r w:rsidR="00E84998">
        <w:rPr>
          <w:rFonts w:eastAsia="Times New Roman" w:cs="Arial"/>
          <w:szCs w:val="24"/>
          <w:lang w:eastAsia="en-GB"/>
        </w:rPr>
        <w:t>10</w:t>
      </w:r>
      <w:r>
        <w:rPr>
          <w:rFonts w:eastAsia="Times New Roman" w:cs="Arial"/>
          <w:szCs w:val="24"/>
          <w:lang w:eastAsia="en-GB"/>
        </w:rPr>
        <w:t xml:space="preserve">). This heterogonous cell population originates mainly from the neural crest and first branchial arch mesoderm and later on from the dental follicle. The cells derived from these can retain a mitotic potential even in the adult tissue (Erickson and Reedy, 1998; Tecles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2005). The dental pulp stem cells are believed to have the capacity to differentiate into odontoblast progenitor cells which can further differentiate to odontoblasts later on (Jontell, 1987; Fitzgerald, 1990).</w:t>
      </w:r>
    </w:p>
    <w:p w:rsidR="00AC7E8C" w:rsidRDefault="00AC7E8C" w:rsidP="00AC7E8C">
      <w:pPr>
        <w:autoSpaceDE w:val="0"/>
        <w:spacing w:after="120" w:line="480" w:lineRule="auto"/>
        <w:jc w:val="both"/>
      </w:pPr>
      <w:r>
        <w:rPr>
          <w:rFonts w:eastAsia="Times New Roman" w:cs="Arial"/>
          <w:szCs w:val="24"/>
          <w:lang w:eastAsia="en-GB"/>
        </w:rPr>
        <w:t xml:space="preserve">Odontoblasts are cells that surround the pulp cavity and their long cytoplasmic processes run through the dentine in dentinal tubules. Odontoblasts are responsible for secretion of primary dentine during tooth development, secondary dentine after complete tooth formation and tertiary or osteodentine in response to irritation (Murray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2000).</w:t>
      </w:r>
    </w:p>
    <w:p w:rsidR="00AC7E8C" w:rsidRDefault="00AC7E8C" w:rsidP="00AC7E8C">
      <w:pPr>
        <w:autoSpaceDE w:val="0"/>
        <w:spacing w:after="120" w:line="480" w:lineRule="auto"/>
        <w:jc w:val="both"/>
      </w:pPr>
      <w:r>
        <w:rPr>
          <w:rFonts w:eastAsia="Times New Roman" w:cs="Arial"/>
          <w:szCs w:val="24"/>
          <w:lang w:eastAsia="en-GB"/>
        </w:rPr>
        <w:t xml:space="preserve">Odontoblasts themselves are post-mitotic and cannot repair/regenerate damaged dentine. Instead new odontoblasts derived from HDPSCs migrate to the damaged dentine surface. These new odontoblasts form tertiary dentine that seals and protects the pulp against injury (Murray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 xml:space="preserve">2001; Murray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 xml:space="preserve">2000; Batouli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2003). These capabilities along with the accessibility of the tissue for cell harvesting and its potential for banking in the case of the primary dentition have prompted further investigation of HDPSCs for regenerative purposes.</w:t>
      </w:r>
    </w:p>
    <w:p w:rsidR="001C519A" w:rsidRPr="001C519A" w:rsidRDefault="001C519A" w:rsidP="00AC7E8C">
      <w:pPr>
        <w:pStyle w:val="Heading4"/>
        <w:spacing w:line="480" w:lineRule="auto"/>
        <w:rPr>
          <w:lang w:eastAsia="en-GB"/>
        </w:rPr>
      </w:pPr>
      <w:r w:rsidRPr="001C519A">
        <w:rPr>
          <w:lang w:eastAsia="en-GB"/>
        </w:rPr>
        <w:t>Isolation and characterization of stem cell populations in the human dental pulp</w:t>
      </w:r>
    </w:p>
    <w:p w:rsidR="00AC7E8C" w:rsidRDefault="00AC7E8C" w:rsidP="00AC7E8C">
      <w:pPr>
        <w:autoSpaceDE w:val="0"/>
        <w:spacing w:after="120" w:line="480" w:lineRule="auto"/>
        <w:jc w:val="both"/>
      </w:pPr>
      <w:r>
        <w:rPr>
          <w:rFonts w:eastAsia="Times New Roman" w:cs="Arial"/>
          <w:szCs w:val="24"/>
          <w:lang w:eastAsia="en-GB"/>
        </w:rPr>
        <w:t xml:space="preserve">Human dental pulp stem cells (HDPSCs) were initially isolated from the dental pulp tissues of extracted wisdom teeth and premolars (Huang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 xml:space="preserve">2006b). Further investigations indicated that wisdom teeth were the preferred source </w:t>
      </w:r>
      <w:r>
        <w:rPr>
          <w:rFonts w:eastAsia="Times New Roman" w:cs="Arial"/>
          <w:szCs w:val="24"/>
          <w:lang w:eastAsia="en-GB"/>
        </w:rPr>
        <w:lastRenderedPageBreak/>
        <w:t xml:space="preserve">for HDPSCs, possibly related to the fact that being the last teeth to develop, their cells retain maximum pluripotency and proliferative potential (Couble </w:t>
      </w:r>
      <w:r>
        <w:rPr>
          <w:rFonts w:eastAsia="SimSun" w:cs="Arial"/>
          <w:i/>
          <w:iCs/>
          <w:szCs w:val="24"/>
          <w:lang w:eastAsia="zh-CN"/>
        </w:rPr>
        <w:t>et al.,</w:t>
      </w:r>
      <w:r>
        <w:rPr>
          <w:rFonts w:eastAsia="SimSun" w:cs="Arial"/>
          <w:szCs w:val="24"/>
          <w:lang w:eastAsia="zh-CN"/>
        </w:rPr>
        <w:t xml:space="preserve"> </w:t>
      </w:r>
      <w:r>
        <w:rPr>
          <w:rFonts w:eastAsia="Times New Roman" w:cs="Arial"/>
          <w:szCs w:val="24"/>
          <w:lang w:eastAsia="en-GB"/>
        </w:rPr>
        <w:t>2000). Another multipotent highly proliferative dental pulp population was isolated from pulps of exfoliated primary teeth (SHED). They were found to have a more primitive character compared to HDPSCs and to retain more embryonic features (Miura et al., 2003).</w:t>
      </w:r>
    </w:p>
    <w:p w:rsidR="001C519A" w:rsidRPr="001C519A" w:rsidRDefault="001C519A" w:rsidP="00AC7E8C">
      <w:pPr>
        <w:pStyle w:val="Heading4"/>
        <w:spacing w:line="480" w:lineRule="auto"/>
        <w:rPr>
          <w:lang w:eastAsia="en-GB"/>
        </w:rPr>
      </w:pPr>
      <w:r w:rsidRPr="00AC7E8C">
        <w:rPr>
          <w:lang w:eastAsia="en-GB"/>
        </w:rPr>
        <w:t>Multip</w:t>
      </w:r>
      <w:r w:rsidRPr="001C519A">
        <w:rPr>
          <w:lang w:eastAsia="en-GB"/>
        </w:rPr>
        <w:t>otential differentiation of adult HDPSCs</w:t>
      </w:r>
    </w:p>
    <w:p w:rsidR="00AC7E8C" w:rsidRPr="00847210" w:rsidRDefault="00AC7E8C" w:rsidP="00847210">
      <w:pPr>
        <w:autoSpaceDE w:val="0"/>
        <w:spacing w:after="120" w:line="480" w:lineRule="auto"/>
        <w:jc w:val="both"/>
      </w:pPr>
      <w:r>
        <w:rPr>
          <w:rFonts w:eastAsia="Times New Roman" w:cs="Arial"/>
          <w:szCs w:val="24"/>
          <w:lang w:eastAsia="en-GB"/>
        </w:rPr>
        <w:t xml:space="preserve">When HDPSCs were cultured under a range of inductive conditions and a number of differentiation pathways were identified as evidenced by the expression of differentiation-specific markers (Zhang </w:t>
      </w:r>
      <w:r>
        <w:rPr>
          <w:rFonts w:eastAsia="Times New Roman" w:cs="Arial"/>
          <w:i/>
          <w:iCs/>
          <w:szCs w:val="24"/>
          <w:lang w:eastAsia="en-GB"/>
        </w:rPr>
        <w:t>et al.,</w:t>
      </w:r>
      <w:r>
        <w:rPr>
          <w:rFonts w:eastAsia="Times New Roman" w:cs="Arial"/>
          <w:szCs w:val="24"/>
          <w:lang w:eastAsia="en-GB"/>
        </w:rPr>
        <w:t xml:space="preserve"> 2006a). Adipogenic differentiation occurred after treating HDPSCs with culture media supplemented with dexamethasone, isobutyl methyl xanthin, insulin and indomethacin as evidenced by PPR expression (Gronthos </w:t>
      </w:r>
      <w:r>
        <w:rPr>
          <w:rFonts w:eastAsia="Times New Roman" w:cs="Arial"/>
          <w:i/>
          <w:iCs/>
          <w:szCs w:val="24"/>
          <w:lang w:eastAsia="en-GB"/>
        </w:rPr>
        <w:t xml:space="preserve">et al., </w:t>
      </w:r>
      <w:r>
        <w:rPr>
          <w:rFonts w:eastAsia="Times New Roman" w:cs="Arial"/>
          <w:szCs w:val="24"/>
          <w:lang w:eastAsia="en-GB"/>
        </w:rPr>
        <w:t xml:space="preserve">2002; Zhang </w:t>
      </w:r>
      <w:r>
        <w:rPr>
          <w:rFonts w:eastAsia="Times New Roman" w:cs="Arial"/>
          <w:i/>
          <w:iCs/>
          <w:szCs w:val="24"/>
          <w:lang w:eastAsia="en-GB"/>
        </w:rPr>
        <w:t>et al.,</w:t>
      </w:r>
      <w:r>
        <w:rPr>
          <w:rFonts w:eastAsia="Times New Roman" w:cs="Arial"/>
          <w:szCs w:val="24"/>
          <w:lang w:eastAsia="en-GB"/>
        </w:rPr>
        <w:t xml:space="preserve"> 2006a). After neurogenic culture in the presence of fibroblast growth factor, neurogenic growth factors, DMSO, or epidermal growth factors, HDPSCs expressed nesting and glial fibrillary protein (Zhang </w:t>
      </w:r>
      <w:r>
        <w:rPr>
          <w:rFonts w:eastAsia="Times New Roman" w:cs="Arial"/>
          <w:i/>
          <w:iCs/>
          <w:szCs w:val="24"/>
          <w:lang w:eastAsia="en-GB"/>
        </w:rPr>
        <w:t>et al.,</w:t>
      </w:r>
      <w:r>
        <w:rPr>
          <w:rFonts w:eastAsia="Times New Roman" w:cs="Arial"/>
          <w:szCs w:val="24"/>
          <w:lang w:eastAsia="en-GB"/>
        </w:rPr>
        <w:t xml:space="preserve"> 2006a). However, the early morphological change of the cells in response to DMSO was unreliable, because it was associated with toxicity rather than differentiation (Jackson </w:t>
      </w:r>
      <w:r>
        <w:rPr>
          <w:rFonts w:eastAsia="Times New Roman" w:cs="Arial"/>
          <w:i/>
          <w:iCs/>
          <w:szCs w:val="24"/>
          <w:lang w:eastAsia="en-GB"/>
        </w:rPr>
        <w:t>et al</w:t>
      </w:r>
      <w:r>
        <w:rPr>
          <w:rFonts w:eastAsia="Times New Roman" w:cs="Arial"/>
          <w:szCs w:val="24"/>
          <w:lang w:eastAsia="en-GB"/>
        </w:rPr>
        <w:t xml:space="preserve">., 2007). Human dental pulp stem cells also showed myogenic differentiation in response to the addition of human serum, hydrocortisone and dexamethasone, expressing MyoD-1 and MHC (Huang </w:t>
      </w:r>
      <w:r>
        <w:rPr>
          <w:rFonts w:eastAsia="Times New Roman" w:cs="Arial"/>
          <w:i/>
          <w:iCs/>
          <w:szCs w:val="24"/>
          <w:lang w:eastAsia="en-GB"/>
        </w:rPr>
        <w:t>et al.,</w:t>
      </w:r>
      <w:r>
        <w:rPr>
          <w:rFonts w:eastAsia="Times New Roman" w:cs="Arial"/>
          <w:szCs w:val="24"/>
          <w:lang w:eastAsia="en-GB"/>
        </w:rPr>
        <w:t xml:space="preserve"> 2006a). Furthermore, HDPSCs have been cultured in 3D pellets with dexamethasone, ascorbic acid, phosphate and insulin transferring selenium (ITS) supplement (which consists of bovine insulin, transferrin, selenous acid and further additives including L-glutamine and TGF-beta1) and showed </w:t>
      </w:r>
      <w:r>
        <w:rPr>
          <w:rFonts w:eastAsia="Times New Roman" w:cs="Arial"/>
          <w:szCs w:val="24"/>
          <w:lang w:eastAsia="en-GB"/>
        </w:rPr>
        <w:lastRenderedPageBreak/>
        <w:t xml:space="preserve">enhanced expression of aggrecan and collagen type II indicative of chondrogenic differentiation (Jackson </w:t>
      </w:r>
      <w:r>
        <w:rPr>
          <w:rFonts w:eastAsia="Times New Roman" w:cs="Arial"/>
          <w:i/>
          <w:iCs/>
          <w:szCs w:val="24"/>
          <w:lang w:eastAsia="en-GB"/>
        </w:rPr>
        <w:t>et al.,</w:t>
      </w:r>
      <w:r>
        <w:rPr>
          <w:rFonts w:eastAsia="Times New Roman" w:cs="Arial"/>
          <w:szCs w:val="24"/>
          <w:lang w:eastAsia="en-GB"/>
        </w:rPr>
        <w:t xml:space="preserve"> 2007).</w:t>
      </w:r>
    </w:p>
    <w:p w:rsidR="000A67F0" w:rsidRPr="000A67F0" w:rsidRDefault="000A67F0" w:rsidP="00AC7E8C">
      <w:pPr>
        <w:pStyle w:val="Heading4"/>
        <w:spacing w:line="480" w:lineRule="auto"/>
        <w:rPr>
          <w:lang w:eastAsia="en-GB"/>
        </w:rPr>
      </w:pPr>
      <w:r w:rsidRPr="000A67F0">
        <w:rPr>
          <w:lang w:eastAsia="en-GB"/>
        </w:rPr>
        <w:t>Capability of HDPSCs to regenerate mineralised tissues (dentine)</w:t>
      </w:r>
    </w:p>
    <w:p w:rsidR="00F4151A" w:rsidRDefault="00F4151A" w:rsidP="00F4151A">
      <w:pPr>
        <w:autoSpaceDE w:val="0"/>
        <w:spacing w:after="120" w:line="480" w:lineRule="auto"/>
        <w:jc w:val="both"/>
      </w:pPr>
      <w:r>
        <w:rPr>
          <w:rFonts w:eastAsia="Times New Roman" w:cs="Arial"/>
          <w:szCs w:val="24"/>
          <w:lang w:eastAsia="en-GB"/>
        </w:rPr>
        <w:t xml:space="preserve">Many studies have studied the potential of HDPSCs to differentiate into odontoblasts and regenerate dentine based on the fact that this is one of the innate capabilities of HDPSCs in vivo, since HDPSCs basically act as a reservoir to regenerate and replace degenerated or destroyed odontoblasts due to trauma or caries. The study of HDPSCs added an immense amount of information about the dentinogenesis process in vivo, in addition to proposing various scenarios for dentine tissue engineering and regeneration (Tecles </w:t>
      </w:r>
      <w:r>
        <w:rPr>
          <w:rFonts w:eastAsia="Times New Roman" w:cs="Arial"/>
          <w:i/>
          <w:iCs/>
          <w:szCs w:val="24"/>
          <w:lang w:eastAsia="en-GB"/>
        </w:rPr>
        <w:t>et al.,</w:t>
      </w:r>
      <w:r>
        <w:rPr>
          <w:rFonts w:eastAsia="Times New Roman" w:cs="Arial"/>
          <w:szCs w:val="24"/>
          <w:lang w:eastAsia="en-GB"/>
        </w:rPr>
        <w:t xml:space="preserve"> 2005; Sloan and Smith, 2007; Sloan and Waddington, 2009). The use of dexamethasone, ascorbic acid TGF-β, BMPs, ultrasound mediated gene therapy and the use of biomimetic materials were all possible scenarios used to induce HDPSCs to form dentine in vitro and form a dentine-pulp complex in vivo (Gronthos </w:t>
      </w:r>
      <w:r>
        <w:rPr>
          <w:rFonts w:eastAsia="Times New Roman" w:cs="Arial"/>
          <w:i/>
          <w:iCs/>
          <w:szCs w:val="24"/>
          <w:lang w:eastAsia="en-GB"/>
        </w:rPr>
        <w:t>et al</w:t>
      </w:r>
      <w:r>
        <w:rPr>
          <w:rFonts w:eastAsia="Times New Roman" w:cs="Arial"/>
          <w:szCs w:val="24"/>
          <w:lang w:eastAsia="en-GB"/>
        </w:rPr>
        <w:t xml:space="preserve">., 2000; Gronthos </w:t>
      </w:r>
      <w:r>
        <w:rPr>
          <w:rFonts w:eastAsia="Times New Roman" w:cs="Arial"/>
          <w:i/>
          <w:iCs/>
          <w:szCs w:val="24"/>
          <w:lang w:eastAsia="en-GB"/>
        </w:rPr>
        <w:t>et al</w:t>
      </w:r>
      <w:r>
        <w:rPr>
          <w:rFonts w:eastAsia="Times New Roman" w:cs="Arial"/>
          <w:szCs w:val="24"/>
          <w:lang w:eastAsia="en-GB"/>
        </w:rPr>
        <w:t xml:space="preserve">., 2002; Batouli </w:t>
      </w:r>
      <w:r>
        <w:rPr>
          <w:rFonts w:eastAsia="Times New Roman" w:cs="Arial"/>
          <w:i/>
          <w:iCs/>
          <w:szCs w:val="24"/>
          <w:lang w:eastAsia="en-GB"/>
        </w:rPr>
        <w:t>et al.,</w:t>
      </w:r>
      <w:r>
        <w:rPr>
          <w:rFonts w:eastAsia="Times New Roman" w:cs="Arial"/>
          <w:szCs w:val="24"/>
          <w:lang w:eastAsia="en-GB"/>
        </w:rPr>
        <w:t xml:space="preserve"> 2003; Nakashima </w:t>
      </w:r>
      <w:r>
        <w:rPr>
          <w:rFonts w:eastAsia="Times New Roman" w:cs="Arial"/>
          <w:i/>
          <w:iCs/>
          <w:szCs w:val="24"/>
          <w:lang w:eastAsia="en-GB"/>
        </w:rPr>
        <w:t>et al</w:t>
      </w:r>
      <w:r>
        <w:rPr>
          <w:rFonts w:eastAsia="Times New Roman" w:cs="Arial"/>
          <w:szCs w:val="24"/>
          <w:lang w:eastAsia="en-GB"/>
        </w:rPr>
        <w:t xml:space="preserve">., 2003; Nakashima et al., 2004; Shi </w:t>
      </w:r>
      <w:r>
        <w:rPr>
          <w:rFonts w:eastAsia="Times New Roman" w:cs="Arial"/>
          <w:i/>
          <w:iCs/>
          <w:szCs w:val="24"/>
          <w:lang w:eastAsia="en-GB"/>
        </w:rPr>
        <w:t>et al</w:t>
      </w:r>
      <w:r>
        <w:rPr>
          <w:rFonts w:eastAsia="Times New Roman" w:cs="Arial"/>
          <w:szCs w:val="24"/>
          <w:lang w:eastAsia="en-GB"/>
        </w:rPr>
        <w:t>., 2005; Trope, 2008).</w:t>
      </w:r>
    </w:p>
    <w:p w:rsidR="00F4151A" w:rsidRDefault="00F4151A" w:rsidP="00F4151A">
      <w:pPr>
        <w:autoSpaceDE w:val="0"/>
        <w:spacing w:after="120" w:line="480" w:lineRule="auto"/>
        <w:jc w:val="both"/>
      </w:pPr>
      <w:r>
        <w:rPr>
          <w:rFonts w:eastAsia="Times New Roman" w:cs="Arial"/>
          <w:szCs w:val="24"/>
          <w:lang w:eastAsia="en-GB"/>
        </w:rPr>
        <w:t xml:space="preserve">In addition and again under osteo-inductive culture conditions, dentine extracts and dentine matrix protein-1 have been used to promote HDPSC odontogenic differentiation. Dentine sialophosphoprotein (DSPP) is thought to be a specific marker of odontogenic differentiation. DSPP is expressed in abundance by HDPSCs and in trace amounts by other osteogenic cells (Gronthos </w:t>
      </w:r>
      <w:r>
        <w:rPr>
          <w:rFonts w:eastAsia="Times New Roman" w:cs="Arial"/>
          <w:i/>
          <w:iCs/>
          <w:szCs w:val="24"/>
          <w:lang w:eastAsia="en-GB"/>
        </w:rPr>
        <w:t>et al.,</w:t>
      </w:r>
      <w:r>
        <w:rPr>
          <w:rFonts w:eastAsia="Times New Roman" w:cs="Arial"/>
          <w:szCs w:val="24"/>
          <w:lang w:eastAsia="en-GB"/>
        </w:rPr>
        <w:t xml:space="preserve"> 2000; Batouli </w:t>
      </w:r>
      <w:r>
        <w:rPr>
          <w:rFonts w:eastAsia="Times New Roman" w:cs="Arial"/>
          <w:i/>
          <w:iCs/>
          <w:szCs w:val="24"/>
          <w:lang w:eastAsia="en-GB"/>
        </w:rPr>
        <w:t>et al.,</w:t>
      </w:r>
      <w:r>
        <w:rPr>
          <w:rFonts w:eastAsia="Times New Roman" w:cs="Arial"/>
          <w:szCs w:val="24"/>
          <w:lang w:eastAsia="en-GB"/>
        </w:rPr>
        <w:t xml:space="preserve"> 2003). The DSPP gene encodes for a single gene product that then gives rise via extracellular processing to two major proteins secreted by the odontoblasts: dentine sialoprotein (DSP) and </w:t>
      </w:r>
      <w:r>
        <w:rPr>
          <w:rFonts w:eastAsia="Times New Roman" w:cs="Arial"/>
          <w:szCs w:val="24"/>
          <w:lang w:eastAsia="en-GB"/>
        </w:rPr>
        <w:lastRenderedPageBreak/>
        <w:t xml:space="preserve">dentine phosphoprotein (DPP) and a third recently discovered fragment of protein called dentine glycoprotein (Yamakoshi et al., 2003, 2005, 2006, 2008). When HDPSCs were mixed with hydroxyl apatite ceramic powder and transplanted subcutaneously in immunocompromised mice, they formed a dentine- pulp complex (Gronthos </w:t>
      </w:r>
      <w:r>
        <w:rPr>
          <w:rFonts w:eastAsia="Times New Roman" w:cs="Arial"/>
          <w:i/>
          <w:iCs/>
          <w:szCs w:val="24"/>
          <w:lang w:eastAsia="en-GB"/>
        </w:rPr>
        <w:t>et al.,</w:t>
      </w:r>
      <w:r>
        <w:rPr>
          <w:rFonts w:eastAsia="Times New Roman" w:cs="Arial"/>
          <w:szCs w:val="24"/>
          <w:lang w:eastAsia="en-GB"/>
        </w:rPr>
        <w:t xml:space="preserve"> 2000).</w:t>
      </w:r>
    </w:p>
    <w:p w:rsidR="002062F2" w:rsidRPr="002062F2" w:rsidRDefault="002062F2" w:rsidP="00AC7E8C">
      <w:pPr>
        <w:pStyle w:val="Heading4"/>
        <w:spacing w:line="480" w:lineRule="auto"/>
        <w:rPr>
          <w:lang w:eastAsia="en-GB"/>
        </w:rPr>
      </w:pPr>
      <w:proofErr w:type="gramStart"/>
      <w:r w:rsidRPr="002062F2">
        <w:rPr>
          <w:lang w:eastAsia="en-GB"/>
        </w:rPr>
        <w:t>Type of dental stem cells that have been isolated from human tissue.</w:t>
      </w:r>
      <w:proofErr w:type="gramEnd"/>
    </w:p>
    <w:p w:rsidR="00F4151A" w:rsidRDefault="00F4151A" w:rsidP="00F4151A">
      <w:pPr>
        <w:autoSpaceDE w:val="0"/>
        <w:spacing w:after="120" w:line="480" w:lineRule="auto"/>
        <w:jc w:val="both"/>
        <w:rPr>
          <w:rFonts w:eastAsia="Times New Roman" w:cs="Arial"/>
          <w:color w:val="000000"/>
          <w:szCs w:val="24"/>
          <w:lang w:eastAsia="en-GB"/>
        </w:rPr>
      </w:pPr>
      <w:r>
        <w:rPr>
          <w:rFonts w:eastAsia="Times New Roman" w:cs="Arial"/>
          <w:color w:val="000000"/>
          <w:szCs w:val="24"/>
          <w:lang w:eastAsia="en-GB"/>
        </w:rPr>
        <w:t xml:space="preserve">To date, four types of human dental stem cells have been isolated and characterised: </w:t>
      </w:r>
    </w:p>
    <w:p w:rsidR="00F4151A" w:rsidRDefault="00F4151A" w:rsidP="00F4151A">
      <w:pPr>
        <w:autoSpaceDE w:val="0"/>
        <w:spacing w:after="120" w:line="480" w:lineRule="auto"/>
        <w:jc w:val="both"/>
      </w:pPr>
      <w:r>
        <w:rPr>
          <w:rFonts w:eastAsia="Times New Roman" w:cs="Arial"/>
          <w:color w:val="000000"/>
          <w:szCs w:val="24"/>
          <w:lang w:eastAsia="en-GB"/>
        </w:rPr>
        <w:t>(i) Dental pulp stem cells (DPSCs) (</w:t>
      </w:r>
      <w:r>
        <w:rPr>
          <w:rFonts w:eastAsia="Times New Roman" w:cs="Arial"/>
          <w:szCs w:val="24"/>
          <w:lang w:eastAsia="en-GB"/>
        </w:rPr>
        <w:t>Gronthos</w:t>
      </w:r>
      <w:r>
        <w:rPr>
          <w:rFonts w:eastAsia="Times New Roman" w:cs="Arial"/>
          <w:color w:val="000000"/>
          <w:szCs w:val="24"/>
          <w:lang w:eastAsia="en-GB"/>
        </w:rPr>
        <w:t xml:space="preserve"> </w:t>
      </w:r>
      <w:r>
        <w:rPr>
          <w:rFonts w:eastAsia="Times New Roman" w:cs="Arial"/>
          <w:i/>
          <w:color w:val="000000"/>
          <w:szCs w:val="24"/>
          <w:lang w:eastAsia="en-GB"/>
        </w:rPr>
        <w:t>et al.,</w:t>
      </w:r>
      <w:r>
        <w:rPr>
          <w:rFonts w:eastAsia="Times New Roman" w:cs="Arial"/>
          <w:color w:val="000000"/>
          <w:szCs w:val="24"/>
          <w:lang w:eastAsia="en-GB"/>
        </w:rPr>
        <w:t xml:space="preserve"> 2000).  </w:t>
      </w:r>
    </w:p>
    <w:p w:rsidR="00F4151A" w:rsidRDefault="00F4151A" w:rsidP="00F4151A">
      <w:pPr>
        <w:autoSpaceDE w:val="0"/>
        <w:spacing w:after="120" w:line="480" w:lineRule="auto"/>
        <w:jc w:val="both"/>
      </w:pPr>
      <w:r>
        <w:rPr>
          <w:rFonts w:eastAsia="Times New Roman" w:cs="Arial"/>
          <w:color w:val="000000"/>
          <w:szCs w:val="24"/>
          <w:lang w:eastAsia="en-GB"/>
        </w:rPr>
        <w:t>(ii) Stem cells from exfoliated primary teeth (SHED) (</w:t>
      </w:r>
      <w:r>
        <w:rPr>
          <w:rFonts w:eastAsia="Times New Roman" w:cs="Arial"/>
          <w:szCs w:val="24"/>
          <w:lang w:eastAsia="en-GB"/>
        </w:rPr>
        <w:t xml:space="preserve">Miura </w:t>
      </w:r>
      <w:r>
        <w:rPr>
          <w:rFonts w:eastAsia="Times New Roman" w:cs="Arial"/>
          <w:i/>
          <w:szCs w:val="24"/>
          <w:lang w:eastAsia="en-GB"/>
        </w:rPr>
        <w:t>et al.,</w:t>
      </w:r>
      <w:r>
        <w:rPr>
          <w:rFonts w:eastAsia="Times New Roman" w:cs="Arial"/>
          <w:szCs w:val="24"/>
          <w:lang w:eastAsia="en-GB"/>
        </w:rPr>
        <w:t xml:space="preserve"> 2003).</w:t>
      </w:r>
      <w:r>
        <w:rPr>
          <w:rFonts w:eastAsia="Times New Roman" w:cs="Arial"/>
          <w:color w:val="000066"/>
          <w:szCs w:val="24"/>
          <w:lang w:eastAsia="en-GB"/>
        </w:rPr>
        <w:t xml:space="preserve"> </w:t>
      </w:r>
    </w:p>
    <w:p w:rsidR="00F4151A" w:rsidRDefault="00F4151A" w:rsidP="00F4151A">
      <w:pPr>
        <w:autoSpaceDE w:val="0"/>
        <w:spacing w:after="120" w:line="480" w:lineRule="auto"/>
        <w:jc w:val="both"/>
      </w:pPr>
      <w:r>
        <w:rPr>
          <w:rFonts w:eastAsia="Times New Roman" w:cs="Arial"/>
          <w:color w:val="000000"/>
          <w:szCs w:val="24"/>
          <w:lang w:eastAsia="en-GB"/>
        </w:rPr>
        <w:t>(iii) Stem cells from apical papilla (SCAP)</w:t>
      </w:r>
      <w:r>
        <w:rPr>
          <w:rFonts w:eastAsia="Times New Roman" w:cs="Arial"/>
          <w:color w:val="000066"/>
          <w:szCs w:val="24"/>
          <w:lang w:eastAsia="en-GB"/>
        </w:rPr>
        <w:t xml:space="preserve"> (</w:t>
      </w:r>
      <w:r>
        <w:rPr>
          <w:rFonts w:eastAsia="Times New Roman" w:cs="Arial"/>
          <w:szCs w:val="24"/>
          <w:lang w:val="en-US" w:eastAsia="zh-CN"/>
        </w:rPr>
        <w:t>Sonoyama</w:t>
      </w:r>
      <w:r>
        <w:rPr>
          <w:rFonts w:eastAsia="Times New Roman" w:cs="Arial"/>
          <w:color w:val="000000"/>
          <w:szCs w:val="24"/>
          <w:lang w:eastAsia="en-GB"/>
        </w:rPr>
        <w:t xml:space="preserve"> </w:t>
      </w:r>
      <w:r>
        <w:rPr>
          <w:rFonts w:eastAsia="Times New Roman" w:cs="Arial"/>
          <w:i/>
          <w:color w:val="000000"/>
          <w:szCs w:val="24"/>
          <w:lang w:eastAsia="en-GB"/>
        </w:rPr>
        <w:t>et al.,</w:t>
      </w:r>
      <w:r>
        <w:rPr>
          <w:rFonts w:eastAsia="Times New Roman" w:cs="Arial"/>
          <w:color w:val="000000"/>
          <w:szCs w:val="24"/>
          <w:lang w:eastAsia="en-GB"/>
        </w:rPr>
        <w:t xml:space="preserve"> 2006 and 2008).</w:t>
      </w:r>
    </w:p>
    <w:p w:rsidR="00F4151A" w:rsidRDefault="00F4151A" w:rsidP="00F4151A">
      <w:pPr>
        <w:autoSpaceDE w:val="0"/>
        <w:spacing w:after="120" w:line="480" w:lineRule="auto"/>
        <w:jc w:val="both"/>
      </w:pPr>
      <w:proofErr w:type="gramStart"/>
      <w:r>
        <w:rPr>
          <w:rFonts w:eastAsia="Times New Roman" w:cs="Arial"/>
          <w:color w:val="000000"/>
          <w:szCs w:val="24"/>
          <w:lang w:eastAsia="en-GB"/>
        </w:rPr>
        <w:t>(iv) Periodontal</w:t>
      </w:r>
      <w:proofErr w:type="gramEnd"/>
      <w:r>
        <w:rPr>
          <w:rFonts w:eastAsia="Times New Roman" w:cs="Arial"/>
          <w:color w:val="000000"/>
          <w:szCs w:val="24"/>
          <w:lang w:eastAsia="en-GB"/>
        </w:rPr>
        <w:t xml:space="preserve"> ligament stem cells (PDLSCs) (Soe </w:t>
      </w:r>
      <w:r>
        <w:rPr>
          <w:rFonts w:eastAsia="Times New Roman" w:cs="Arial"/>
          <w:i/>
          <w:color w:val="000000"/>
          <w:szCs w:val="24"/>
          <w:lang w:eastAsia="en-GB"/>
        </w:rPr>
        <w:t>et al.,</w:t>
      </w:r>
      <w:r>
        <w:rPr>
          <w:rFonts w:eastAsia="Times New Roman" w:cs="Arial"/>
          <w:color w:val="000000"/>
          <w:szCs w:val="24"/>
          <w:lang w:eastAsia="en-GB"/>
        </w:rPr>
        <w:t xml:space="preserve"> 2004).</w:t>
      </w:r>
    </w:p>
    <w:p w:rsidR="002062F2" w:rsidRDefault="002062F2">
      <w:pPr>
        <w:rPr>
          <w:rFonts w:eastAsiaTheme="majorEastAsia"/>
          <w:b/>
          <w:bCs/>
          <w:sz w:val="32"/>
          <w:szCs w:val="26"/>
          <w:lang w:eastAsia="en-GB"/>
        </w:rPr>
      </w:pPr>
      <w:r>
        <w:rPr>
          <w:lang w:eastAsia="en-GB"/>
        </w:rPr>
        <w:br w:type="page"/>
      </w:r>
    </w:p>
    <w:p w:rsidR="002062F2" w:rsidRPr="002062F2" w:rsidRDefault="002062F2" w:rsidP="00AC7E8C">
      <w:pPr>
        <w:pStyle w:val="Heading3"/>
        <w:spacing w:line="480" w:lineRule="auto"/>
        <w:rPr>
          <w:lang w:eastAsia="en-GB"/>
        </w:rPr>
      </w:pPr>
      <w:bookmarkStart w:id="663" w:name="_Toc370819310"/>
      <w:r w:rsidRPr="002062F2">
        <w:rPr>
          <w:lang w:eastAsia="en-GB"/>
        </w:rPr>
        <w:lastRenderedPageBreak/>
        <w:t>Revascularization theory Shah et al., (2008)</w:t>
      </w:r>
      <w:bookmarkEnd w:id="663"/>
    </w:p>
    <w:p w:rsidR="00964551" w:rsidRDefault="00964551" w:rsidP="00964551">
      <w:pPr>
        <w:spacing w:after="120" w:line="480" w:lineRule="auto"/>
        <w:jc w:val="both"/>
        <w:rPr>
          <w:rFonts w:eastAsia="Times New Roman" w:cs="Arial"/>
          <w:bCs/>
          <w:szCs w:val="24"/>
          <w:u w:val="single"/>
          <w:lang w:val="en-US" w:eastAsia="en-GB"/>
        </w:rPr>
      </w:pPr>
      <w:r>
        <w:rPr>
          <w:rFonts w:eastAsia="Times New Roman" w:cs="Arial"/>
          <w:bCs/>
          <w:szCs w:val="24"/>
          <w:u w:val="single"/>
          <w:lang w:val="en-US" w:eastAsia="en-GB"/>
        </w:rPr>
        <w:t>Various theories have been proposed to explain the process of regeneration/revascularisation:</w:t>
      </w:r>
    </w:p>
    <w:p w:rsidR="00964551" w:rsidRDefault="00964551" w:rsidP="00964551">
      <w:pPr>
        <w:spacing w:after="120" w:line="480" w:lineRule="auto"/>
        <w:jc w:val="both"/>
        <w:rPr>
          <w:rFonts w:eastAsia="Times New Roman" w:cs="Arial"/>
          <w:bCs/>
          <w:szCs w:val="24"/>
          <w:u w:val="single"/>
          <w:lang w:val="en-US" w:eastAsia="en-GB"/>
        </w:rPr>
      </w:pPr>
      <w:r>
        <w:rPr>
          <w:rFonts w:eastAsia="Times New Roman" w:cs="Arial"/>
          <w:bCs/>
          <w:szCs w:val="24"/>
          <w:u w:val="single"/>
          <w:lang w:val="en-US" w:eastAsia="en-GB"/>
        </w:rPr>
        <w:t>Theory 1</w:t>
      </w:r>
    </w:p>
    <w:p w:rsidR="00964551" w:rsidRDefault="00964551" w:rsidP="00964551">
      <w:pPr>
        <w:spacing w:after="120" w:line="480" w:lineRule="auto"/>
        <w:jc w:val="both"/>
      </w:pPr>
      <w:r>
        <w:rPr>
          <w:rFonts w:eastAsia="Times New Roman" w:cs="Arial"/>
          <w:color w:val="000000"/>
          <w:szCs w:val="24"/>
          <w:lang w:eastAsia="en-GB"/>
        </w:rPr>
        <w:t>It is possible that a few vital pulp cells remain at the apical end of the root canal (</w:t>
      </w:r>
      <w:r>
        <w:rPr>
          <w:rFonts w:eastAsia="Times New Roman" w:cs="Arial"/>
          <w:szCs w:val="24"/>
          <w:lang w:eastAsia="en-GB"/>
        </w:rPr>
        <w:t>Banchs</w:t>
      </w:r>
      <w:r>
        <w:rPr>
          <w:rFonts w:eastAsia="Times New Roman" w:cs="Arial"/>
          <w:color w:val="000000"/>
          <w:szCs w:val="24"/>
          <w:lang w:eastAsia="en-GB"/>
        </w:rPr>
        <w:t xml:space="preserve"> </w:t>
      </w:r>
      <w:r>
        <w:rPr>
          <w:rFonts w:eastAsia="Times New Roman" w:cs="Arial"/>
          <w:i/>
          <w:color w:val="000000"/>
          <w:szCs w:val="24"/>
          <w:lang w:eastAsia="en-GB"/>
        </w:rPr>
        <w:t>et al.,</w:t>
      </w:r>
      <w:r>
        <w:rPr>
          <w:rFonts w:eastAsia="Times New Roman" w:cs="Arial"/>
          <w:color w:val="000000"/>
          <w:szCs w:val="24"/>
          <w:lang w:eastAsia="en-GB"/>
        </w:rPr>
        <w:t xml:space="preserve"> 2004). These cells might proliferate and differentiate into odontoblasts under the organising influence of cells of Hertwig’s epithelial root sheath, which are quite resistant to destruction, even in the presence of inflammation (</w:t>
      </w:r>
      <w:r>
        <w:rPr>
          <w:rFonts w:eastAsia="Times New Roman" w:cs="Arial"/>
          <w:szCs w:val="24"/>
          <w:lang w:val="en-US" w:eastAsia="zh-CN"/>
        </w:rPr>
        <w:t xml:space="preserve">Sonoyama </w:t>
      </w:r>
      <w:r>
        <w:rPr>
          <w:rFonts w:eastAsia="Times New Roman" w:cs="Arial"/>
          <w:i/>
          <w:szCs w:val="24"/>
          <w:lang w:eastAsia="en-GB"/>
        </w:rPr>
        <w:t>et al.,</w:t>
      </w:r>
      <w:r>
        <w:rPr>
          <w:rFonts w:eastAsia="Times New Roman" w:cs="Arial"/>
          <w:szCs w:val="24"/>
          <w:lang w:eastAsia="en-GB"/>
        </w:rPr>
        <w:t xml:space="preserve"> 2008).</w:t>
      </w:r>
      <w:r>
        <w:rPr>
          <w:rFonts w:eastAsia="Times New Roman" w:cs="Arial"/>
          <w:color w:val="000000"/>
          <w:szCs w:val="24"/>
          <w:lang w:eastAsia="en-GB"/>
        </w:rPr>
        <w:t xml:space="preserve"> The newly formed odontoblasts can lay down atubular dentine at the apical end, causing apexogenesis (elongation of root), as well as on lateral aspects of dentinal walls of the root canal, reinforcing and strengthening the root. </w:t>
      </w:r>
    </w:p>
    <w:p w:rsidR="00964551" w:rsidRDefault="00964551" w:rsidP="00964551">
      <w:pPr>
        <w:spacing w:after="120" w:line="480" w:lineRule="auto"/>
        <w:jc w:val="both"/>
        <w:rPr>
          <w:rFonts w:eastAsia="Times New Roman" w:cs="Arial"/>
          <w:bCs/>
          <w:szCs w:val="24"/>
          <w:u w:val="single"/>
          <w:lang w:val="en-US" w:eastAsia="en-GB"/>
        </w:rPr>
      </w:pPr>
      <w:r>
        <w:rPr>
          <w:rFonts w:eastAsia="Times New Roman" w:cs="Arial"/>
          <w:bCs/>
          <w:szCs w:val="24"/>
          <w:u w:val="single"/>
          <w:lang w:val="en-US" w:eastAsia="en-GB"/>
        </w:rPr>
        <w:t>Theory 2</w:t>
      </w:r>
    </w:p>
    <w:p w:rsidR="00964551" w:rsidRDefault="00964551" w:rsidP="00964551">
      <w:pPr>
        <w:spacing w:after="120" w:line="480" w:lineRule="auto"/>
        <w:jc w:val="both"/>
      </w:pPr>
      <w:r>
        <w:rPr>
          <w:rFonts w:eastAsia="Times New Roman" w:cs="Arial"/>
          <w:color w:val="000000"/>
          <w:szCs w:val="24"/>
          <w:lang w:eastAsia="en-GB"/>
        </w:rPr>
        <w:t xml:space="preserve">Another possible mechanism of continued root development could be due to multipotent dental pulp stem cells, which are present in permanent teeth.  </w:t>
      </w:r>
      <w:proofErr w:type="gramStart"/>
      <w:r w:rsidR="00632420">
        <w:rPr>
          <w:rFonts w:eastAsia="Times New Roman" w:cs="Arial"/>
          <w:color w:val="000000"/>
          <w:szCs w:val="24"/>
          <w:lang w:eastAsia="en-GB"/>
        </w:rPr>
        <w:t>(</w:t>
      </w:r>
      <w:r>
        <w:rPr>
          <w:rFonts w:eastAsia="Times New Roman" w:cs="Arial"/>
          <w:szCs w:val="24"/>
          <w:lang w:eastAsia="en-GB"/>
        </w:rPr>
        <w:t>Gronthos</w:t>
      </w:r>
      <w:r>
        <w:rPr>
          <w:rFonts w:eastAsia="Times New Roman" w:cs="Arial"/>
          <w:color w:val="000000"/>
          <w:szCs w:val="24"/>
          <w:lang w:eastAsia="en-GB"/>
        </w:rPr>
        <w:t xml:space="preserve"> </w:t>
      </w:r>
      <w:r>
        <w:rPr>
          <w:rFonts w:eastAsia="Times New Roman" w:cs="Arial"/>
          <w:i/>
          <w:color w:val="000000"/>
          <w:szCs w:val="24"/>
          <w:lang w:eastAsia="en-GB"/>
        </w:rPr>
        <w:t>et al.,</w:t>
      </w:r>
      <w:r>
        <w:rPr>
          <w:rFonts w:eastAsia="Times New Roman" w:cs="Arial"/>
          <w:color w:val="000000"/>
          <w:szCs w:val="24"/>
          <w:lang w:eastAsia="en-GB"/>
        </w:rPr>
        <w:t xml:space="preserve"> 2002)</w:t>
      </w:r>
      <w:r w:rsidR="00632420">
        <w:rPr>
          <w:rFonts w:eastAsia="Times New Roman" w:cs="Arial"/>
          <w:color w:val="000000"/>
          <w:szCs w:val="24"/>
          <w:lang w:eastAsia="en-GB"/>
        </w:rPr>
        <w:t>.</w:t>
      </w:r>
      <w:proofErr w:type="gramEnd"/>
      <w:r w:rsidR="00632420">
        <w:rPr>
          <w:rFonts w:eastAsia="Times New Roman" w:cs="Arial"/>
          <w:color w:val="000000"/>
          <w:szCs w:val="24"/>
          <w:lang w:eastAsia="en-GB"/>
        </w:rPr>
        <w:t xml:space="preserve"> These</w:t>
      </w:r>
      <w:r>
        <w:rPr>
          <w:rFonts w:eastAsia="Times New Roman" w:cs="Arial"/>
          <w:color w:val="000000"/>
          <w:szCs w:val="24"/>
          <w:lang w:eastAsia="en-GB"/>
        </w:rPr>
        <w:t xml:space="preserve"> and might be present in abundance in immature teeth. These cells from the apical end might be seeded onto the existing dentinal walls and might differentiate into odontoblasts and deposit tertiary or atubular dentine. </w:t>
      </w:r>
    </w:p>
    <w:p w:rsidR="00964551" w:rsidRDefault="00964551" w:rsidP="00964551">
      <w:pPr>
        <w:spacing w:after="120" w:line="480" w:lineRule="auto"/>
        <w:jc w:val="both"/>
        <w:rPr>
          <w:rFonts w:eastAsia="Times New Roman" w:cs="Arial"/>
          <w:bCs/>
          <w:szCs w:val="24"/>
          <w:u w:val="single"/>
          <w:lang w:val="en-US" w:eastAsia="en-GB"/>
        </w:rPr>
      </w:pPr>
      <w:r>
        <w:rPr>
          <w:rFonts w:eastAsia="Times New Roman" w:cs="Arial"/>
          <w:bCs/>
          <w:szCs w:val="24"/>
          <w:u w:val="single"/>
          <w:lang w:val="en-US" w:eastAsia="en-GB"/>
        </w:rPr>
        <w:t>Theory 3</w:t>
      </w:r>
    </w:p>
    <w:p w:rsidR="00964551" w:rsidRDefault="00964551" w:rsidP="00964551">
      <w:pPr>
        <w:spacing w:after="120" w:line="480" w:lineRule="auto"/>
        <w:jc w:val="both"/>
      </w:pPr>
      <w:r>
        <w:rPr>
          <w:rFonts w:eastAsia="Times New Roman" w:cs="Arial"/>
          <w:color w:val="000000"/>
          <w:szCs w:val="24"/>
          <w:lang w:eastAsia="en-GB"/>
        </w:rPr>
        <w:t xml:space="preserve">The third possible mechanism could be attributed to the presence of stem cells in the periodontal ligament (Soe </w:t>
      </w:r>
      <w:r>
        <w:rPr>
          <w:rFonts w:eastAsia="Times New Roman" w:cs="Arial"/>
          <w:i/>
          <w:color w:val="000000"/>
          <w:szCs w:val="24"/>
          <w:lang w:eastAsia="en-GB"/>
        </w:rPr>
        <w:t>et al.,</w:t>
      </w:r>
      <w:r>
        <w:rPr>
          <w:rFonts w:eastAsia="Times New Roman" w:cs="Arial"/>
          <w:color w:val="000000"/>
          <w:szCs w:val="24"/>
          <w:lang w:eastAsia="en-GB"/>
        </w:rPr>
        <w:t xml:space="preserve"> 2004) which can proliferate, grow into the apical end and within the root canal, and deposit hard tissue both at the apical end and on the lateral root walls. The evidence in support of this </w:t>
      </w:r>
      <w:r>
        <w:rPr>
          <w:rFonts w:eastAsia="Times New Roman" w:cs="Arial"/>
          <w:color w:val="000000"/>
          <w:szCs w:val="24"/>
          <w:lang w:eastAsia="en-GB"/>
        </w:rPr>
        <w:lastRenderedPageBreak/>
        <w:t xml:space="preserve">hypothesis is presented by documentation of cementum and Sharpey’s fibres in the newly formed tissues. </w:t>
      </w:r>
    </w:p>
    <w:p w:rsidR="00964551" w:rsidRDefault="00964551" w:rsidP="00964551">
      <w:pPr>
        <w:spacing w:after="120" w:line="480" w:lineRule="auto"/>
        <w:jc w:val="both"/>
        <w:rPr>
          <w:rFonts w:eastAsia="Times New Roman" w:cs="Arial"/>
          <w:bCs/>
          <w:szCs w:val="24"/>
          <w:u w:val="single"/>
          <w:lang w:val="en-US" w:eastAsia="en-GB"/>
        </w:rPr>
      </w:pPr>
      <w:r>
        <w:rPr>
          <w:rFonts w:eastAsia="Times New Roman" w:cs="Arial"/>
          <w:bCs/>
          <w:szCs w:val="24"/>
          <w:u w:val="single"/>
          <w:lang w:val="en-US" w:eastAsia="en-GB"/>
        </w:rPr>
        <w:t>Theory 4</w:t>
      </w:r>
    </w:p>
    <w:p w:rsidR="00964551" w:rsidRDefault="00964551" w:rsidP="00964551">
      <w:pPr>
        <w:spacing w:after="120" w:line="480" w:lineRule="auto"/>
        <w:jc w:val="both"/>
      </w:pPr>
      <w:r>
        <w:rPr>
          <w:rFonts w:eastAsia="Times New Roman" w:cs="Arial"/>
          <w:color w:val="000000"/>
          <w:szCs w:val="24"/>
          <w:lang w:eastAsia="en-GB"/>
        </w:rPr>
        <w:t xml:space="preserve">The fourth possible mechanism of root development could be attributed to stem cells from the apical papilla or the bone marrow. Instrumentation beyond the confines of the root canal to induce bleeding can also transplant mesenchymal stem cells from the bone into the canal lumen. These cells have extensive proliferating capacity. Transplantation studies have shown that human stem cells from bone marrow can form bone or dentine in vivo </w:t>
      </w:r>
      <w:r w:rsidR="00632420">
        <w:rPr>
          <w:rFonts w:eastAsia="Times New Roman" w:cs="Arial"/>
          <w:color w:val="000000"/>
          <w:szCs w:val="24"/>
          <w:lang w:eastAsia="en-GB"/>
        </w:rPr>
        <w:t>(</w:t>
      </w:r>
      <w:r>
        <w:rPr>
          <w:rFonts w:eastAsia="Times New Roman" w:cs="Arial"/>
          <w:szCs w:val="24"/>
          <w:lang w:eastAsia="en-GB"/>
        </w:rPr>
        <w:t xml:space="preserve">Gronthos </w:t>
      </w:r>
      <w:r>
        <w:rPr>
          <w:rFonts w:eastAsia="Times New Roman" w:cs="Arial"/>
          <w:i/>
          <w:szCs w:val="24"/>
          <w:lang w:eastAsia="en-GB"/>
        </w:rPr>
        <w:t>et al.,</w:t>
      </w:r>
      <w:r>
        <w:rPr>
          <w:rFonts w:eastAsia="Times New Roman" w:cs="Arial"/>
          <w:szCs w:val="24"/>
          <w:lang w:eastAsia="en-GB"/>
        </w:rPr>
        <w:t xml:space="preserve"> 1997).</w:t>
      </w:r>
      <w:r>
        <w:rPr>
          <w:rFonts w:eastAsia="Times New Roman" w:cs="Arial"/>
          <w:color w:val="000000"/>
          <w:szCs w:val="24"/>
          <w:lang w:eastAsia="en-GB"/>
        </w:rPr>
        <w:t xml:space="preserve"> </w:t>
      </w:r>
    </w:p>
    <w:p w:rsidR="00964551" w:rsidRDefault="00964551" w:rsidP="00964551">
      <w:pPr>
        <w:spacing w:after="120" w:line="480" w:lineRule="auto"/>
        <w:jc w:val="both"/>
        <w:rPr>
          <w:rFonts w:eastAsia="Times New Roman" w:cs="Arial"/>
          <w:bCs/>
          <w:szCs w:val="24"/>
          <w:u w:val="single"/>
          <w:lang w:val="en-US" w:eastAsia="en-GB"/>
        </w:rPr>
      </w:pPr>
      <w:r>
        <w:rPr>
          <w:rFonts w:eastAsia="Times New Roman" w:cs="Arial"/>
          <w:bCs/>
          <w:szCs w:val="24"/>
          <w:u w:val="single"/>
          <w:lang w:val="en-US" w:eastAsia="en-GB"/>
        </w:rPr>
        <w:t>Theory 5:</w:t>
      </w:r>
    </w:p>
    <w:p w:rsidR="00964551" w:rsidRDefault="00964551" w:rsidP="00964551">
      <w:pPr>
        <w:spacing w:after="120" w:line="480" w:lineRule="auto"/>
        <w:jc w:val="both"/>
      </w:pPr>
      <w:r>
        <w:rPr>
          <w:rFonts w:eastAsia="Times New Roman" w:cs="Arial"/>
          <w:bCs/>
          <w:szCs w:val="24"/>
          <w:lang w:val="en-US" w:eastAsia="en-GB"/>
        </w:rPr>
        <w:t xml:space="preserve">The fifth </w:t>
      </w:r>
      <w:r>
        <w:rPr>
          <w:rFonts w:eastAsia="Times New Roman" w:cs="Arial"/>
          <w:color w:val="000000"/>
          <w:szCs w:val="24"/>
          <w:lang w:eastAsia="en-GB"/>
        </w:rPr>
        <w:t xml:space="preserve">possible mechanism could be that the blood clot itself, being a rich source of growth factors, could play an important role in regeneration. These include platelet-derived growth factor, vascular endothelial growth factor (VEGF), platelet-derived epithelial growth factor, and tissue growth factor and could stimulate differentiation, growth, and maturation of fibroblasts, odontoblasts, cementoblasts, etc from the immature, undifferentiated mesenchymal cells in the newly formed tissue matrix. Expression of VEGF in immature and mature permanent teeth has been documented </w:t>
      </w:r>
      <w:r w:rsidR="00632420">
        <w:rPr>
          <w:rFonts w:eastAsia="Times New Roman" w:cs="Arial"/>
          <w:color w:val="000000"/>
          <w:szCs w:val="24"/>
          <w:lang w:eastAsia="en-GB"/>
        </w:rPr>
        <w:t xml:space="preserve">by </w:t>
      </w:r>
      <w:r>
        <w:rPr>
          <w:rFonts w:eastAsia="Times New Roman" w:cs="Arial"/>
          <w:szCs w:val="24"/>
          <w:lang w:eastAsia="en-GB"/>
        </w:rPr>
        <w:t xml:space="preserve">Wang </w:t>
      </w:r>
      <w:r>
        <w:rPr>
          <w:rFonts w:eastAsia="Times New Roman" w:cs="Arial"/>
          <w:i/>
          <w:szCs w:val="24"/>
          <w:lang w:eastAsia="en-GB"/>
        </w:rPr>
        <w:t>et al.,</w:t>
      </w:r>
      <w:r>
        <w:rPr>
          <w:rFonts w:eastAsia="Times New Roman" w:cs="Arial"/>
          <w:szCs w:val="24"/>
          <w:lang w:eastAsia="en-GB"/>
        </w:rPr>
        <w:t xml:space="preserve"> (2007).</w:t>
      </w:r>
    </w:p>
    <w:p w:rsidR="002062F2" w:rsidRDefault="002062F2">
      <w:pPr>
        <w:rPr>
          <w:rFonts w:eastAsiaTheme="majorEastAsia"/>
          <w:b/>
          <w:bCs/>
          <w:sz w:val="32"/>
          <w:szCs w:val="26"/>
          <w:lang w:eastAsia="en-GB"/>
        </w:rPr>
      </w:pPr>
      <w:r>
        <w:rPr>
          <w:lang w:eastAsia="en-GB"/>
        </w:rPr>
        <w:br w:type="page"/>
      </w:r>
    </w:p>
    <w:p w:rsidR="002062F2" w:rsidRPr="002062F2" w:rsidRDefault="002062F2" w:rsidP="00AC7E8C">
      <w:pPr>
        <w:pStyle w:val="Heading3"/>
        <w:spacing w:line="480" w:lineRule="auto"/>
        <w:rPr>
          <w:lang w:eastAsia="en-GB"/>
        </w:rPr>
      </w:pPr>
      <w:bookmarkStart w:id="664" w:name="_Toc370819311"/>
      <w:r w:rsidRPr="002062F2">
        <w:rPr>
          <w:lang w:eastAsia="en-GB"/>
        </w:rPr>
        <w:lastRenderedPageBreak/>
        <w:t xml:space="preserve">Medicaments that </w:t>
      </w:r>
      <w:r w:rsidR="00AC7E8C" w:rsidRPr="002062F2">
        <w:rPr>
          <w:lang w:eastAsia="en-GB"/>
        </w:rPr>
        <w:t>have been</w:t>
      </w:r>
      <w:r w:rsidRPr="002062F2">
        <w:rPr>
          <w:lang w:eastAsia="en-GB"/>
        </w:rPr>
        <w:t xml:space="preserve"> used </w:t>
      </w:r>
      <w:proofErr w:type="gramStart"/>
      <w:r w:rsidRPr="002062F2">
        <w:rPr>
          <w:lang w:eastAsia="en-GB"/>
        </w:rPr>
        <w:t>for  irrigation</w:t>
      </w:r>
      <w:proofErr w:type="gramEnd"/>
      <w:r w:rsidRPr="002062F2">
        <w:rPr>
          <w:lang w:eastAsia="en-GB"/>
        </w:rPr>
        <w:t xml:space="preserve"> and disinfection of the root canals</w:t>
      </w:r>
      <w:bookmarkEnd w:id="664"/>
    </w:p>
    <w:p w:rsidR="00964551" w:rsidRDefault="00964551" w:rsidP="00964551">
      <w:pPr>
        <w:autoSpaceDE w:val="0"/>
        <w:spacing w:after="120" w:line="480" w:lineRule="auto"/>
        <w:jc w:val="both"/>
      </w:pPr>
      <w:r>
        <w:rPr>
          <w:rFonts w:eastAsia="SimSun" w:cs="Arial"/>
          <w:szCs w:val="24"/>
          <w:lang w:eastAsia="zh-CN"/>
        </w:rPr>
        <w:t xml:space="preserve">In a study by Shah </w:t>
      </w:r>
      <w:r>
        <w:rPr>
          <w:rFonts w:eastAsia="SimSun" w:cs="Arial"/>
          <w:i/>
          <w:szCs w:val="24"/>
          <w:lang w:eastAsia="zh-CN"/>
        </w:rPr>
        <w:t>et al.,</w:t>
      </w:r>
      <w:r>
        <w:rPr>
          <w:rFonts w:eastAsia="SimSun" w:cs="Arial"/>
          <w:szCs w:val="24"/>
          <w:lang w:eastAsia="zh-CN"/>
        </w:rPr>
        <w:t xml:space="preserve"> (2008) the root </w:t>
      </w:r>
      <w:r>
        <w:rPr>
          <w:rFonts w:eastAsia="SimSun" w:cs="Arial"/>
          <w:szCs w:val="24"/>
          <w:lang w:val="en-US" w:eastAsia="zh-CN"/>
        </w:rPr>
        <w:t>canal systems were irrigated with 3% hydrogen peroxide + 2.5% sodium hypochlorite following which formocresol</w:t>
      </w:r>
      <w:r>
        <w:rPr>
          <w:rFonts w:eastAsia="SimSun" w:cs="Arial"/>
          <w:b/>
          <w:bCs/>
          <w:szCs w:val="24"/>
          <w:lang w:val="en-US" w:eastAsia="zh-CN"/>
        </w:rPr>
        <w:t xml:space="preserve"> </w:t>
      </w:r>
      <w:r>
        <w:rPr>
          <w:rFonts w:eastAsia="SimSun" w:cs="Arial"/>
          <w:bCs/>
          <w:szCs w:val="24"/>
          <w:lang w:val="en-US" w:eastAsia="zh-CN"/>
        </w:rPr>
        <w:t xml:space="preserve">was used for intracanal </w:t>
      </w:r>
      <w:r>
        <w:rPr>
          <w:rFonts w:eastAsia="SimSun" w:cs="Arial"/>
          <w:szCs w:val="24"/>
          <w:lang w:val="en-US" w:eastAsia="zh-CN"/>
        </w:rPr>
        <w:t xml:space="preserve">disinfection. </w:t>
      </w:r>
    </w:p>
    <w:p w:rsidR="00964551" w:rsidRDefault="00964551" w:rsidP="00964551">
      <w:pPr>
        <w:autoSpaceDE w:val="0"/>
        <w:spacing w:after="120" w:line="480" w:lineRule="auto"/>
        <w:jc w:val="both"/>
      </w:pPr>
      <w:r>
        <w:rPr>
          <w:rFonts w:eastAsia="SimSun" w:cs="Arial"/>
          <w:szCs w:val="24"/>
          <w:lang w:eastAsia="zh-CN"/>
        </w:rPr>
        <w:t>In the publications of Chueh</w:t>
      </w:r>
      <w:r>
        <w:rPr>
          <w:rFonts w:eastAsia="Times New Roman" w:cs="Arial"/>
          <w:szCs w:val="24"/>
          <w:lang w:eastAsia="en-GB"/>
        </w:rPr>
        <w:t xml:space="preserve"> and Huang (2006) and </w:t>
      </w:r>
      <w:r>
        <w:rPr>
          <w:rFonts w:eastAsia="Times New Roman" w:cs="Arial"/>
          <w:color w:val="231F20"/>
          <w:szCs w:val="24"/>
          <w:lang w:eastAsia="en-GB"/>
        </w:rPr>
        <w:t xml:space="preserve">Chueh </w:t>
      </w:r>
      <w:r w:rsidRPr="00964551">
        <w:rPr>
          <w:rFonts w:eastAsia="Times New Roman" w:cs="Arial"/>
          <w:i/>
          <w:iCs/>
          <w:color w:val="231F20"/>
          <w:szCs w:val="24"/>
          <w:lang w:eastAsia="en-GB"/>
        </w:rPr>
        <w:t xml:space="preserve">et al., </w:t>
      </w:r>
      <w:r>
        <w:rPr>
          <w:rFonts w:eastAsia="Times New Roman" w:cs="Arial"/>
          <w:color w:val="231F20"/>
          <w:szCs w:val="24"/>
          <w:lang w:eastAsia="en-GB"/>
        </w:rPr>
        <w:t>(2009</w:t>
      </w:r>
      <w:r>
        <w:rPr>
          <w:rFonts w:eastAsia="Times New Roman" w:cs="Arial"/>
          <w:szCs w:val="24"/>
          <w:lang w:eastAsia="en-GB"/>
        </w:rPr>
        <w:t xml:space="preserve">) irrigation had been carried out with </w:t>
      </w:r>
      <w:r>
        <w:rPr>
          <w:rFonts w:eastAsia="SimSun" w:cs="Arial"/>
          <w:szCs w:val="24"/>
          <w:lang w:val="en-US" w:eastAsia="zh-CN"/>
        </w:rPr>
        <w:t xml:space="preserve">2.5% sodium hypochlorite following which calcium hydroxide was used as an antibacterial agent in the root canal. Also, Cotti </w:t>
      </w:r>
      <w:r w:rsidRPr="00964551">
        <w:rPr>
          <w:rFonts w:eastAsia="SimSun" w:cs="Arial"/>
          <w:i/>
          <w:iCs/>
          <w:szCs w:val="24"/>
          <w:lang w:val="en-US" w:eastAsia="zh-CN"/>
        </w:rPr>
        <w:t>et al.,</w:t>
      </w:r>
      <w:r>
        <w:rPr>
          <w:rFonts w:eastAsia="SimSun" w:cs="Arial"/>
          <w:szCs w:val="24"/>
          <w:lang w:val="en-US" w:eastAsia="zh-CN"/>
        </w:rPr>
        <w:t xml:space="preserve"> (2008) used calcium hydroxide but a different concentration (5.25%) of sodium hypochlorite.  On the other hand it has been reported that in some cases where calcium hydroxide </w:t>
      </w:r>
      <w:r>
        <w:rPr>
          <w:rFonts w:eastAsia="SimSun" w:cs="Arial"/>
          <w:szCs w:val="24"/>
          <w:lang w:eastAsia="zh-CN"/>
        </w:rPr>
        <w:t>had been used in the canals, calcifications that appeared to impede the continued thickening of the dentinal walls of these immature teeth could be observed (</w:t>
      </w:r>
      <w:r>
        <w:rPr>
          <w:rFonts w:eastAsia="Times New Roman" w:cs="Arial"/>
          <w:szCs w:val="24"/>
          <w:lang w:eastAsia="en-GB"/>
        </w:rPr>
        <w:t>Chueh and Huang, 2006</w:t>
      </w:r>
      <w:r>
        <w:rPr>
          <w:rFonts w:eastAsia="SimSun" w:cs="Arial"/>
          <w:szCs w:val="24"/>
          <w:lang w:eastAsia="zh-CN"/>
        </w:rPr>
        <w:t xml:space="preserve">). In addition, other investigators (Banches and Trope, 2004) have suggested that the use of </w:t>
      </w:r>
      <w:r>
        <w:rPr>
          <w:rFonts w:eastAsia="SimSun" w:cs="Arial"/>
          <w:szCs w:val="24"/>
          <w:lang w:val="en-US" w:eastAsia="zh-CN"/>
        </w:rPr>
        <w:t>calcium hydroxide</w:t>
      </w:r>
      <w:r>
        <w:rPr>
          <w:rFonts w:eastAsia="SimSun" w:cs="Arial"/>
          <w:szCs w:val="24"/>
          <w:lang w:eastAsia="zh-CN"/>
        </w:rPr>
        <w:t xml:space="preserve"> might kill any remaining pulpal cells, including stem or progenitor cells known to be present in dental pulp tissue (Liu </w:t>
      </w:r>
      <w:r>
        <w:rPr>
          <w:rFonts w:eastAsia="SimSun" w:cs="Arial"/>
          <w:i/>
          <w:szCs w:val="24"/>
          <w:lang w:eastAsia="zh-CN"/>
        </w:rPr>
        <w:t>et al.,</w:t>
      </w:r>
      <w:r>
        <w:rPr>
          <w:rFonts w:eastAsia="SimSun" w:cs="Arial"/>
          <w:szCs w:val="24"/>
          <w:lang w:eastAsia="zh-CN"/>
        </w:rPr>
        <w:t xml:space="preserve"> 2006), or possibly disrupt the apical </w:t>
      </w:r>
      <w:proofErr w:type="gramStart"/>
      <w:r>
        <w:rPr>
          <w:rFonts w:eastAsia="SimSun" w:cs="Arial"/>
          <w:szCs w:val="24"/>
          <w:lang w:eastAsia="zh-CN"/>
        </w:rPr>
        <w:t>papilla  and</w:t>
      </w:r>
      <w:proofErr w:type="gramEnd"/>
      <w:r>
        <w:rPr>
          <w:rFonts w:eastAsia="SimSun" w:cs="Arial"/>
          <w:szCs w:val="24"/>
          <w:lang w:eastAsia="zh-CN"/>
        </w:rPr>
        <w:t xml:space="preserve"> its resident stem cells (</w:t>
      </w:r>
      <w:r>
        <w:rPr>
          <w:rFonts w:eastAsia="Times New Roman" w:cs="Arial"/>
          <w:szCs w:val="24"/>
          <w:lang w:eastAsia="en-GB"/>
        </w:rPr>
        <w:t>Sonoyama</w:t>
      </w:r>
      <w:r>
        <w:rPr>
          <w:rFonts w:eastAsia="SimSun" w:cs="Arial"/>
          <w:szCs w:val="24"/>
          <w:lang w:eastAsia="zh-CN"/>
        </w:rPr>
        <w:t xml:space="preserve"> </w:t>
      </w:r>
      <w:r>
        <w:rPr>
          <w:rFonts w:eastAsia="SimSun" w:cs="Arial"/>
          <w:i/>
          <w:szCs w:val="24"/>
          <w:lang w:eastAsia="zh-CN"/>
        </w:rPr>
        <w:t>et al.,</w:t>
      </w:r>
      <w:r>
        <w:rPr>
          <w:rFonts w:eastAsia="SimSun" w:cs="Arial"/>
          <w:szCs w:val="24"/>
          <w:lang w:eastAsia="zh-CN"/>
        </w:rPr>
        <w:t xml:space="preserve"> 2006 and 2008), which is critical for continued root development.</w:t>
      </w:r>
    </w:p>
    <w:p w:rsidR="00964551" w:rsidRDefault="00632420" w:rsidP="00964551">
      <w:pPr>
        <w:autoSpaceDE w:val="0"/>
        <w:spacing w:after="120" w:line="480" w:lineRule="auto"/>
        <w:jc w:val="both"/>
      </w:pPr>
      <w:r>
        <w:rPr>
          <w:rFonts w:eastAsia="SimSun" w:cs="Arial"/>
          <w:szCs w:val="24"/>
          <w:lang w:eastAsia="zh-CN"/>
        </w:rPr>
        <w:t xml:space="preserve">In </w:t>
      </w:r>
      <w:r w:rsidR="00964551">
        <w:rPr>
          <w:rFonts w:eastAsia="SimSun" w:cs="Arial"/>
          <w:szCs w:val="24"/>
          <w:lang w:eastAsia="zh-CN"/>
        </w:rPr>
        <w:t xml:space="preserve">other case reports (Banches and Trope, 2004) irrigation of the canal was carried out with  5.25% NaOCl and 10 ml of Peridex following which a mixture of ciprofloxacin, metronidazole, and minocycline paste as described by Hoshino </w:t>
      </w:r>
      <w:r w:rsidR="00964551">
        <w:rPr>
          <w:rFonts w:eastAsia="SimSun" w:cs="Arial"/>
          <w:i/>
          <w:szCs w:val="24"/>
          <w:lang w:eastAsia="zh-CN"/>
        </w:rPr>
        <w:t>et al.</w:t>
      </w:r>
      <w:r w:rsidR="00964551">
        <w:rPr>
          <w:rFonts w:eastAsia="SimSun" w:cs="Arial"/>
          <w:szCs w:val="24"/>
          <w:lang w:eastAsia="zh-CN"/>
        </w:rPr>
        <w:t xml:space="preserve"> (1996) was used in the canal.</w:t>
      </w:r>
    </w:p>
    <w:p w:rsidR="00964551" w:rsidRDefault="00964551" w:rsidP="00964551">
      <w:pPr>
        <w:autoSpaceDE w:val="0"/>
        <w:spacing w:after="120" w:line="480" w:lineRule="auto"/>
        <w:jc w:val="both"/>
      </w:pPr>
      <w:r>
        <w:rPr>
          <w:rFonts w:eastAsia="SimSun" w:cs="Arial"/>
          <w:szCs w:val="24"/>
          <w:lang w:eastAsia="zh-CN"/>
        </w:rPr>
        <w:t xml:space="preserve">This triple antibiotic mixture has high efficacy. In a recent study on dogs, the intra-canal delivery of a 20-mg/mL solution of these three antibiotics via a </w:t>
      </w:r>
      <w:r>
        <w:rPr>
          <w:rFonts w:eastAsia="SimSun" w:cs="Arial"/>
          <w:szCs w:val="24"/>
          <w:lang w:eastAsia="zh-CN"/>
        </w:rPr>
        <w:lastRenderedPageBreak/>
        <w:t>Lentulo spiral resulted in a greater than 99% reduction in mean colony-forming units (CFU) levels, with approximately 75% of the root canal systems having no cultivable microorganisms present</w:t>
      </w:r>
      <w:r>
        <w:rPr>
          <w:rFonts w:eastAsia="Times New Roman" w:cs="Arial"/>
          <w:szCs w:val="24"/>
          <w:lang w:eastAsia="en-GB"/>
        </w:rPr>
        <w:t xml:space="preserve"> (Windley </w:t>
      </w:r>
      <w:r>
        <w:rPr>
          <w:rFonts w:eastAsia="Times New Roman" w:cs="Arial"/>
          <w:i/>
          <w:szCs w:val="24"/>
          <w:lang w:eastAsia="en-GB"/>
        </w:rPr>
        <w:t>et al.,</w:t>
      </w:r>
      <w:r>
        <w:rPr>
          <w:rFonts w:eastAsia="Times New Roman" w:cs="Arial"/>
          <w:szCs w:val="24"/>
          <w:lang w:eastAsia="en-GB"/>
        </w:rPr>
        <w:t xml:space="preserve"> 2005).</w:t>
      </w:r>
      <w:r>
        <w:rPr>
          <w:rFonts w:eastAsia="SimSun" w:cs="Arial"/>
          <w:szCs w:val="24"/>
          <w:lang w:eastAsia="zh-CN"/>
        </w:rPr>
        <w:t xml:space="preserve"> </w:t>
      </w:r>
    </w:p>
    <w:p w:rsidR="002062F2" w:rsidRPr="002062F2" w:rsidRDefault="002062F2" w:rsidP="00AC7E8C">
      <w:pPr>
        <w:pStyle w:val="Heading3"/>
        <w:spacing w:line="480" w:lineRule="auto"/>
        <w:rPr>
          <w:rFonts w:eastAsia="Times New Roman" w:cs="Arial"/>
          <w:szCs w:val="24"/>
          <w:lang w:eastAsia="zh-CN"/>
        </w:rPr>
      </w:pPr>
      <w:bookmarkStart w:id="665" w:name="_Toc370819312"/>
      <w:proofErr w:type="gramStart"/>
      <w:r w:rsidRPr="002062F2">
        <w:rPr>
          <w:lang w:eastAsia="en-GB"/>
        </w:rPr>
        <w:t>Success of regenerative endodontic technique.</w:t>
      </w:r>
      <w:proofErr w:type="gramEnd"/>
      <w:r w:rsidRPr="002062F2">
        <w:rPr>
          <w:lang w:eastAsia="en-GB"/>
        </w:rPr>
        <w:t xml:space="preserve"> (Hargreaves </w:t>
      </w:r>
      <w:r w:rsidRPr="002062F2">
        <w:rPr>
          <w:i/>
          <w:iCs/>
          <w:lang w:eastAsia="en-GB"/>
        </w:rPr>
        <w:t>et al.,</w:t>
      </w:r>
      <w:r w:rsidRPr="002062F2">
        <w:rPr>
          <w:lang w:eastAsia="en-GB"/>
        </w:rPr>
        <w:t xml:space="preserve"> 2008)</w:t>
      </w:r>
      <w:bookmarkEnd w:id="665"/>
    </w:p>
    <w:p w:rsidR="00964551" w:rsidRDefault="00964551" w:rsidP="00964551">
      <w:pPr>
        <w:autoSpaceDE w:val="0"/>
        <w:spacing w:after="120" w:line="480" w:lineRule="auto"/>
        <w:jc w:val="both"/>
      </w:pPr>
      <w:r>
        <w:rPr>
          <w:rFonts w:eastAsia="SimSun" w:cs="Arial"/>
          <w:color w:val="000000"/>
          <w:szCs w:val="24"/>
          <w:lang w:eastAsia="zh-CN"/>
        </w:rPr>
        <w:t>1. Revascularisation occurs most predictably in teeth with immature open apices (</w:t>
      </w:r>
      <w:r>
        <w:rPr>
          <w:rFonts w:eastAsia="Times New Roman" w:cs="Arial"/>
          <w:szCs w:val="24"/>
          <w:lang w:eastAsia="en-GB"/>
        </w:rPr>
        <w:t xml:space="preserve">Kling </w:t>
      </w:r>
      <w:r>
        <w:rPr>
          <w:rFonts w:eastAsia="Times New Roman" w:cs="Arial"/>
          <w:i/>
          <w:iCs/>
          <w:szCs w:val="24"/>
          <w:lang w:eastAsia="en-GB"/>
        </w:rPr>
        <w:t>et al.,</w:t>
      </w:r>
      <w:r>
        <w:rPr>
          <w:rFonts w:eastAsia="Times New Roman" w:cs="Arial"/>
          <w:szCs w:val="24"/>
          <w:lang w:eastAsia="en-GB"/>
        </w:rPr>
        <w:t xml:space="preserve"> 1986; Andreasen </w:t>
      </w:r>
      <w:r>
        <w:rPr>
          <w:rFonts w:eastAsia="Times New Roman" w:cs="Arial"/>
          <w:i/>
          <w:iCs/>
          <w:szCs w:val="24"/>
          <w:lang w:eastAsia="en-GB"/>
        </w:rPr>
        <w:t>et al.,</w:t>
      </w:r>
      <w:r>
        <w:rPr>
          <w:rFonts w:eastAsia="Times New Roman" w:cs="Arial"/>
          <w:szCs w:val="24"/>
          <w:lang w:eastAsia="en-GB"/>
        </w:rPr>
        <w:t xml:space="preserve"> 1995). </w:t>
      </w:r>
    </w:p>
    <w:p w:rsidR="00964551" w:rsidRDefault="00964551" w:rsidP="00964551">
      <w:pPr>
        <w:autoSpaceDE w:val="0"/>
        <w:spacing w:after="120" w:line="480" w:lineRule="auto"/>
        <w:jc w:val="both"/>
      </w:pPr>
      <w:r>
        <w:rPr>
          <w:rFonts w:eastAsia="SimSun" w:cs="Arial"/>
          <w:color w:val="000000"/>
          <w:szCs w:val="24"/>
          <w:lang w:eastAsia="zh-CN"/>
        </w:rPr>
        <w:t xml:space="preserve">2. </w:t>
      </w:r>
      <w:r>
        <w:rPr>
          <w:rFonts w:eastAsia="SimSun" w:cs="Arial"/>
          <w:szCs w:val="24"/>
          <w:lang w:val="en-US" w:eastAsia="zh-CN"/>
        </w:rPr>
        <w:t>Sodium hypochlorite</w:t>
      </w:r>
      <w:r>
        <w:rPr>
          <w:rFonts w:eastAsia="SimSun" w:cs="Arial"/>
          <w:color w:val="000000"/>
          <w:szCs w:val="24"/>
          <w:lang w:eastAsia="zh-CN"/>
        </w:rPr>
        <w:t xml:space="preserve"> irrigation and </w:t>
      </w:r>
      <w:r w:rsidR="00632420">
        <w:rPr>
          <w:rFonts w:eastAsia="SimSun" w:cs="Arial"/>
          <w:color w:val="000000"/>
          <w:szCs w:val="24"/>
          <w:lang w:eastAsia="zh-CN"/>
        </w:rPr>
        <w:t>i</w:t>
      </w:r>
      <w:r>
        <w:rPr>
          <w:rFonts w:eastAsia="SimSun" w:cs="Arial"/>
          <w:color w:val="000000"/>
          <w:szCs w:val="24"/>
          <w:lang w:eastAsia="zh-CN"/>
        </w:rPr>
        <w:t>nstrumentation is not sufficient to reliably create the conditions for revascularisation of the infected necrotic tooth.</w:t>
      </w:r>
    </w:p>
    <w:p w:rsidR="00964551" w:rsidRDefault="00964551" w:rsidP="00964551">
      <w:pPr>
        <w:autoSpaceDE w:val="0"/>
        <w:spacing w:after="120" w:line="480" w:lineRule="auto"/>
        <w:jc w:val="both"/>
      </w:pPr>
      <w:r>
        <w:rPr>
          <w:rFonts w:eastAsia="SimSun" w:cs="Arial"/>
          <w:color w:val="000000"/>
          <w:szCs w:val="24"/>
          <w:lang w:eastAsia="zh-CN"/>
        </w:rPr>
        <w:t xml:space="preserve">3. Placement of </w:t>
      </w:r>
      <w:r>
        <w:rPr>
          <w:rFonts w:eastAsia="SimSun" w:cs="Arial"/>
          <w:szCs w:val="24"/>
          <w:lang w:val="en-US" w:eastAsia="zh-CN"/>
        </w:rPr>
        <w:t xml:space="preserve">calcium hydroxide </w:t>
      </w:r>
      <w:r>
        <w:rPr>
          <w:rFonts w:eastAsia="SimSun" w:cs="Arial"/>
          <w:color w:val="000000"/>
          <w:szCs w:val="24"/>
          <w:lang w:eastAsia="zh-CN"/>
        </w:rPr>
        <w:t xml:space="preserve">in root canal prevents revascularisation coronal to the location of the </w:t>
      </w:r>
      <w:r>
        <w:rPr>
          <w:rFonts w:eastAsia="SimSun" w:cs="Arial"/>
          <w:szCs w:val="24"/>
          <w:lang w:val="en-US" w:eastAsia="zh-CN"/>
        </w:rPr>
        <w:t>calcium hydroxide</w:t>
      </w:r>
      <w:r>
        <w:rPr>
          <w:rFonts w:eastAsia="SimSun" w:cs="Arial"/>
          <w:color w:val="000000"/>
          <w:szCs w:val="24"/>
          <w:lang w:eastAsia="zh-CN"/>
        </w:rPr>
        <w:t xml:space="preserve"> (Schroder</w:t>
      </w:r>
      <w:r>
        <w:rPr>
          <w:rFonts w:eastAsia="Times New Roman" w:cs="Arial"/>
          <w:szCs w:val="24"/>
          <w:lang w:eastAsia="en-GB"/>
        </w:rPr>
        <w:t xml:space="preserve"> </w:t>
      </w:r>
      <w:r>
        <w:rPr>
          <w:rFonts w:eastAsia="Times New Roman" w:cs="Arial"/>
          <w:i/>
          <w:iCs/>
          <w:szCs w:val="24"/>
          <w:lang w:eastAsia="en-GB"/>
        </w:rPr>
        <w:t>et al.,</w:t>
      </w:r>
      <w:r>
        <w:rPr>
          <w:rFonts w:eastAsia="Times New Roman" w:cs="Arial"/>
          <w:szCs w:val="24"/>
          <w:lang w:eastAsia="en-GB"/>
        </w:rPr>
        <w:t xml:space="preserve"> 1971).</w:t>
      </w:r>
    </w:p>
    <w:p w:rsidR="00964551" w:rsidRDefault="00964551" w:rsidP="00964551">
      <w:pPr>
        <w:autoSpaceDE w:val="0"/>
        <w:spacing w:after="120" w:line="480" w:lineRule="auto"/>
        <w:jc w:val="both"/>
      </w:pPr>
      <w:r>
        <w:rPr>
          <w:rFonts w:eastAsia="SimSun" w:cs="Arial"/>
          <w:color w:val="000000"/>
          <w:szCs w:val="24"/>
          <w:lang w:eastAsia="zh-CN"/>
        </w:rPr>
        <w:t xml:space="preserve">4. The use of triple antibiotic paste, developed by </w:t>
      </w:r>
      <w:r>
        <w:rPr>
          <w:rFonts w:eastAsia="SimSun" w:cs="Arial"/>
          <w:szCs w:val="24"/>
          <w:lang w:eastAsia="zh-CN"/>
        </w:rPr>
        <w:t xml:space="preserve">Hoshino </w:t>
      </w:r>
      <w:r>
        <w:rPr>
          <w:rFonts w:eastAsia="Times New Roman" w:cs="Arial"/>
          <w:i/>
          <w:iCs/>
          <w:szCs w:val="24"/>
          <w:lang w:eastAsia="en-GB"/>
        </w:rPr>
        <w:t>et al.,</w:t>
      </w:r>
      <w:r>
        <w:rPr>
          <w:rFonts w:eastAsia="Times New Roman" w:cs="Arial"/>
          <w:szCs w:val="24"/>
          <w:lang w:eastAsia="en-GB"/>
        </w:rPr>
        <w:t xml:space="preserve"> </w:t>
      </w:r>
      <w:r>
        <w:rPr>
          <w:rFonts w:eastAsia="SimSun" w:cs="Arial"/>
          <w:szCs w:val="24"/>
          <w:lang w:eastAsia="zh-CN"/>
        </w:rPr>
        <w:t>(1996)</w:t>
      </w:r>
      <w:r>
        <w:rPr>
          <w:rFonts w:eastAsia="SimSun" w:cs="Arial"/>
          <w:color w:val="000000"/>
          <w:szCs w:val="24"/>
          <w:lang w:eastAsia="zh-CN"/>
        </w:rPr>
        <w:t xml:space="preserve"> is effective disinfection for the infected necrotic tooth, setting the conditions for subsequent revascularisation</w:t>
      </w:r>
      <w:r>
        <w:rPr>
          <w:rFonts w:eastAsia="Times New Roman" w:cs="Arial"/>
          <w:szCs w:val="24"/>
          <w:lang w:eastAsia="en-GB"/>
        </w:rPr>
        <w:t xml:space="preserve"> (Windley </w:t>
      </w:r>
      <w:r>
        <w:rPr>
          <w:rFonts w:eastAsia="Times New Roman" w:cs="Arial"/>
          <w:i/>
          <w:iCs/>
          <w:szCs w:val="24"/>
          <w:lang w:eastAsia="en-GB"/>
        </w:rPr>
        <w:t>et al.,</w:t>
      </w:r>
      <w:r>
        <w:rPr>
          <w:rFonts w:eastAsia="Times New Roman" w:cs="Arial"/>
          <w:szCs w:val="24"/>
          <w:lang w:eastAsia="en-GB"/>
        </w:rPr>
        <w:t xml:space="preserve"> 2005).</w:t>
      </w:r>
    </w:p>
    <w:p w:rsidR="002062F2" w:rsidRPr="002062F2" w:rsidRDefault="002062F2" w:rsidP="002062F2">
      <w:pPr>
        <w:pStyle w:val="Heading3"/>
        <w:spacing w:line="480" w:lineRule="auto"/>
        <w:rPr>
          <w:lang w:eastAsia="en-GB"/>
        </w:rPr>
      </w:pPr>
      <w:bookmarkStart w:id="666" w:name="_Toc370819313"/>
      <w:r w:rsidRPr="002062F2">
        <w:rPr>
          <w:lang w:eastAsia="en-GB"/>
        </w:rPr>
        <w:t>Pulp revascularization or pulp regeneration?</w:t>
      </w:r>
      <w:bookmarkEnd w:id="666"/>
    </w:p>
    <w:p w:rsidR="00964551" w:rsidRDefault="00964551" w:rsidP="00964551">
      <w:pPr>
        <w:autoSpaceDE w:val="0"/>
        <w:spacing w:after="120" w:line="480" w:lineRule="auto"/>
        <w:jc w:val="both"/>
        <w:rPr>
          <w:rFonts w:eastAsia="SimSun" w:cs="Arial"/>
          <w:szCs w:val="24"/>
          <w:lang w:eastAsia="zh-CN"/>
        </w:rPr>
      </w:pPr>
      <w:r>
        <w:rPr>
          <w:rFonts w:eastAsia="SimSun" w:cs="Arial"/>
          <w:szCs w:val="24"/>
          <w:lang w:eastAsia="zh-CN"/>
        </w:rPr>
        <w:t>The goal from an endodontic perspective is to regenerate a pulp-dentine complex that restores functional properties of this tissue, fosters continued root development for immature teeth, and prevents or resolves apical periodontitis. Thus, using the term revascularisation for regenerative endodontic procedures has been questioned.</w:t>
      </w:r>
    </w:p>
    <w:p w:rsidR="00964551" w:rsidRDefault="00964551" w:rsidP="00964551">
      <w:pPr>
        <w:autoSpaceDE w:val="0"/>
        <w:spacing w:after="120" w:line="480" w:lineRule="auto"/>
        <w:jc w:val="both"/>
      </w:pPr>
      <w:r>
        <w:rPr>
          <w:rFonts w:eastAsia="Times New Roman" w:cs="Arial"/>
          <w:szCs w:val="24"/>
          <w:lang w:val="en-US" w:eastAsia="zh-CN"/>
        </w:rPr>
        <w:t>Revascularisation is not a formal medical or scientific term used to describe a physiological condition associated with this type of healing or repair after non-</w:t>
      </w:r>
      <w:r>
        <w:rPr>
          <w:rFonts w:eastAsia="Times New Roman" w:cs="Arial"/>
          <w:szCs w:val="24"/>
          <w:lang w:val="en-US" w:eastAsia="zh-CN"/>
        </w:rPr>
        <w:lastRenderedPageBreak/>
        <w:t>traditional treatment. The re-establishment of vascularity in the pulp space after this treatment procedure is a natural physiological process of healing and repair. There were no artificial blood vessels or implant blood vessel grafts in the canal. However, this treatment was aimed to create a favourable environment for cells at the apical area to migrate along the blood clot into the pulp space. What occurs after the non-traditional treatment is basically a healing and repair process in the host. In this situation, generation of tissues, such as cementum, periodontal ligament, bone, and dentine, or regeneration of pulp may occur rather than just the generation of vasculature in the canal space. Healing and repair implies replacement of injured or damaged tissue by parenchymal tissue (regeneration) or by connective tissue. So pulp regeneration rather than pulp revascularisation describes the process more accurately</w:t>
      </w:r>
      <w:bookmarkStart w:id="667" w:name="_Toc226360718"/>
      <w:r>
        <w:rPr>
          <w:rFonts w:cs="Arial"/>
          <w:szCs w:val="24"/>
        </w:rPr>
        <w:t xml:space="preserve"> (George </w:t>
      </w:r>
      <w:r>
        <w:rPr>
          <w:rFonts w:cs="Arial"/>
          <w:i/>
          <w:iCs/>
          <w:szCs w:val="24"/>
        </w:rPr>
        <w:t>et al</w:t>
      </w:r>
      <w:r>
        <w:rPr>
          <w:rFonts w:cs="Arial"/>
          <w:szCs w:val="24"/>
        </w:rPr>
        <w:t>., 2008).</w:t>
      </w:r>
    </w:p>
    <w:p w:rsidR="00964551" w:rsidRDefault="002062F2" w:rsidP="002062F2">
      <w:pPr>
        <w:pStyle w:val="Heading3"/>
        <w:spacing w:line="480" w:lineRule="auto"/>
        <w:rPr>
          <w:lang w:eastAsia="en-GB"/>
        </w:rPr>
      </w:pPr>
      <w:bookmarkStart w:id="668" w:name="_Toc370819314"/>
      <w:bookmarkEnd w:id="667"/>
      <w:r w:rsidRPr="002062F2">
        <w:rPr>
          <w:lang w:eastAsia="en-GB"/>
        </w:rPr>
        <w:t xml:space="preserve">Advantages </w:t>
      </w:r>
      <w:r w:rsidR="00964551">
        <w:rPr>
          <w:lang w:eastAsia="en-GB"/>
        </w:rPr>
        <w:t xml:space="preserve">and disadvantages of regenerative endodontic techniques by Shah </w:t>
      </w:r>
      <w:r w:rsidR="00964551">
        <w:rPr>
          <w:i/>
          <w:iCs/>
          <w:lang w:eastAsia="en-GB"/>
        </w:rPr>
        <w:t>et al.,</w:t>
      </w:r>
      <w:r w:rsidR="00964551">
        <w:rPr>
          <w:lang w:eastAsia="en-GB"/>
        </w:rPr>
        <w:t xml:space="preserve"> (2008)</w:t>
      </w:r>
      <w:bookmarkEnd w:id="668"/>
    </w:p>
    <w:p w:rsidR="002062F2" w:rsidRPr="002062F2" w:rsidRDefault="002062F2" w:rsidP="00964551">
      <w:pPr>
        <w:pStyle w:val="Heading4"/>
        <w:rPr>
          <w:lang w:eastAsia="en-GB"/>
        </w:rPr>
      </w:pPr>
      <w:r w:rsidRPr="002062F2">
        <w:rPr>
          <w:lang w:eastAsia="en-GB"/>
        </w:rPr>
        <w:t>Advantages of regenerative endodontic technique</w:t>
      </w:r>
    </w:p>
    <w:p w:rsidR="002062F2" w:rsidRPr="002062F2" w:rsidRDefault="002062F2" w:rsidP="002062F2">
      <w:pPr>
        <w:keepNext/>
        <w:keepLines/>
        <w:suppressAutoHyphens/>
        <w:autoSpaceDN w:val="0"/>
        <w:spacing w:before="200" w:after="0" w:line="480" w:lineRule="auto"/>
        <w:ind w:left="864" w:hanging="864"/>
        <w:textAlignment w:val="baseline"/>
        <w:rPr>
          <w:rFonts w:ascii="Arial" w:eastAsia="SimSun" w:hAnsi="Arial" w:cs="Times New Roman"/>
          <w:b/>
          <w:bCs/>
          <w:iCs/>
          <w:lang w:eastAsia="en-GB"/>
        </w:rPr>
      </w:pPr>
      <w:r w:rsidRPr="002062F2">
        <w:rPr>
          <w:rFonts w:ascii="Arial" w:eastAsia="SimSun" w:hAnsi="Arial" w:cs="Times New Roman"/>
          <w:b/>
          <w:bCs/>
          <w:iCs/>
          <w:lang w:eastAsia="en-GB"/>
        </w:rPr>
        <w:t>The following have been described as the advantages that this technique offers over other methods:</w:t>
      </w:r>
    </w:p>
    <w:p w:rsidR="00964551" w:rsidRDefault="00964551" w:rsidP="00F177FE">
      <w:pPr>
        <w:numPr>
          <w:ilvl w:val="0"/>
          <w:numId w:val="88"/>
        </w:numPr>
        <w:suppressAutoHyphens/>
        <w:autoSpaceDE w:val="0"/>
        <w:autoSpaceDN w:val="0"/>
        <w:spacing w:before="120" w:after="120" w:line="480" w:lineRule="auto"/>
        <w:jc w:val="both"/>
        <w:textAlignment w:val="baseline"/>
        <w:rPr>
          <w:rFonts w:eastAsia="Times New Roman" w:cs="Arial"/>
          <w:bCs/>
          <w:szCs w:val="24"/>
          <w:lang w:val="en-US" w:eastAsia="en-GB"/>
        </w:rPr>
      </w:pPr>
      <w:r>
        <w:rPr>
          <w:rFonts w:eastAsia="Times New Roman" w:cs="Arial"/>
          <w:bCs/>
          <w:szCs w:val="24"/>
          <w:lang w:val="en-US" w:eastAsia="en-GB"/>
        </w:rPr>
        <w:t>Shorter treatment time compared to calcium hydroxide.</w:t>
      </w:r>
    </w:p>
    <w:p w:rsidR="00964551" w:rsidRDefault="00964551" w:rsidP="00F177FE">
      <w:pPr>
        <w:numPr>
          <w:ilvl w:val="0"/>
          <w:numId w:val="88"/>
        </w:numPr>
        <w:suppressAutoHyphens/>
        <w:autoSpaceDE w:val="0"/>
        <w:autoSpaceDN w:val="0"/>
        <w:spacing w:before="120" w:after="120" w:line="480" w:lineRule="auto"/>
        <w:jc w:val="both"/>
        <w:textAlignment w:val="baseline"/>
        <w:rPr>
          <w:rFonts w:eastAsia="Times New Roman" w:cs="Arial"/>
          <w:bCs/>
          <w:szCs w:val="24"/>
          <w:lang w:val="en-US" w:eastAsia="en-GB"/>
        </w:rPr>
      </w:pPr>
      <w:r>
        <w:rPr>
          <w:rFonts w:eastAsia="Times New Roman" w:cs="Arial"/>
          <w:bCs/>
          <w:szCs w:val="24"/>
          <w:lang w:val="en-US" w:eastAsia="en-GB"/>
        </w:rPr>
        <w:t>Can be completed in fewer visits.</w:t>
      </w:r>
    </w:p>
    <w:p w:rsidR="00964551" w:rsidRDefault="00964551" w:rsidP="00F177FE">
      <w:pPr>
        <w:numPr>
          <w:ilvl w:val="0"/>
          <w:numId w:val="88"/>
        </w:numPr>
        <w:suppressAutoHyphens/>
        <w:autoSpaceDE w:val="0"/>
        <w:autoSpaceDN w:val="0"/>
        <w:spacing w:before="120" w:after="120" w:line="480" w:lineRule="auto"/>
        <w:jc w:val="both"/>
        <w:textAlignment w:val="baseline"/>
        <w:rPr>
          <w:rFonts w:eastAsia="Times New Roman" w:cs="Arial"/>
          <w:bCs/>
          <w:szCs w:val="24"/>
          <w:lang w:val="en-US" w:eastAsia="en-GB"/>
        </w:rPr>
      </w:pPr>
      <w:r>
        <w:rPr>
          <w:rFonts w:eastAsia="Times New Roman" w:cs="Arial"/>
          <w:bCs/>
          <w:szCs w:val="24"/>
          <w:lang w:val="en-US" w:eastAsia="en-GB"/>
        </w:rPr>
        <w:t>Better quality and prognosis for the tooth by reinforcement of dentinal wall.</w:t>
      </w:r>
    </w:p>
    <w:p w:rsidR="00964551" w:rsidRDefault="00964551" w:rsidP="00F177FE">
      <w:pPr>
        <w:numPr>
          <w:ilvl w:val="0"/>
          <w:numId w:val="88"/>
        </w:numPr>
        <w:suppressAutoHyphens/>
        <w:autoSpaceDE w:val="0"/>
        <w:autoSpaceDN w:val="0"/>
        <w:spacing w:before="120" w:after="120" w:line="480" w:lineRule="auto"/>
        <w:jc w:val="both"/>
        <w:textAlignment w:val="baseline"/>
      </w:pPr>
      <w:r>
        <w:rPr>
          <w:rFonts w:eastAsia="Times New Roman" w:cs="Arial"/>
          <w:bCs/>
          <w:szCs w:val="24"/>
          <w:lang w:val="en-US" w:eastAsia="en-GB"/>
        </w:rPr>
        <w:t>Very cost-</w:t>
      </w:r>
      <w:proofErr w:type="gramStart"/>
      <w:r>
        <w:rPr>
          <w:rFonts w:eastAsia="Times New Roman" w:cs="Arial"/>
          <w:bCs/>
          <w:szCs w:val="24"/>
          <w:lang w:val="en-US" w:eastAsia="en-GB"/>
        </w:rPr>
        <w:t>effective .</w:t>
      </w:r>
      <w:proofErr w:type="gramEnd"/>
    </w:p>
    <w:p w:rsidR="00964551" w:rsidRDefault="00964551" w:rsidP="00F177FE">
      <w:pPr>
        <w:numPr>
          <w:ilvl w:val="0"/>
          <w:numId w:val="88"/>
        </w:numPr>
        <w:suppressAutoHyphens/>
        <w:autoSpaceDE w:val="0"/>
        <w:autoSpaceDN w:val="0"/>
        <w:spacing w:before="120" w:after="120" w:line="480" w:lineRule="auto"/>
        <w:jc w:val="both"/>
        <w:textAlignment w:val="baseline"/>
        <w:rPr>
          <w:rFonts w:eastAsia="Times New Roman" w:cs="Arial"/>
          <w:bCs/>
          <w:szCs w:val="24"/>
          <w:lang w:val="en-US" w:eastAsia="en-GB"/>
        </w:rPr>
      </w:pPr>
      <w:r>
        <w:rPr>
          <w:rFonts w:eastAsia="Times New Roman" w:cs="Arial"/>
          <w:bCs/>
          <w:szCs w:val="24"/>
          <w:lang w:val="en-US" w:eastAsia="en-GB"/>
        </w:rPr>
        <w:lastRenderedPageBreak/>
        <w:t>Obturation not required.</w:t>
      </w:r>
    </w:p>
    <w:p w:rsidR="00964551" w:rsidRDefault="00964551" w:rsidP="00F177FE">
      <w:pPr>
        <w:numPr>
          <w:ilvl w:val="0"/>
          <w:numId w:val="88"/>
        </w:numPr>
        <w:suppressAutoHyphens/>
        <w:autoSpaceDE w:val="0"/>
        <w:autoSpaceDN w:val="0"/>
        <w:spacing w:before="120" w:after="120" w:line="480" w:lineRule="auto"/>
        <w:jc w:val="both"/>
        <w:textAlignment w:val="baseline"/>
        <w:rPr>
          <w:rFonts w:eastAsia="Times New Roman" w:cs="Arial"/>
          <w:bCs/>
          <w:szCs w:val="24"/>
          <w:lang w:val="en-US" w:eastAsia="en-GB"/>
        </w:rPr>
      </w:pPr>
      <w:r>
        <w:rPr>
          <w:rFonts w:eastAsia="Times New Roman" w:cs="Arial"/>
          <w:bCs/>
          <w:szCs w:val="24"/>
          <w:lang w:val="en-US" w:eastAsia="en-GB"/>
        </w:rPr>
        <w:t>Achieves continued root development and  strengthening due to reinforcement of lateral dentinal walls</w:t>
      </w:r>
    </w:p>
    <w:p w:rsidR="002062F2" w:rsidRPr="002062F2" w:rsidRDefault="002062F2" w:rsidP="002062F2">
      <w:pPr>
        <w:pStyle w:val="Heading4"/>
        <w:spacing w:line="480" w:lineRule="auto"/>
        <w:rPr>
          <w:lang w:eastAsia="en-GB"/>
        </w:rPr>
      </w:pPr>
      <w:r w:rsidRPr="002062F2">
        <w:rPr>
          <w:lang w:eastAsia="en-GB"/>
        </w:rPr>
        <w:t>Disadvantages</w:t>
      </w:r>
    </w:p>
    <w:p w:rsidR="002062F2" w:rsidRPr="002062F2" w:rsidRDefault="002062F2" w:rsidP="00F177FE">
      <w:pPr>
        <w:numPr>
          <w:ilvl w:val="0"/>
          <w:numId w:val="86"/>
        </w:numPr>
        <w:suppressAutoHyphens/>
        <w:autoSpaceDE w:val="0"/>
        <w:autoSpaceDN w:val="0"/>
        <w:spacing w:before="120" w:after="120" w:line="480" w:lineRule="auto"/>
        <w:jc w:val="both"/>
        <w:textAlignment w:val="baseline"/>
        <w:rPr>
          <w:rFonts w:ascii="Arial" w:eastAsia="Times New Roman" w:hAnsi="Arial" w:cs="Arial"/>
          <w:szCs w:val="24"/>
          <w:lang w:eastAsia="zh-CN"/>
        </w:rPr>
      </w:pPr>
      <w:r w:rsidRPr="002062F2">
        <w:rPr>
          <w:rFonts w:ascii="Arial" w:eastAsia="Times New Roman" w:hAnsi="Arial" w:cs="Arial"/>
          <w:szCs w:val="24"/>
          <w:lang w:val="en-IE" w:eastAsia="en-GB"/>
        </w:rPr>
        <w:t xml:space="preserve">No clinical studies so far – only isolated case reports and small case series reported in the literature. </w:t>
      </w:r>
      <w:proofErr w:type="gramStart"/>
      <w:r w:rsidRPr="002062F2">
        <w:rPr>
          <w:rFonts w:ascii="Arial" w:eastAsia="Times New Roman" w:hAnsi="Arial" w:cs="Arial"/>
          <w:szCs w:val="24"/>
          <w:lang w:val="en-IE" w:eastAsia="en-GB"/>
        </w:rPr>
        <w:t>Results  from</w:t>
      </w:r>
      <w:proofErr w:type="gramEnd"/>
      <w:r w:rsidRPr="002062F2">
        <w:rPr>
          <w:rFonts w:ascii="Arial" w:eastAsia="Times New Roman" w:hAnsi="Arial" w:cs="Arial"/>
          <w:szCs w:val="24"/>
          <w:lang w:val="en-IE" w:eastAsia="en-GB"/>
        </w:rPr>
        <w:t xml:space="preserve"> </w:t>
      </w:r>
      <w:r w:rsidRPr="002062F2">
        <w:rPr>
          <w:rFonts w:ascii="Arial" w:eastAsia="Times New Roman" w:hAnsi="Arial" w:cs="Arial"/>
          <w:bCs/>
          <w:szCs w:val="24"/>
          <w:lang w:val="en-US" w:eastAsia="en-GB"/>
        </w:rPr>
        <w:t>long-term clinical studies are not yet available.</w:t>
      </w:r>
      <w:r w:rsidRPr="002062F2">
        <w:rPr>
          <w:rFonts w:ascii="Arial" w:eastAsia="Times New Roman" w:hAnsi="Arial" w:cs="Arial"/>
          <w:color w:val="FF0000"/>
          <w:szCs w:val="24"/>
          <w:lang w:val="en-IE" w:eastAsia="en-GB"/>
        </w:rPr>
        <w:t xml:space="preserve"> </w:t>
      </w:r>
    </w:p>
    <w:p w:rsidR="002062F2" w:rsidRPr="002062F2" w:rsidRDefault="002062F2" w:rsidP="00F177FE">
      <w:pPr>
        <w:numPr>
          <w:ilvl w:val="0"/>
          <w:numId w:val="86"/>
        </w:numPr>
        <w:suppressAutoHyphens/>
        <w:autoSpaceDE w:val="0"/>
        <w:autoSpaceDN w:val="0"/>
        <w:spacing w:before="120" w:after="120" w:line="480" w:lineRule="auto"/>
        <w:jc w:val="both"/>
        <w:textAlignment w:val="baseline"/>
        <w:rPr>
          <w:rFonts w:ascii="Arial" w:eastAsia="Times New Roman" w:hAnsi="Arial" w:cs="Arial"/>
          <w:bCs/>
          <w:szCs w:val="24"/>
          <w:lang w:val="en-US" w:eastAsia="en-GB"/>
        </w:rPr>
      </w:pPr>
      <w:r w:rsidRPr="002062F2">
        <w:rPr>
          <w:rFonts w:ascii="Arial" w:eastAsia="Times New Roman" w:hAnsi="Arial" w:cs="Arial"/>
          <w:bCs/>
          <w:szCs w:val="24"/>
          <w:lang w:val="en-US" w:eastAsia="en-GB"/>
        </w:rPr>
        <w:t>May get root canal obliteration with its complications</w:t>
      </w:r>
    </w:p>
    <w:p w:rsidR="002062F2" w:rsidRPr="002062F2" w:rsidRDefault="002062F2" w:rsidP="00F177FE">
      <w:pPr>
        <w:numPr>
          <w:ilvl w:val="0"/>
          <w:numId w:val="86"/>
        </w:numPr>
        <w:suppressAutoHyphens/>
        <w:autoSpaceDE w:val="0"/>
        <w:autoSpaceDN w:val="0"/>
        <w:spacing w:before="120" w:after="120" w:line="480" w:lineRule="auto"/>
        <w:jc w:val="both"/>
        <w:textAlignment w:val="baseline"/>
        <w:rPr>
          <w:rFonts w:ascii="Arial" w:eastAsia="Times New Roman" w:hAnsi="Arial" w:cs="Arial"/>
          <w:bCs/>
          <w:szCs w:val="24"/>
          <w:lang w:val="en-US" w:eastAsia="en-GB"/>
        </w:rPr>
      </w:pPr>
      <w:r w:rsidRPr="002062F2">
        <w:rPr>
          <w:rFonts w:ascii="Arial" w:eastAsia="Times New Roman" w:hAnsi="Arial" w:cs="Arial"/>
          <w:bCs/>
          <w:szCs w:val="24"/>
          <w:lang w:val="en-US" w:eastAsia="en-GB"/>
        </w:rPr>
        <w:t xml:space="preserve">  Where post &amp; core are the final restorative treatment plan,  revascularization is not correct treatment option because vital tissue in apical 2/3 of canal cannot be violated for post placement</w:t>
      </w:r>
    </w:p>
    <w:p w:rsidR="006F6CF6" w:rsidRDefault="006F6CF6" w:rsidP="00222D83">
      <w:pPr>
        <w:pStyle w:val="Heading2"/>
      </w:pPr>
      <w:bookmarkStart w:id="669" w:name="_Toc370819315"/>
      <w:r>
        <w:t xml:space="preserve">Methods </w:t>
      </w:r>
      <w:r w:rsidR="00222D83">
        <w:t>of cell viability assessment</w:t>
      </w:r>
      <w:bookmarkEnd w:id="669"/>
    </w:p>
    <w:p w:rsidR="006F6CF6" w:rsidRDefault="006F6CF6" w:rsidP="00A324E1">
      <w:pPr>
        <w:pStyle w:val="Heading3"/>
        <w:spacing w:line="480" w:lineRule="auto"/>
        <w:jc w:val="both"/>
        <w:rPr>
          <w:lang w:eastAsia="en-GB"/>
        </w:rPr>
      </w:pPr>
      <w:bookmarkStart w:id="670" w:name="_Toc370819316"/>
      <w:r>
        <w:rPr>
          <w:lang w:eastAsia="en-GB"/>
        </w:rPr>
        <w:t>Lactate Dehydrogenase (LDH) Assay</w:t>
      </w:r>
      <w:bookmarkEnd w:id="670"/>
    </w:p>
    <w:p w:rsidR="00222D83" w:rsidRDefault="00222D83" w:rsidP="00222D83">
      <w:pPr>
        <w:spacing w:line="480" w:lineRule="auto"/>
        <w:jc w:val="both"/>
      </w:pPr>
      <w:r>
        <w:t>Cell Death Quantification: Lactate Dehydrogenase</w:t>
      </w:r>
    </w:p>
    <w:p w:rsidR="00222D83" w:rsidRDefault="00222D83" w:rsidP="00222D83">
      <w:pPr>
        <w:spacing w:line="480" w:lineRule="auto"/>
        <w:jc w:val="both"/>
      </w:pPr>
      <w:r>
        <w:t>Cell death is quantified via the determination of lactate dehydrogenase (LDH), which is released into the surrounding fluid/medium upon cell death. LDH is an enzyme that can act on lactate and NAD+, creating pyruvate and NADH. NADH can then react with a tetrazolium salt, creating a formazan product that can be quantified by absorbance measurement at the appropriate wavelength. Absorbance is therefore directly proportional to the quantity of cell death. 50 μL of medium used during culture was combined with 50 μL of substrate mix (containing lactate and tetrazolium salt) from CytoTox 96</w:t>
      </w:r>
      <w:r>
        <w:rPr>
          <w:vertAlign w:val="superscript"/>
        </w:rPr>
        <w:t>®</w:t>
      </w:r>
      <w:r>
        <w:t xml:space="preserve">. Non-radioactive </w:t>
      </w:r>
      <w:r>
        <w:lastRenderedPageBreak/>
        <w:t>cytotoxicity assay (Promega, G1780) within a well of a 96-well plate, incubated for 30 mins at room temperature and protected from light. Reaction within the solution was halted by adding 50 μL of stop solution (Promega, G1780) to the well. Absorbance was read at 490 nm by a microplate reader (Dynex Technologies, MRX Microplate Reader).</w:t>
      </w:r>
    </w:p>
    <w:p w:rsidR="006F6CF6" w:rsidRPr="00222D83" w:rsidRDefault="006F6CF6" w:rsidP="00A324E1">
      <w:pPr>
        <w:pageBreakBefore/>
        <w:jc w:val="both"/>
        <w:rPr>
          <w:b/>
          <w:lang w:eastAsia="en-GB"/>
        </w:rPr>
      </w:pPr>
    </w:p>
    <w:p w:rsidR="006F6CF6" w:rsidRDefault="00632420" w:rsidP="00A324E1">
      <w:pPr>
        <w:pStyle w:val="Heading3"/>
        <w:spacing w:line="480" w:lineRule="auto"/>
        <w:jc w:val="both"/>
        <w:rPr>
          <w:lang w:val="en-US" w:eastAsia="en-GB"/>
        </w:rPr>
      </w:pPr>
      <w:bookmarkStart w:id="671" w:name="_Toc370819317"/>
      <w:r>
        <w:rPr>
          <w:lang w:val="en-US" w:eastAsia="en-GB"/>
        </w:rPr>
        <w:t>F</w:t>
      </w:r>
      <w:r w:rsidR="006F6CF6">
        <w:rPr>
          <w:lang w:val="en-US" w:eastAsia="en-GB"/>
        </w:rPr>
        <w:t>low cytometery</w:t>
      </w:r>
      <w:bookmarkEnd w:id="671"/>
    </w:p>
    <w:p w:rsidR="006F6CF6" w:rsidRDefault="006F6CF6" w:rsidP="00A324E1">
      <w:pPr>
        <w:keepNext/>
        <w:keepLines/>
        <w:spacing w:before="120" w:line="480" w:lineRule="auto"/>
        <w:jc w:val="both"/>
      </w:pPr>
      <w:r>
        <w:rPr>
          <w:rFonts w:eastAsia="Calibri"/>
          <w:b/>
          <w:lang w:val="en-US" w:eastAsia="en-GB"/>
        </w:rPr>
        <w:t>Flow cytometry:</w:t>
      </w:r>
      <w:r>
        <w:rPr>
          <w:rFonts w:eastAsia="Calibri"/>
          <w:b/>
          <w:lang w:eastAsia="en-GB"/>
        </w:rPr>
        <w:t xml:space="preserve"> (</w:t>
      </w:r>
      <w:r>
        <w:rPr>
          <w:rFonts w:eastAsia="Calibri"/>
          <w:b/>
          <w:lang w:val="en-US" w:eastAsia="en-GB"/>
        </w:rPr>
        <w:t xml:space="preserve">Vermes </w:t>
      </w:r>
      <w:r>
        <w:rPr>
          <w:rFonts w:eastAsia="Calibri"/>
          <w:b/>
          <w:i/>
          <w:iCs/>
          <w:lang w:val="en-US" w:eastAsia="en-GB"/>
        </w:rPr>
        <w:t>et al.,</w:t>
      </w:r>
      <w:r>
        <w:rPr>
          <w:rFonts w:eastAsia="Calibri"/>
          <w:b/>
          <w:lang w:val="en-US" w:eastAsia="en-GB"/>
        </w:rPr>
        <w:t xml:space="preserve"> 2000)</w:t>
      </w:r>
    </w:p>
    <w:p w:rsidR="006F6CF6" w:rsidRDefault="006F6CF6" w:rsidP="00A324E1">
      <w:pPr>
        <w:autoSpaceDE w:val="0"/>
        <w:spacing w:line="480" w:lineRule="auto"/>
        <w:jc w:val="both"/>
        <w:rPr>
          <w:lang w:val="en-US" w:eastAsia="en-GB"/>
        </w:rPr>
      </w:pPr>
      <w:r>
        <w:rPr>
          <w:lang w:val="en-US" w:eastAsia="en-GB"/>
        </w:rPr>
        <w:t xml:space="preserve">It is a single wavelength of light beam (laser), </w:t>
      </w:r>
      <w:r w:rsidR="00632420">
        <w:rPr>
          <w:lang w:val="en-US" w:eastAsia="en-GB"/>
        </w:rPr>
        <w:t xml:space="preserve">using </w:t>
      </w:r>
      <w:r>
        <w:rPr>
          <w:lang w:val="en-US" w:eastAsia="en-GB"/>
        </w:rPr>
        <w:t xml:space="preserve">biophysical technology employed in cell counting, sorting, biomarker detection and protein </w:t>
      </w:r>
      <w:r w:rsidR="001D5D3A">
        <w:rPr>
          <w:lang w:val="en-US" w:eastAsia="en-GB"/>
        </w:rPr>
        <w:t>engineering, which</w:t>
      </w:r>
      <w:r w:rsidR="00632420">
        <w:rPr>
          <w:lang w:val="en-US" w:eastAsia="en-GB"/>
        </w:rPr>
        <w:t xml:space="preserve"> works</w:t>
      </w:r>
      <w:r>
        <w:rPr>
          <w:lang w:val="en-US" w:eastAsia="en-GB"/>
        </w:rPr>
        <w:t xml:space="preserve"> by suspending cells in a stream of fluid and passing them by an electronic detection apparatus. It has the ability for multiparametric analysis of the physical and/or chemical characteristics of up to thousands of particles per second.</w:t>
      </w:r>
    </w:p>
    <w:p w:rsidR="006F6CF6" w:rsidRDefault="006F6CF6" w:rsidP="00A324E1">
      <w:pPr>
        <w:pStyle w:val="Heading4"/>
        <w:spacing w:line="480" w:lineRule="auto"/>
        <w:jc w:val="both"/>
        <w:rPr>
          <w:lang w:val="en-US" w:eastAsia="en-GB"/>
        </w:rPr>
      </w:pPr>
      <w:r>
        <w:rPr>
          <w:lang w:val="en-US" w:eastAsia="en-GB"/>
        </w:rPr>
        <w:t>Principle:</w:t>
      </w:r>
    </w:p>
    <w:p w:rsidR="006F6CF6" w:rsidRDefault="006F6CF6" w:rsidP="00632420">
      <w:pPr>
        <w:autoSpaceDE w:val="0"/>
        <w:spacing w:line="480" w:lineRule="auto"/>
        <w:jc w:val="both"/>
        <w:rPr>
          <w:lang w:val="en-US" w:eastAsia="en-GB"/>
        </w:rPr>
      </w:pPr>
      <w:r>
        <w:rPr>
          <w:lang w:val="en-US" w:eastAsia="en-GB"/>
        </w:rPr>
        <w:t>A single wavelength light</w:t>
      </w:r>
      <w:r w:rsidR="00632420" w:rsidRPr="00632420">
        <w:t xml:space="preserve"> </w:t>
      </w:r>
      <w:r w:rsidR="00632420" w:rsidRPr="00632420">
        <w:rPr>
          <w:lang w:val="en-US" w:eastAsia="en-GB"/>
        </w:rPr>
        <w:t>beam</w:t>
      </w:r>
      <w:r w:rsidR="00632420">
        <w:rPr>
          <w:lang w:val="en-US" w:eastAsia="en-GB"/>
        </w:rPr>
        <w:t xml:space="preserve"> is</w:t>
      </w:r>
      <w:r>
        <w:rPr>
          <w:lang w:val="en-US" w:eastAsia="en-GB"/>
        </w:rPr>
        <w:t xml:space="preserve"> directed hydro-dynamically onto stream of liquid. Many detectors are designed at the point where </w:t>
      </w:r>
      <w:proofErr w:type="gramStart"/>
      <w:r>
        <w:rPr>
          <w:lang w:val="en-US" w:eastAsia="en-GB"/>
        </w:rPr>
        <w:t xml:space="preserve">the </w:t>
      </w:r>
      <w:r w:rsidR="00632420">
        <w:rPr>
          <w:lang w:val="en-US" w:eastAsia="en-GB"/>
        </w:rPr>
        <w:t>a</w:t>
      </w:r>
      <w:proofErr w:type="gramEnd"/>
      <w:r w:rsidR="00632420">
        <w:rPr>
          <w:lang w:val="en-US" w:eastAsia="en-GB"/>
        </w:rPr>
        <w:t xml:space="preserve"> </w:t>
      </w:r>
      <w:r>
        <w:rPr>
          <w:lang w:val="en-US" w:eastAsia="en-GB"/>
        </w:rPr>
        <w:t xml:space="preserve">stream passes through the light beam: single cell with the light beam (Forward Scatter or FSC), some perpendicular to it (Side Scatter or SSC) and fluorescence detectors. </w:t>
      </w:r>
      <w:r w:rsidRPr="001D5D3A">
        <w:rPr>
          <w:lang w:val="en-US" w:eastAsia="en-GB"/>
        </w:rPr>
        <w:t>Principles of light scattering, light excitation, and emission of fluorochrome molecules to produce specific multi-parameter data from particles and cells in different s</w:t>
      </w:r>
      <w:r w:rsidRPr="009C7DD9">
        <w:rPr>
          <w:lang w:val="en-US" w:eastAsia="en-GB"/>
        </w:rPr>
        <w:t>ize range</w:t>
      </w:r>
      <w:r w:rsidRPr="001D5D3A">
        <w:rPr>
          <w:lang w:val="en-US" w:eastAsia="en-GB"/>
        </w:rPr>
        <w:t xml:space="preserve"> of 0.5um to 40um diameter. Chemicals fluorescent found attached to the particle may be excited into radiating light at a longer wavelength than the light source. This combination of scattered and fluorescent light is picked up by the detectors, and, by analyzing fluctuations in brightness at each detector. That aid to derive various types of information about the physical and chemical structure of each individual particle. FSC correlates with the cell volume and SSC depends on the inner complexity of the particle (i.e., shape of the nucleus, the amount and type of cytoplasmic granules or the membrane roughness). Because the light </w:t>
      </w:r>
      <w:r w:rsidRPr="001D5D3A">
        <w:rPr>
          <w:lang w:val="en-US" w:eastAsia="en-GB"/>
        </w:rPr>
        <w:lastRenderedPageBreak/>
        <w:t>scattered off of the internal components of the cell. Flow cytometers ha</w:t>
      </w:r>
      <w:r w:rsidR="00632420" w:rsidRPr="001D5D3A">
        <w:rPr>
          <w:lang w:val="en-US" w:eastAsia="en-GB"/>
        </w:rPr>
        <w:t>ve</w:t>
      </w:r>
      <w:r w:rsidRPr="001D5D3A">
        <w:rPr>
          <w:lang w:val="en-US" w:eastAsia="en-GB"/>
        </w:rPr>
        <w:t xml:space="preserve"> the ability to analyze several thousand particles every second.</w:t>
      </w:r>
    </w:p>
    <w:p w:rsidR="006F6CF6" w:rsidRDefault="006F6CF6" w:rsidP="006F6CF6">
      <w:pPr>
        <w:pStyle w:val="Heading4"/>
        <w:spacing w:line="480" w:lineRule="auto"/>
        <w:rPr>
          <w:lang w:val="en-US" w:eastAsia="en-GB"/>
        </w:rPr>
      </w:pPr>
      <w:r>
        <w:rPr>
          <w:lang w:val="en-US" w:eastAsia="en-GB"/>
        </w:rPr>
        <w:t>A flow cytometer has five main components:</w:t>
      </w:r>
    </w:p>
    <w:p w:rsidR="00222D83" w:rsidRDefault="00222D83" w:rsidP="00222D83">
      <w:pPr>
        <w:autoSpaceDE w:val="0"/>
        <w:spacing w:line="480" w:lineRule="auto"/>
        <w:jc w:val="both"/>
        <w:rPr>
          <w:lang w:val="en-US" w:eastAsia="en-GB"/>
        </w:rPr>
      </w:pPr>
      <w:r>
        <w:rPr>
          <w:lang w:val="en-US" w:eastAsia="en-GB"/>
        </w:rPr>
        <w:t xml:space="preserve">A flow cell liquid stream: </w:t>
      </w:r>
      <w:proofErr w:type="gramStart"/>
      <w:r>
        <w:rPr>
          <w:lang w:val="en-US" w:eastAsia="en-GB"/>
        </w:rPr>
        <w:t>which carries, aligns and helps cells to pass in single file through the light beam for detection.</w:t>
      </w:r>
      <w:proofErr w:type="gramEnd"/>
    </w:p>
    <w:p w:rsidR="00222D83" w:rsidRDefault="00222D83" w:rsidP="00222D83">
      <w:pPr>
        <w:autoSpaceDE w:val="0"/>
        <w:spacing w:line="480" w:lineRule="auto"/>
        <w:jc w:val="both"/>
        <w:rPr>
          <w:lang w:val="en-US" w:eastAsia="en-GB"/>
        </w:rPr>
      </w:pPr>
      <w:r>
        <w:rPr>
          <w:lang w:val="en-US" w:eastAsia="en-GB"/>
        </w:rPr>
        <w:t>A measuring system: Commonly used are measurement of impedance (or conductivity) and optical systems - lamps (mercury, xenon); high-power water-cooled lasers (argon, krypton, dye laser); low-power air-cooled lasers.</w:t>
      </w:r>
    </w:p>
    <w:p w:rsidR="00222D83" w:rsidRDefault="00222D83" w:rsidP="00222D83">
      <w:pPr>
        <w:autoSpaceDE w:val="0"/>
        <w:spacing w:line="480" w:lineRule="auto"/>
        <w:jc w:val="both"/>
        <w:rPr>
          <w:lang w:val="en-US" w:eastAsia="en-GB"/>
        </w:rPr>
      </w:pPr>
      <w:r>
        <w:rPr>
          <w:lang w:val="en-US" w:eastAsia="en-GB"/>
        </w:rPr>
        <w:t>A detector and analogue-to-digital conversion (ADC) system - which generates FSC and SSC as well as fluorescence signals from light into electrical signals that can be processed by a computer and amplification system - linear or logarithmic computer for analysis of the signals.</w:t>
      </w:r>
    </w:p>
    <w:p w:rsidR="006F6CF6" w:rsidRPr="0098575F" w:rsidRDefault="00222D83" w:rsidP="0098575F">
      <w:pPr>
        <w:autoSpaceDE w:val="0"/>
        <w:spacing w:line="480" w:lineRule="auto"/>
        <w:jc w:val="both"/>
        <w:rPr>
          <w:szCs w:val="24"/>
          <w:lang w:val="en-US" w:eastAsia="en-GB"/>
        </w:rPr>
      </w:pPr>
      <w:r w:rsidRPr="0098575F">
        <w:rPr>
          <w:szCs w:val="24"/>
          <w:lang w:val="en-US" w:eastAsia="en-GB"/>
        </w:rPr>
        <w:t xml:space="preserve">Acquisition is a process of collecting data from samples.  </w:t>
      </w:r>
      <w:r w:rsidR="00CD59B5">
        <w:rPr>
          <w:szCs w:val="24"/>
          <w:lang w:val="en-US" w:eastAsia="en-GB"/>
        </w:rPr>
        <w:t>It ism</w:t>
      </w:r>
      <w:r w:rsidRPr="0098575F">
        <w:rPr>
          <w:szCs w:val="24"/>
          <w:lang w:val="en-US" w:eastAsia="en-GB"/>
        </w:rPr>
        <w:t xml:space="preserve">ediated by a computer and physically connected to the flow cytometer. The software used to handle the digital interface with the cytometer </w:t>
      </w:r>
      <w:r w:rsidR="00CD59B5" w:rsidRPr="0098575F">
        <w:rPr>
          <w:szCs w:val="24"/>
          <w:lang w:val="en-US" w:eastAsia="en-GB"/>
        </w:rPr>
        <w:t>has</w:t>
      </w:r>
      <w:r w:rsidRPr="0098575F">
        <w:rPr>
          <w:szCs w:val="24"/>
          <w:lang w:val="en-US" w:eastAsia="en-GB"/>
        </w:rPr>
        <w:t xml:space="preserve"> a capability for adjusting </w:t>
      </w:r>
      <w:r w:rsidR="0098575F" w:rsidRPr="0098575F">
        <w:rPr>
          <w:szCs w:val="24"/>
          <w:lang w:val="en-US" w:eastAsia="en-GB"/>
        </w:rPr>
        <w:t>parameters.</w:t>
      </w:r>
      <w:r w:rsidR="0098575F" w:rsidRPr="0098575F">
        <w:rPr>
          <w:szCs w:val="24"/>
          <w:lang w:val="en-US"/>
        </w:rPr>
        <w:t xml:space="preserve"> </w:t>
      </w:r>
      <w:r w:rsidR="0098575F">
        <w:rPr>
          <w:szCs w:val="24"/>
          <w:lang w:val="en-US"/>
        </w:rPr>
        <w:t xml:space="preserve">A </w:t>
      </w:r>
      <w:r w:rsidR="0098575F" w:rsidRPr="0098575F">
        <w:rPr>
          <w:szCs w:val="24"/>
          <w:lang w:val="en-US"/>
        </w:rPr>
        <w:t>Schematic</w:t>
      </w:r>
      <w:r w:rsidRPr="0098575F">
        <w:rPr>
          <w:szCs w:val="24"/>
          <w:lang w:val="en-US"/>
        </w:rPr>
        <w:t xml:space="preserve"> diagram of a flow cytometer, showing focusing of the fluid sheath, laser, </w:t>
      </w:r>
      <w:proofErr w:type="gramStart"/>
      <w:r w:rsidRPr="0098575F">
        <w:rPr>
          <w:szCs w:val="24"/>
          <w:lang w:val="en-US"/>
        </w:rPr>
        <w:t>optics</w:t>
      </w:r>
      <w:proofErr w:type="gramEnd"/>
      <w:r w:rsidR="00CD59B5">
        <w:rPr>
          <w:szCs w:val="24"/>
          <w:lang w:val="en-US"/>
        </w:rPr>
        <w:t xml:space="preserve"> is shown in</w:t>
      </w:r>
      <w:r w:rsidRPr="0098575F">
        <w:rPr>
          <w:szCs w:val="24"/>
          <w:lang w:val="en-US"/>
        </w:rPr>
        <w:t xml:space="preserve">. </w:t>
      </w:r>
      <w:r w:rsidR="0098575F" w:rsidRPr="0098575F">
        <w:rPr>
          <w:szCs w:val="24"/>
          <w:highlight w:val="yellow"/>
        </w:rPr>
        <w:fldChar w:fldCharType="begin"/>
      </w:r>
      <w:r w:rsidR="0098575F" w:rsidRPr="0098575F">
        <w:rPr>
          <w:szCs w:val="24"/>
          <w:lang w:val="en-US"/>
        </w:rPr>
        <w:instrText xml:space="preserve"> REF _Ref361632881 \h </w:instrText>
      </w:r>
      <w:r w:rsidR="0098575F" w:rsidRPr="0098575F">
        <w:rPr>
          <w:szCs w:val="24"/>
          <w:highlight w:val="yellow"/>
        </w:rPr>
        <w:instrText xml:space="preserve"> \* MERGEFORMAT </w:instrText>
      </w:r>
      <w:r w:rsidR="0098575F" w:rsidRPr="0098575F">
        <w:rPr>
          <w:szCs w:val="24"/>
          <w:highlight w:val="yellow"/>
        </w:rPr>
      </w:r>
      <w:r w:rsidR="0098575F" w:rsidRPr="0098575F">
        <w:rPr>
          <w:szCs w:val="24"/>
          <w:highlight w:val="yellow"/>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sidRPr="00374B77">
        <w:rPr>
          <w:rFonts w:cstheme="minorBidi"/>
          <w:b/>
          <w:noProof/>
          <w:sz w:val="20"/>
          <w:szCs w:val="20"/>
        </w:rPr>
        <w:t>4.1</w:t>
      </w:r>
      <w:r w:rsidR="0098575F" w:rsidRPr="0098575F">
        <w:rPr>
          <w:szCs w:val="24"/>
          <w:highlight w:val="yellow"/>
        </w:rPr>
        <w:fldChar w:fldCharType="end"/>
      </w:r>
      <w:r w:rsidR="00B7220D">
        <w:rPr>
          <w:szCs w:val="24"/>
        </w:rPr>
        <w:t xml:space="preserve">.  </w:t>
      </w:r>
      <w:proofErr w:type="gramStart"/>
      <w:r w:rsidR="00CD59B5">
        <w:rPr>
          <w:szCs w:val="24"/>
        </w:rPr>
        <w:t>and</w:t>
      </w:r>
      <w:proofErr w:type="gramEnd"/>
      <w:r w:rsidR="00CD59B5">
        <w:rPr>
          <w:szCs w:val="24"/>
        </w:rPr>
        <w:t xml:space="preserve"> includes p</w:t>
      </w:r>
      <w:r w:rsidRPr="0098575F">
        <w:rPr>
          <w:szCs w:val="24"/>
          <w:lang w:val="en-US"/>
        </w:rPr>
        <w:t xml:space="preserve">hotomultiplier tubes (PMTs), analogue-to-digital converter, and </w:t>
      </w:r>
      <w:r w:rsidR="00CD59B5">
        <w:rPr>
          <w:szCs w:val="24"/>
          <w:lang w:val="en-US"/>
        </w:rPr>
        <w:t xml:space="preserve">an </w:t>
      </w:r>
      <w:r w:rsidRPr="0098575F">
        <w:rPr>
          <w:szCs w:val="24"/>
          <w:lang w:val="en-US"/>
        </w:rPr>
        <w:t xml:space="preserve">analysis workstation. Modern instruments usually have multiple lasers and fluorescence detectors. The current record for a commercial instrument is four lasers and 18 fluorescence detectors. Increasing the number of lasers and detectors allows for multiple </w:t>
      </w:r>
      <w:proofErr w:type="gramStart"/>
      <w:r w:rsidRPr="0098575F">
        <w:rPr>
          <w:szCs w:val="24"/>
          <w:lang w:val="en-US"/>
        </w:rPr>
        <w:t>antibody</w:t>
      </w:r>
      <w:proofErr w:type="gramEnd"/>
      <w:r w:rsidRPr="0098575F">
        <w:rPr>
          <w:szCs w:val="24"/>
          <w:lang w:val="en-US"/>
        </w:rPr>
        <w:t xml:space="preserve"> labeling, and can more precisely identify a target population by their phenotypic markers. </w:t>
      </w:r>
    </w:p>
    <w:p w:rsidR="006F6CF6" w:rsidRDefault="006F6CF6" w:rsidP="006F6CF6">
      <w:pPr>
        <w:pStyle w:val="Heading4"/>
        <w:spacing w:line="480" w:lineRule="auto"/>
        <w:rPr>
          <w:lang w:val="en-US" w:eastAsia="en-GB"/>
        </w:rPr>
      </w:pPr>
      <w:r>
        <w:rPr>
          <w:lang w:val="en-US" w:eastAsia="en-GB"/>
        </w:rPr>
        <w:lastRenderedPageBreak/>
        <w:t>Applications:</w:t>
      </w:r>
    </w:p>
    <w:p w:rsidR="006F6CF6" w:rsidRDefault="006F6CF6" w:rsidP="006F6CF6">
      <w:pPr>
        <w:autoSpaceDE w:val="0"/>
        <w:spacing w:line="480" w:lineRule="auto"/>
        <w:rPr>
          <w:lang w:val="en-US" w:eastAsia="en-GB"/>
        </w:rPr>
      </w:pPr>
      <w:r>
        <w:rPr>
          <w:lang w:val="en-US" w:eastAsia="en-GB"/>
        </w:rPr>
        <w:t>Flow cytometry has a broad application in number of areas including medicine, molecular biology, pathology, immunology, plant and marine biology.</w:t>
      </w:r>
    </w:p>
    <w:p w:rsidR="006F6CF6" w:rsidRDefault="006F6CF6" w:rsidP="006F6CF6">
      <w:pPr>
        <w:autoSpaceDE w:val="0"/>
        <w:spacing w:line="480" w:lineRule="auto"/>
        <w:rPr>
          <w:lang w:val="en-US" w:eastAsia="en-GB"/>
        </w:rPr>
      </w:pPr>
      <w:r>
        <w:rPr>
          <w:lang w:val="en-US" w:eastAsia="en-GB"/>
        </w:rPr>
        <w:t>1-</w:t>
      </w:r>
      <w:r>
        <w:rPr>
          <w:lang w:val="en-US" w:eastAsia="en-GB"/>
        </w:rPr>
        <w:tab/>
        <w:t>Used in health disorders, clinical practice and clinical trials.  (Especially in transplantation, hematology, tumor immunology and chemotherapy, prenatal diagnosis, genetics and sperm sorting for sex preselection).</w:t>
      </w:r>
    </w:p>
    <w:p w:rsidR="006F6CF6" w:rsidRDefault="006F6CF6" w:rsidP="006F6CF6">
      <w:pPr>
        <w:autoSpaceDE w:val="0"/>
        <w:spacing w:line="480" w:lineRule="auto"/>
        <w:rPr>
          <w:lang w:val="en-US" w:eastAsia="en-GB"/>
        </w:rPr>
      </w:pPr>
      <w:r>
        <w:rPr>
          <w:lang w:val="en-US" w:eastAsia="en-GB"/>
        </w:rPr>
        <w:t>2-</w:t>
      </w:r>
      <w:r>
        <w:rPr>
          <w:lang w:val="en-US" w:eastAsia="en-GB"/>
        </w:rPr>
        <w:tab/>
        <w:t xml:space="preserve"> Applications in basic research, (</w:t>
      </w:r>
      <w:r w:rsidR="001E4AAC">
        <w:rPr>
          <w:lang w:val="en-US" w:eastAsia="en-GB"/>
        </w:rPr>
        <w:t>i</w:t>
      </w:r>
      <w:r>
        <w:rPr>
          <w:lang w:val="en-US" w:eastAsia="en-GB"/>
        </w:rPr>
        <w:t>n protein engineering, quantity &amp; type of cells)</w:t>
      </w:r>
    </w:p>
    <w:p w:rsidR="006F6CF6" w:rsidRDefault="006F6CF6" w:rsidP="006F6CF6">
      <w:pPr>
        <w:autoSpaceDE w:val="0"/>
        <w:spacing w:line="480" w:lineRule="auto"/>
        <w:rPr>
          <w:lang w:val="en-US" w:eastAsia="en-GB"/>
        </w:rPr>
      </w:pPr>
      <w:r>
        <w:rPr>
          <w:lang w:val="en-US" w:eastAsia="en-GB"/>
        </w:rPr>
        <w:t>3-</w:t>
      </w:r>
      <w:r>
        <w:rPr>
          <w:lang w:val="en-US" w:eastAsia="en-GB"/>
        </w:rPr>
        <w:tab/>
        <w:t>Used in conjunction with yeast display and bacterial display to identify cell surface-displayed protein variants with desired properties.</w:t>
      </w:r>
    </w:p>
    <w:p w:rsidR="006F6CF6" w:rsidRDefault="006F6CF6" w:rsidP="006F6CF6">
      <w:pPr>
        <w:autoSpaceDE w:val="0"/>
        <w:spacing w:line="480" w:lineRule="auto"/>
        <w:rPr>
          <w:lang w:val="en-US" w:eastAsia="en-GB"/>
        </w:rPr>
      </w:pPr>
      <w:r>
        <w:rPr>
          <w:lang w:val="en-US" w:eastAsia="en-GB"/>
        </w:rPr>
        <w:t>4-</w:t>
      </w:r>
      <w:r>
        <w:rPr>
          <w:lang w:val="en-US" w:eastAsia="en-GB"/>
        </w:rPr>
        <w:tab/>
        <w:t>A common variation is to physically sort particles based on their properties, so as to purify populations of interest.</w:t>
      </w:r>
    </w:p>
    <w:p w:rsidR="006F6CF6" w:rsidRDefault="006F6CF6" w:rsidP="006F6CF6">
      <w:pPr>
        <w:autoSpaceDE w:val="0"/>
        <w:spacing w:line="480" w:lineRule="auto"/>
        <w:rPr>
          <w:lang w:val="en-US" w:eastAsia="en-GB"/>
        </w:rPr>
      </w:pPr>
      <w:r>
        <w:rPr>
          <w:lang w:val="en-US" w:eastAsia="en-GB"/>
        </w:rPr>
        <w:t>5-</w:t>
      </w:r>
      <w:r>
        <w:rPr>
          <w:lang w:val="en-US" w:eastAsia="en-GB"/>
        </w:rPr>
        <w:tab/>
        <w:t xml:space="preserve">Cells counting (live, apoptosis and death cells) </w:t>
      </w:r>
    </w:p>
    <w:p w:rsidR="006F6CF6" w:rsidRDefault="006F6CF6" w:rsidP="006F6CF6">
      <w:pPr>
        <w:autoSpaceDE w:val="0"/>
        <w:spacing w:line="480" w:lineRule="auto"/>
        <w:rPr>
          <w:lang w:val="en-US" w:eastAsia="en-GB"/>
        </w:rPr>
      </w:pPr>
      <w:r>
        <w:rPr>
          <w:lang w:val="en-US" w:eastAsia="en-GB"/>
        </w:rPr>
        <w:t>6-</w:t>
      </w:r>
      <w:r>
        <w:rPr>
          <w:lang w:val="en-US" w:eastAsia="en-GB"/>
        </w:rPr>
        <w:tab/>
        <w:t>A lot of other application</w:t>
      </w:r>
      <w:r w:rsidR="001E4AAC">
        <w:rPr>
          <w:lang w:val="en-US" w:eastAsia="en-GB"/>
        </w:rPr>
        <w:t>s</w:t>
      </w:r>
      <w:r>
        <w:rPr>
          <w:lang w:val="en-US" w:eastAsia="en-GB"/>
        </w:rPr>
        <w:t xml:space="preserve">  </w:t>
      </w:r>
    </w:p>
    <w:p w:rsidR="006F6CF6" w:rsidRDefault="0098575F">
      <w:pPr>
        <w:rPr>
          <w:rFonts w:ascii="Arial" w:eastAsia="SimSun" w:hAnsi="Arial"/>
          <w:b/>
          <w:bCs/>
          <w:sz w:val="32"/>
          <w:szCs w:val="26"/>
          <w:lang w:eastAsia="en-GB"/>
        </w:rPr>
      </w:pPr>
      <w:r>
        <w:rPr>
          <w:noProof/>
          <w:lang w:eastAsia="en-GB"/>
        </w:rPr>
        <w:lastRenderedPageBreak/>
        <w:drawing>
          <wp:anchor distT="0" distB="0" distL="114300" distR="114300" simplePos="0" relativeHeight="251836416" behindDoc="0" locked="0" layoutInCell="1" allowOverlap="1" wp14:anchorId="08373A4F" wp14:editId="49C49787">
            <wp:simplePos x="0" y="0"/>
            <wp:positionH relativeFrom="column">
              <wp:posOffset>350520</wp:posOffset>
            </wp:positionH>
            <wp:positionV relativeFrom="paragraph">
              <wp:posOffset>1695450</wp:posOffset>
            </wp:positionV>
            <wp:extent cx="4991100" cy="4972050"/>
            <wp:effectExtent l="0" t="0" r="0" b="0"/>
            <wp:wrapSquare wrapText="bothSides"/>
            <wp:docPr id="3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rcRect/>
                    <a:stretch>
                      <a:fillRect/>
                    </a:stretch>
                  </pic:blipFill>
                  <pic:spPr>
                    <a:xfrm>
                      <a:off x="0" y="0"/>
                      <a:ext cx="4991100" cy="4972050"/>
                    </a:xfrm>
                    <a:prstGeom prst="rect">
                      <a:avLst/>
                    </a:prstGeom>
                    <a:noFill/>
                    <a:ln>
                      <a:noFill/>
                      <a:prstDash/>
                    </a:ln>
                  </pic:spPr>
                </pic:pic>
              </a:graphicData>
            </a:graphic>
            <wp14:sizeRelV relativeFrom="margin">
              <wp14:pctHeight>0</wp14:pctHeight>
            </wp14:sizeRelV>
          </wp:anchor>
        </w:drawing>
      </w:r>
      <w:r w:rsidR="00222D83">
        <w:rPr>
          <w:noProof/>
          <w:lang w:eastAsia="en-GB"/>
        </w:rPr>
        <mc:AlternateContent>
          <mc:Choice Requires="wps">
            <w:drawing>
              <wp:anchor distT="0" distB="0" distL="114300" distR="114300" simplePos="0" relativeHeight="251840512" behindDoc="0" locked="0" layoutInCell="1" allowOverlap="1" wp14:anchorId="15F6040A" wp14:editId="1A05BFFD">
                <wp:simplePos x="0" y="0"/>
                <wp:positionH relativeFrom="column">
                  <wp:posOffset>209550</wp:posOffset>
                </wp:positionH>
                <wp:positionV relativeFrom="paragraph">
                  <wp:posOffset>647700</wp:posOffset>
                </wp:positionV>
                <wp:extent cx="4991100" cy="4572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991100" cy="457200"/>
                        </a:xfrm>
                        <a:prstGeom prst="rect">
                          <a:avLst/>
                        </a:prstGeom>
                        <a:solidFill>
                          <a:prstClr val="white"/>
                        </a:solidFill>
                        <a:ln>
                          <a:noFill/>
                        </a:ln>
                        <a:effectLst/>
                      </wps:spPr>
                      <wps:txbx>
                        <w:txbxContent>
                          <w:p w:rsidR="003208E6" w:rsidRPr="0098575F" w:rsidRDefault="003208E6" w:rsidP="0098575F">
                            <w:pPr>
                              <w:pStyle w:val="Caption"/>
                              <w:spacing w:line="240" w:lineRule="auto"/>
                              <w:rPr>
                                <w:b/>
                                <w:bCs w:val="0"/>
                                <w:noProof/>
                                <w:szCs w:val="28"/>
                              </w:rPr>
                            </w:pPr>
                            <w:bookmarkStart w:id="672" w:name="_Ref361632881"/>
                            <w:bookmarkStart w:id="673" w:name="_Toc361733634"/>
                            <w:bookmarkStart w:id="674" w:name="_Toc361734277"/>
                            <w:bookmarkStart w:id="675" w:name="_Toc370511673"/>
                            <w:r w:rsidRPr="0098575F">
                              <w:rPr>
                                <w:rFonts w:cstheme="minorBidi"/>
                                <w:b/>
                                <w:bCs w:val="0"/>
                                <w:sz w:val="20"/>
                                <w:szCs w:val="20"/>
                              </w:rPr>
                              <w:t xml:space="preserve">Figure </w:t>
                            </w:r>
                            <w:r w:rsidRPr="0098575F">
                              <w:rPr>
                                <w:rFonts w:cstheme="minorBidi"/>
                                <w:b/>
                                <w:bCs w:val="0"/>
                                <w:sz w:val="20"/>
                                <w:szCs w:val="20"/>
                              </w:rPr>
                              <w:fldChar w:fldCharType="begin"/>
                            </w:r>
                            <w:r w:rsidRPr="0098575F">
                              <w:rPr>
                                <w:rFonts w:cstheme="minorBidi"/>
                                <w:b/>
                                <w:bCs w:val="0"/>
                                <w:sz w:val="20"/>
                                <w:szCs w:val="20"/>
                              </w:rPr>
                              <w:instrText xml:space="preserve"> STYLEREF 1 \s </w:instrText>
                            </w:r>
                            <w:r w:rsidRPr="0098575F">
                              <w:rPr>
                                <w:rFonts w:cstheme="minorBidi"/>
                                <w:b/>
                                <w:bCs w:val="0"/>
                                <w:sz w:val="20"/>
                                <w:szCs w:val="20"/>
                              </w:rPr>
                              <w:fldChar w:fldCharType="separate"/>
                            </w:r>
                            <w:r>
                              <w:rPr>
                                <w:rFonts w:cstheme="minorBidi"/>
                                <w:b/>
                                <w:bCs w:val="0"/>
                                <w:noProof/>
                                <w:sz w:val="20"/>
                                <w:szCs w:val="20"/>
                                <w:cs/>
                              </w:rPr>
                              <w:t>‎</w:t>
                            </w:r>
                            <w:r>
                              <w:rPr>
                                <w:rFonts w:cstheme="minorBidi"/>
                                <w:b/>
                                <w:bCs w:val="0"/>
                                <w:noProof/>
                                <w:sz w:val="20"/>
                                <w:szCs w:val="20"/>
                              </w:rPr>
                              <w:t>4</w:t>
                            </w:r>
                            <w:r w:rsidRPr="0098575F">
                              <w:rPr>
                                <w:rFonts w:cstheme="minorBidi"/>
                                <w:b/>
                                <w:bCs w:val="0"/>
                                <w:sz w:val="20"/>
                                <w:szCs w:val="20"/>
                              </w:rPr>
                              <w:fldChar w:fldCharType="end"/>
                            </w:r>
                            <w:r w:rsidRPr="0098575F">
                              <w:rPr>
                                <w:rFonts w:cstheme="minorBidi"/>
                                <w:b/>
                                <w:bCs w:val="0"/>
                                <w:sz w:val="20"/>
                                <w:szCs w:val="20"/>
                              </w:rPr>
                              <w:t>.</w:t>
                            </w:r>
                            <w:r w:rsidRPr="0098575F">
                              <w:rPr>
                                <w:rFonts w:cstheme="minorBidi"/>
                                <w:b/>
                                <w:bCs w:val="0"/>
                                <w:sz w:val="20"/>
                                <w:szCs w:val="20"/>
                              </w:rPr>
                              <w:fldChar w:fldCharType="begin"/>
                            </w:r>
                            <w:r w:rsidRPr="0098575F">
                              <w:rPr>
                                <w:rFonts w:cstheme="minorBidi"/>
                                <w:b/>
                                <w:bCs w:val="0"/>
                                <w:sz w:val="20"/>
                                <w:szCs w:val="20"/>
                              </w:rPr>
                              <w:instrText xml:space="preserve"> SEQ Figure \* ARABIC \s 1 </w:instrText>
                            </w:r>
                            <w:r w:rsidRPr="0098575F">
                              <w:rPr>
                                <w:rFonts w:cstheme="minorBidi"/>
                                <w:b/>
                                <w:bCs w:val="0"/>
                                <w:sz w:val="20"/>
                                <w:szCs w:val="20"/>
                              </w:rPr>
                              <w:fldChar w:fldCharType="separate"/>
                            </w:r>
                            <w:r>
                              <w:rPr>
                                <w:rFonts w:cstheme="minorBidi"/>
                                <w:b/>
                                <w:bCs w:val="0"/>
                                <w:noProof/>
                                <w:sz w:val="20"/>
                                <w:szCs w:val="20"/>
                              </w:rPr>
                              <w:t>1</w:t>
                            </w:r>
                            <w:r w:rsidRPr="0098575F">
                              <w:rPr>
                                <w:rFonts w:cstheme="minorBidi"/>
                                <w:b/>
                                <w:bCs w:val="0"/>
                                <w:sz w:val="20"/>
                                <w:szCs w:val="20"/>
                              </w:rPr>
                              <w:fldChar w:fldCharType="end"/>
                            </w:r>
                            <w:bookmarkEnd w:id="672"/>
                            <w:r w:rsidRPr="0098575F">
                              <w:rPr>
                                <w:rFonts w:cstheme="minorBidi"/>
                                <w:b/>
                                <w:bCs w:val="0"/>
                                <w:sz w:val="20"/>
                                <w:szCs w:val="20"/>
                                <w:lang w:val="en-US" w:eastAsia="en-GB"/>
                              </w:rPr>
                              <w:t xml:space="preserve"> Schematic diagram of a flow cytometer, showing focusing of the fluid sheath, laser, optics.</w:t>
                            </w:r>
                            <w:bookmarkEnd w:id="673"/>
                            <w:bookmarkEnd w:id="674"/>
                            <w:bookmarkEnd w:id="6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6" o:spid="_x0000_s1048" type="#_x0000_t202" style="position:absolute;margin-left:16.5pt;margin-top:51pt;width:393pt;height:36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" stroked="f">
                <v:textbox inset="0,0,0,0">
                  <w:txbxContent>
                    <w:p w:rsidR="003208E6" w:rsidRPr="0098575F" w:rsidRDefault="003208E6" w:rsidP="0098575F">
                      <w:pPr>
                        <w:pStyle w:val="Caption"/>
                        <w:spacing w:line="240" w:lineRule="auto"/>
                        <w:rPr>
                          <w:b/>
                          <w:bCs w:val="0"/>
                          <w:noProof/>
                          <w:szCs w:val="28"/>
                        </w:rPr>
                      </w:pPr>
                      <w:bookmarkStart w:id="721" w:name="_Ref361632881"/>
                      <w:bookmarkStart w:id="722" w:name="_Toc361733634"/>
                      <w:bookmarkStart w:id="723" w:name="_Toc361734277"/>
                      <w:bookmarkStart w:id="724" w:name="_Toc370511673"/>
                      <w:r w:rsidRPr="0098575F">
                        <w:rPr>
                          <w:rFonts w:cstheme="minorBidi"/>
                          <w:b/>
                          <w:bCs w:val="0"/>
                          <w:sz w:val="20"/>
                          <w:szCs w:val="20"/>
                        </w:rPr>
                        <w:t xml:space="preserve">Figure </w:t>
                      </w:r>
                      <w:r w:rsidRPr="0098575F">
                        <w:rPr>
                          <w:rFonts w:cstheme="minorBidi"/>
                          <w:b/>
                          <w:bCs w:val="0"/>
                          <w:sz w:val="20"/>
                          <w:szCs w:val="20"/>
                        </w:rPr>
                        <w:fldChar w:fldCharType="begin"/>
                      </w:r>
                      <w:r w:rsidRPr="0098575F">
                        <w:rPr>
                          <w:rFonts w:cstheme="minorBidi"/>
                          <w:b/>
                          <w:bCs w:val="0"/>
                          <w:sz w:val="20"/>
                          <w:szCs w:val="20"/>
                        </w:rPr>
                        <w:instrText xml:space="preserve"> STYLEREF 1 \s </w:instrText>
                      </w:r>
                      <w:r w:rsidRPr="0098575F">
                        <w:rPr>
                          <w:rFonts w:cstheme="minorBidi"/>
                          <w:b/>
                          <w:bCs w:val="0"/>
                          <w:sz w:val="20"/>
                          <w:szCs w:val="20"/>
                        </w:rPr>
                        <w:fldChar w:fldCharType="separate"/>
                      </w:r>
                      <w:r>
                        <w:rPr>
                          <w:rFonts w:cstheme="minorBidi"/>
                          <w:b/>
                          <w:bCs w:val="0"/>
                          <w:noProof/>
                          <w:sz w:val="20"/>
                          <w:szCs w:val="20"/>
                          <w:cs/>
                        </w:rPr>
                        <w:t>‎</w:t>
                      </w:r>
                      <w:r>
                        <w:rPr>
                          <w:rFonts w:cstheme="minorBidi"/>
                          <w:b/>
                          <w:bCs w:val="0"/>
                          <w:noProof/>
                          <w:sz w:val="20"/>
                          <w:szCs w:val="20"/>
                        </w:rPr>
                        <w:t>4</w:t>
                      </w:r>
                      <w:r w:rsidRPr="0098575F">
                        <w:rPr>
                          <w:rFonts w:cstheme="minorBidi"/>
                          <w:b/>
                          <w:bCs w:val="0"/>
                          <w:sz w:val="20"/>
                          <w:szCs w:val="20"/>
                        </w:rPr>
                        <w:fldChar w:fldCharType="end"/>
                      </w:r>
                      <w:r w:rsidRPr="0098575F">
                        <w:rPr>
                          <w:rFonts w:cstheme="minorBidi"/>
                          <w:b/>
                          <w:bCs w:val="0"/>
                          <w:sz w:val="20"/>
                          <w:szCs w:val="20"/>
                        </w:rPr>
                        <w:t>.</w:t>
                      </w:r>
                      <w:r w:rsidRPr="0098575F">
                        <w:rPr>
                          <w:rFonts w:cstheme="minorBidi"/>
                          <w:b/>
                          <w:bCs w:val="0"/>
                          <w:sz w:val="20"/>
                          <w:szCs w:val="20"/>
                        </w:rPr>
                        <w:fldChar w:fldCharType="begin"/>
                      </w:r>
                      <w:r w:rsidRPr="0098575F">
                        <w:rPr>
                          <w:rFonts w:cstheme="minorBidi"/>
                          <w:b/>
                          <w:bCs w:val="0"/>
                          <w:sz w:val="20"/>
                          <w:szCs w:val="20"/>
                        </w:rPr>
                        <w:instrText xml:space="preserve"> SEQ Figure \* ARABIC \s 1 </w:instrText>
                      </w:r>
                      <w:r w:rsidRPr="0098575F">
                        <w:rPr>
                          <w:rFonts w:cstheme="minorBidi"/>
                          <w:b/>
                          <w:bCs w:val="0"/>
                          <w:sz w:val="20"/>
                          <w:szCs w:val="20"/>
                        </w:rPr>
                        <w:fldChar w:fldCharType="separate"/>
                      </w:r>
                      <w:r>
                        <w:rPr>
                          <w:rFonts w:cstheme="minorBidi"/>
                          <w:b/>
                          <w:bCs w:val="0"/>
                          <w:noProof/>
                          <w:sz w:val="20"/>
                          <w:szCs w:val="20"/>
                        </w:rPr>
                        <w:t>1</w:t>
                      </w:r>
                      <w:r w:rsidRPr="0098575F">
                        <w:rPr>
                          <w:rFonts w:cstheme="minorBidi"/>
                          <w:b/>
                          <w:bCs w:val="0"/>
                          <w:sz w:val="20"/>
                          <w:szCs w:val="20"/>
                        </w:rPr>
                        <w:fldChar w:fldCharType="end"/>
                      </w:r>
                      <w:bookmarkEnd w:id="721"/>
                      <w:r w:rsidRPr="0098575F">
                        <w:rPr>
                          <w:rFonts w:cstheme="minorBidi"/>
                          <w:b/>
                          <w:bCs w:val="0"/>
                          <w:sz w:val="20"/>
                          <w:szCs w:val="20"/>
                          <w:lang w:val="en-US" w:eastAsia="en-GB"/>
                        </w:rPr>
                        <w:t xml:space="preserve"> Schematic diagram of a flow cytometer, showing focusing of the fluid sheath, laser, optics.</w:t>
                      </w:r>
                      <w:bookmarkEnd w:id="722"/>
                      <w:bookmarkEnd w:id="723"/>
                      <w:bookmarkEnd w:id="724"/>
                    </w:p>
                  </w:txbxContent>
                </v:textbox>
                <w10:wrap type="square"/>
              </v:shape>
            </w:pict>
          </mc:Fallback>
        </mc:AlternateContent>
      </w:r>
    </w:p>
    <w:p w:rsidR="006F6CF6" w:rsidRPr="006F6CF6" w:rsidRDefault="006F6CF6" w:rsidP="002B54A2">
      <w:pPr>
        <w:pStyle w:val="Heading2"/>
      </w:pPr>
      <w:bookmarkStart w:id="676" w:name="_Toc370819318"/>
      <w:r w:rsidRPr="006F6CF6">
        <w:lastRenderedPageBreak/>
        <w:t>Summary of literature review</w:t>
      </w:r>
      <w:bookmarkEnd w:id="676"/>
    </w:p>
    <w:p w:rsidR="004364C9" w:rsidRDefault="004364C9" w:rsidP="004364C9">
      <w:pPr>
        <w:spacing w:line="480" w:lineRule="auto"/>
        <w:jc w:val="both"/>
        <w:rPr>
          <w:bCs/>
        </w:rPr>
      </w:pPr>
      <w:r>
        <w:rPr>
          <w:bCs/>
        </w:rPr>
        <w:t>Triple antibiotics have been reported to be effective against bacterial flora of human root canal dentine, dental plaque, and necrotic pulp. The majority of the available weak evidence supports the use of triple antibiotics for root canal disinfection to facilitate regenerative endodontic treatments of necrotic immature permanent teeth.  Many areas of regenerative endodontic treatments remain unclear with poor quality evidence available in the literature.  One such area of poor understanding is cellular response, such as cell proliferation or cell survivability after the application of the mixtures of antibiotics. These cells are ultimately responsible for the future of the regenerative process and it was considered prudent to study the affect these antibiotics might have on the survival of these cells.</w:t>
      </w:r>
    </w:p>
    <w:p w:rsidR="006F0A10" w:rsidRDefault="006F0A10" w:rsidP="004364C9">
      <w:pPr>
        <w:spacing w:line="480" w:lineRule="auto"/>
        <w:jc w:val="both"/>
        <w:rPr>
          <w:bCs/>
        </w:rPr>
      </w:pPr>
    </w:p>
    <w:p w:rsidR="00B7220D" w:rsidRPr="00B013ED" w:rsidRDefault="00B7220D" w:rsidP="00B7220D">
      <w:pPr>
        <w:pStyle w:val="Heading2"/>
        <w:numPr>
          <w:ilvl w:val="1"/>
          <w:numId w:val="96"/>
        </w:numPr>
      </w:pPr>
      <w:bookmarkStart w:id="677" w:name="_Toc370819319"/>
      <w:r w:rsidRPr="00B013ED">
        <w:t>Aim of this study</w:t>
      </w:r>
      <w:bookmarkEnd w:id="677"/>
    </w:p>
    <w:p w:rsidR="00B7220D" w:rsidRPr="00B7220D" w:rsidRDefault="00B7220D" w:rsidP="00B7220D">
      <w:pPr>
        <w:spacing w:after="120" w:line="480" w:lineRule="auto"/>
      </w:pPr>
      <w:r>
        <w:rPr>
          <w:rFonts w:eastAsia="SimSun" w:cs="Arial"/>
          <w:color w:val="333333"/>
          <w:szCs w:val="24"/>
          <w:lang w:eastAsia="zh-CN"/>
        </w:rPr>
        <w:t xml:space="preserve">To evaluate the toxicity of antibiotics used for regenerative </w:t>
      </w:r>
      <w:r w:rsidR="009E6049">
        <w:rPr>
          <w:rFonts w:eastAsia="SimSun" w:cs="Arial"/>
          <w:color w:val="333333"/>
          <w:szCs w:val="24"/>
          <w:lang w:eastAsia="zh-CN"/>
        </w:rPr>
        <w:t xml:space="preserve">antibiotic </w:t>
      </w:r>
      <w:r>
        <w:rPr>
          <w:rFonts w:eastAsia="SimSun" w:cs="Arial"/>
          <w:color w:val="333333"/>
          <w:szCs w:val="24"/>
          <w:lang w:eastAsia="zh-CN"/>
        </w:rPr>
        <w:t>technique, both individually and in combination</w:t>
      </w:r>
      <w:r w:rsidR="001E4AAC">
        <w:rPr>
          <w:rFonts w:eastAsia="SimSun" w:cs="Arial"/>
          <w:color w:val="333333"/>
          <w:szCs w:val="24"/>
          <w:lang w:eastAsia="zh-CN"/>
        </w:rPr>
        <w:t>,</w:t>
      </w:r>
      <w:r>
        <w:rPr>
          <w:rFonts w:eastAsia="SimSun" w:cs="Arial"/>
          <w:color w:val="333333"/>
          <w:szCs w:val="24"/>
          <w:lang w:eastAsia="zh-CN"/>
        </w:rPr>
        <w:t xml:space="preserve"> on pulp cell survival.</w:t>
      </w:r>
    </w:p>
    <w:p w:rsidR="006F6CF6" w:rsidRDefault="006F6CF6">
      <w:pPr>
        <w:rPr>
          <w:rFonts w:ascii="Arial" w:eastAsia="Calibri" w:hAnsi="Arial"/>
          <w:bCs/>
        </w:rPr>
      </w:pPr>
      <w:r>
        <w:rPr>
          <w:rFonts w:ascii="Arial" w:eastAsia="Calibri" w:hAnsi="Arial"/>
          <w:bCs/>
        </w:rPr>
        <w:br w:type="page"/>
      </w:r>
    </w:p>
    <w:p w:rsidR="006F6CF6" w:rsidRPr="006F6CF6" w:rsidRDefault="006F6CF6" w:rsidP="006F6CF6">
      <w:pPr>
        <w:suppressAutoHyphens/>
        <w:autoSpaceDN w:val="0"/>
        <w:spacing w:line="480" w:lineRule="auto"/>
        <w:jc w:val="both"/>
        <w:textAlignment w:val="baseline"/>
        <w:rPr>
          <w:rFonts w:ascii="Arial" w:eastAsia="Calibri" w:hAnsi="Arial"/>
          <w:bCs/>
        </w:rPr>
      </w:pPr>
    </w:p>
    <w:p w:rsidR="00294F6F" w:rsidRPr="00B013ED" w:rsidRDefault="00294F6F" w:rsidP="00B7220D">
      <w:pPr>
        <w:pStyle w:val="Heading2"/>
      </w:pPr>
      <w:bookmarkStart w:id="678" w:name="_Toc370819320"/>
      <w:bookmarkEnd w:id="661"/>
      <w:r w:rsidRPr="00B013ED">
        <w:t>Materials and methods</w:t>
      </w:r>
      <w:bookmarkEnd w:id="678"/>
      <w:r w:rsidRPr="00B013ED">
        <w:t xml:space="preserve"> </w:t>
      </w:r>
    </w:p>
    <w:p w:rsidR="00294F6F" w:rsidRPr="00B013ED" w:rsidRDefault="00294F6F" w:rsidP="00592DB2">
      <w:pPr>
        <w:pStyle w:val="Heading3"/>
        <w:spacing w:line="480" w:lineRule="auto"/>
        <w:rPr>
          <w:lang w:eastAsia="en-GB"/>
        </w:rPr>
      </w:pPr>
      <w:bookmarkStart w:id="679" w:name="_Toc370819321"/>
      <w:r w:rsidRPr="00B013ED">
        <w:rPr>
          <w:lang w:eastAsia="en-GB"/>
        </w:rPr>
        <w:t>General material and equipment needed for this experiment.</w:t>
      </w:r>
      <w:bookmarkEnd w:id="679"/>
    </w:p>
    <w:p w:rsidR="003208DC" w:rsidRDefault="003208DC" w:rsidP="003208DC">
      <w:pPr>
        <w:spacing w:after="0" w:line="480" w:lineRule="auto"/>
        <w:jc w:val="both"/>
        <w:rPr>
          <w:rFonts w:eastAsia="Times New Roman" w:cs="Arial"/>
          <w:szCs w:val="24"/>
          <w:lang w:eastAsia="en-GB"/>
        </w:rPr>
      </w:pPr>
      <w:r>
        <w:rPr>
          <w:rFonts w:eastAsia="Times New Roman" w:cs="Arial"/>
          <w:szCs w:val="24"/>
          <w:lang w:eastAsia="en-GB"/>
        </w:rPr>
        <w:t>Cell culture hood / incubator / water bath / centrifuge /refrigerator / haemocytometer / microscope/ cell cultured media (Alpha minimum essential medium (MEM)) / pipette.</w:t>
      </w:r>
    </w:p>
    <w:p w:rsidR="003208DC" w:rsidRDefault="003208DC" w:rsidP="003208DC">
      <w:pPr>
        <w:spacing w:after="120" w:line="480" w:lineRule="auto"/>
        <w:jc w:val="both"/>
      </w:pPr>
      <w:r>
        <w:rPr>
          <w:rFonts w:eastAsia="Times New Roman" w:cs="Arial"/>
          <w:szCs w:val="24"/>
          <w:lang w:eastAsia="en-GB"/>
        </w:rPr>
        <w:t xml:space="preserve">. Trypsin/ Phosphate buffered saline (abbreviated PBS) (sigma – Aldrich. </w:t>
      </w:r>
      <w:proofErr w:type="gramStart"/>
      <w:r>
        <w:rPr>
          <w:rFonts w:eastAsia="Times New Roman" w:cs="Arial"/>
          <w:szCs w:val="24"/>
          <w:lang w:eastAsia="en-GB"/>
        </w:rPr>
        <w:t>USA) / foetal bovine serum (FBS) (</w:t>
      </w:r>
      <w:r>
        <w:rPr>
          <w:rFonts w:eastAsia="SimSun" w:cs="Arial"/>
          <w:bCs/>
          <w:szCs w:val="24"/>
          <w:lang w:eastAsia="zh-CN"/>
        </w:rPr>
        <w:t>Biosera</w:t>
      </w:r>
      <w:r>
        <w:rPr>
          <w:rFonts w:eastAsia="SimSun" w:cs="Arial"/>
          <w:szCs w:val="24"/>
          <w:lang w:eastAsia="zh-CN"/>
        </w:rPr>
        <w:t>, East Sussex, UK).</w:t>
      </w:r>
      <w:proofErr w:type="gramEnd"/>
    </w:p>
    <w:p w:rsidR="00294F6F" w:rsidRPr="00B013ED" w:rsidRDefault="00294F6F" w:rsidP="00592DB2">
      <w:pPr>
        <w:pStyle w:val="Heading3"/>
        <w:spacing w:line="480" w:lineRule="auto"/>
        <w:rPr>
          <w:lang w:eastAsia="en-GB"/>
        </w:rPr>
      </w:pPr>
      <w:bookmarkStart w:id="680" w:name="_Toc370819322"/>
      <w:proofErr w:type="gramStart"/>
      <w:r w:rsidRPr="00B013ED">
        <w:rPr>
          <w:lang w:eastAsia="en-GB"/>
        </w:rPr>
        <w:t>Conditions for cell culture and storage.</w:t>
      </w:r>
      <w:bookmarkEnd w:id="680"/>
      <w:proofErr w:type="gramEnd"/>
    </w:p>
    <w:p w:rsidR="00847210" w:rsidRDefault="00847210" w:rsidP="00847210">
      <w:pPr>
        <w:spacing w:after="120" w:line="480" w:lineRule="auto"/>
        <w:jc w:val="both"/>
      </w:pPr>
      <w:r>
        <w:rPr>
          <w:rFonts w:eastAsia="Times New Roman" w:cs="Arial"/>
          <w:b/>
          <w:bCs/>
          <w:szCs w:val="24"/>
          <w:lang w:eastAsia="en-GB"/>
        </w:rPr>
        <w:t>Cell media:</w:t>
      </w:r>
      <w:r>
        <w:rPr>
          <w:rFonts w:eastAsia="Times New Roman" w:cs="Arial"/>
          <w:szCs w:val="24"/>
          <w:lang w:eastAsia="en-GB"/>
        </w:rPr>
        <w:t xml:space="preserve"> Transfer 9 ml of Minimum Essential Medium (MEM) Alpha Medium (Gibco. UK) + 1 ml (10%) foetal bovine serum (FBS) + 0.1 ml (1%) </w:t>
      </w:r>
      <w:proofErr w:type="gramStart"/>
      <w:r>
        <w:rPr>
          <w:rFonts w:eastAsia="Times New Roman" w:cs="Arial"/>
          <w:szCs w:val="24"/>
          <w:lang w:eastAsia="en-GB"/>
        </w:rPr>
        <w:t>L-Glutamine.</w:t>
      </w:r>
      <w:proofErr w:type="gramEnd"/>
      <w:r>
        <w:rPr>
          <w:rFonts w:eastAsia="Times New Roman" w:cs="Arial"/>
          <w:szCs w:val="24"/>
          <w:lang w:eastAsia="en-GB"/>
        </w:rPr>
        <w:t xml:space="preserve"> </w:t>
      </w:r>
    </w:p>
    <w:p w:rsidR="00847210" w:rsidRDefault="00847210" w:rsidP="00847210">
      <w:pPr>
        <w:spacing w:after="0" w:line="480" w:lineRule="auto"/>
        <w:jc w:val="both"/>
      </w:pPr>
      <w:r>
        <w:rPr>
          <w:rFonts w:eastAsia="Times New Roman" w:cs="Arial"/>
          <w:b/>
          <w:bCs/>
          <w:szCs w:val="24"/>
          <w:lang w:eastAsia="en-GB"/>
        </w:rPr>
        <w:t>Cell culture hood:</w:t>
      </w:r>
      <w:r>
        <w:rPr>
          <w:rFonts w:eastAsia="Times New Roman" w:cs="Arial"/>
          <w:szCs w:val="24"/>
          <w:lang w:eastAsia="en-GB"/>
        </w:rPr>
        <w:t xml:space="preserve"> </w:t>
      </w:r>
      <w:r>
        <w:rPr>
          <w:rFonts w:eastAsia="SimSun" w:cs="Arial"/>
          <w:szCs w:val="24"/>
          <w:lang w:eastAsia="zh-CN"/>
        </w:rPr>
        <w:t>The laminar flow hood provides an aseptic work area and environment necessary for cell culture experiments.</w:t>
      </w:r>
    </w:p>
    <w:p w:rsidR="00294F6F" w:rsidRPr="00B013ED" w:rsidRDefault="00294F6F" w:rsidP="000976D5">
      <w:pPr>
        <w:spacing w:after="0" w:line="480" w:lineRule="auto"/>
        <w:rPr>
          <w:rFonts w:ascii="Arial" w:eastAsia="Times New Roman" w:hAnsi="Arial" w:cs="Arial"/>
          <w:szCs w:val="24"/>
          <w:lang w:eastAsia="en-GB"/>
        </w:rPr>
      </w:pPr>
      <w:r w:rsidRPr="00B013ED">
        <w:rPr>
          <w:rFonts w:ascii="Arial" w:eastAsia="Times New Roman" w:hAnsi="Arial" w:cs="Arial"/>
          <w:b/>
          <w:bCs/>
          <w:szCs w:val="24"/>
          <w:lang w:eastAsia="en-GB"/>
        </w:rPr>
        <w:t xml:space="preserve">Incubator:  </w:t>
      </w:r>
    </w:p>
    <w:p w:rsidR="00847210" w:rsidRPr="00847210" w:rsidRDefault="00847210" w:rsidP="00847210">
      <w:pPr>
        <w:suppressAutoHyphens/>
        <w:autoSpaceDN w:val="0"/>
        <w:spacing w:after="0" w:line="480" w:lineRule="auto"/>
        <w:jc w:val="both"/>
        <w:textAlignment w:val="baseline"/>
        <w:rPr>
          <w:rFonts w:ascii="Arial" w:eastAsia="Calibri" w:hAnsi="Arial"/>
        </w:rPr>
      </w:pPr>
      <w:r w:rsidRPr="00847210">
        <w:rPr>
          <w:rFonts w:ascii="Arial" w:eastAsia="SimSun" w:hAnsi="Arial" w:cs="Arial"/>
          <w:szCs w:val="24"/>
          <w:lang w:eastAsia="zh-CN"/>
        </w:rPr>
        <w:t>Cell culture incubator is designed to maintain a constant temperature and high humidity for the growth of tissue culture cells under a CO</w:t>
      </w:r>
      <w:r w:rsidRPr="00847210">
        <w:rPr>
          <w:rFonts w:ascii="Arial" w:eastAsia="SimSun" w:hAnsi="Arial" w:cs="Arial"/>
          <w:szCs w:val="24"/>
          <w:vertAlign w:val="subscript"/>
          <w:lang w:eastAsia="zh-CN"/>
        </w:rPr>
        <w:t>2</w:t>
      </w:r>
      <w:r w:rsidRPr="00847210">
        <w:rPr>
          <w:rFonts w:ascii="Arial" w:eastAsia="SimSun" w:hAnsi="Arial" w:cs="Arial"/>
          <w:szCs w:val="24"/>
          <w:lang w:eastAsia="zh-CN"/>
        </w:rPr>
        <w:t xml:space="preserve"> atmosphere. For these experiments the incubator was set at a temperature of 37</w:t>
      </w:r>
      <w:r w:rsidRPr="00847210">
        <w:rPr>
          <w:rFonts w:ascii="Arial" w:eastAsia="SimSun" w:hAnsi="Arial" w:cs="Arial"/>
          <w:szCs w:val="24"/>
          <w:vertAlign w:val="superscript"/>
          <w:lang w:eastAsia="zh-CN"/>
        </w:rPr>
        <w:t>o</w:t>
      </w:r>
      <w:r w:rsidRPr="00847210">
        <w:rPr>
          <w:rFonts w:ascii="Arial" w:eastAsia="SimSun" w:hAnsi="Arial" w:cs="Arial"/>
          <w:szCs w:val="24"/>
          <w:lang w:eastAsia="zh-CN"/>
        </w:rPr>
        <w:t>C and CO</w:t>
      </w:r>
      <w:r w:rsidRPr="00847210">
        <w:rPr>
          <w:rFonts w:ascii="Arial" w:eastAsia="SimSun" w:hAnsi="Arial" w:cs="Arial"/>
          <w:szCs w:val="24"/>
          <w:vertAlign w:val="subscript"/>
          <w:lang w:eastAsia="zh-CN"/>
        </w:rPr>
        <w:t>2</w:t>
      </w:r>
      <w:r w:rsidRPr="00847210">
        <w:rPr>
          <w:rFonts w:ascii="Arial" w:eastAsia="SimSun" w:hAnsi="Arial" w:cs="Arial"/>
          <w:szCs w:val="24"/>
          <w:lang w:eastAsia="zh-CN"/>
        </w:rPr>
        <w:t xml:space="preserve"> level of 5%, and the relative humidity was maintained between 95% and 98%. </w:t>
      </w:r>
    </w:p>
    <w:p w:rsidR="00CE3E24" w:rsidRDefault="00CE3E24">
      <w:pPr>
        <w:rPr>
          <w:rFonts w:eastAsiaTheme="majorEastAsia"/>
          <w:b/>
          <w:bCs/>
          <w:sz w:val="28"/>
          <w:lang w:eastAsia="en-GB"/>
        </w:rPr>
      </w:pPr>
      <w:r>
        <w:rPr>
          <w:lang w:eastAsia="en-GB"/>
        </w:rPr>
        <w:br w:type="page"/>
      </w:r>
    </w:p>
    <w:p w:rsidR="00294F6F" w:rsidRPr="00B013ED" w:rsidRDefault="00294F6F" w:rsidP="00847210">
      <w:pPr>
        <w:pStyle w:val="Heading3"/>
        <w:spacing w:line="480" w:lineRule="auto"/>
        <w:rPr>
          <w:lang w:eastAsia="en-GB"/>
        </w:rPr>
      </w:pPr>
      <w:bookmarkStart w:id="681" w:name="_Toc370819323"/>
      <w:r w:rsidRPr="00B013ED">
        <w:rPr>
          <w:lang w:eastAsia="en-GB"/>
        </w:rPr>
        <w:lastRenderedPageBreak/>
        <w:t>Cytotoxicity test:</w:t>
      </w:r>
      <w:bookmarkEnd w:id="681"/>
    </w:p>
    <w:p w:rsidR="00847210" w:rsidRDefault="00847210" w:rsidP="00847210">
      <w:pPr>
        <w:spacing w:before="100" w:after="100" w:line="480" w:lineRule="auto"/>
        <w:jc w:val="both"/>
      </w:pPr>
      <w:r>
        <w:rPr>
          <w:rFonts w:eastAsia="SimSun" w:cs="Arial"/>
          <w:b/>
          <w:bCs/>
          <w:szCs w:val="24"/>
          <w:lang w:eastAsia="zh-CN"/>
        </w:rPr>
        <w:t>Cytotoxicity</w:t>
      </w:r>
      <w:r>
        <w:rPr>
          <w:rFonts w:eastAsia="SimSun" w:cs="Arial"/>
          <w:szCs w:val="24"/>
          <w:lang w:eastAsia="zh-CN"/>
        </w:rPr>
        <w:t xml:space="preserve"> is the quality of being </w:t>
      </w:r>
      <w:hyperlink r:id="rId89" w:tooltip="Toxicity" w:history="1">
        <w:r>
          <w:rPr>
            <w:rFonts w:eastAsia="SimSun" w:cs="Arial"/>
            <w:szCs w:val="24"/>
            <w:lang w:eastAsia="zh-CN"/>
          </w:rPr>
          <w:t>toxic</w:t>
        </w:r>
      </w:hyperlink>
      <w:r>
        <w:rPr>
          <w:rFonts w:eastAsia="SimSun" w:cs="Arial"/>
          <w:szCs w:val="24"/>
          <w:lang w:eastAsia="zh-CN"/>
        </w:rPr>
        <w:t xml:space="preserve"> to </w:t>
      </w:r>
      <w:hyperlink r:id="rId90" w:tooltip="Cell (biology)" w:history="1">
        <w:r>
          <w:rPr>
            <w:rFonts w:eastAsia="SimSun" w:cs="Arial"/>
            <w:szCs w:val="24"/>
            <w:lang w:eastAsia="zh-CN"/>
          </w:rPr>
          <w:t>cells</w:t>
        </w:r>
      </w:hyperlink>
      <w:r>
        <w:rPr>
          <w:rFonts w:eastAsia="SimSun" w:cs="Arial"/>
          <w:szCs w:val="24"/>
          <w:lang w:eastAsia="zh-CN"/>
        </w:rPr>
        <w:t>.</w:t>
      </w:r>
      <w:r>
        <w:rPr>
          <w:rFonts w:eastAsia="Times New Roman" w:cs="Arial"/>
          <w:szCs w:val="24"/>
          <w:lang w:val="en" w:eastAsia="zh-CN"/>
        </w:rPr>
        <w:t xml:space="preserve"> Cytotoxicity is a test to measure the fates of pulp cells after been exposed to antibiotics in treating necrotic immature teeth with regenerative endodontic techniques. </w:t>
      </w:r>
    </w:p>
    <w:p w:rsidR="00847210" w:rsidRDefault="00847210" w:rsidP="00847210">
      <w:pPr>
        <w:spacing w:before="100" w:after="100" w:line="480" w:lineRule="auto"/>
        <w:jc w:val="both"/>
      </w:pPr>
      <w:r>
        <w:rPr>
          <w:rFonts w:eastAsia="Times New Roman" w:cs="Arial"/>
          <w:szCs w:val="24"/>
          <w:lang w:val="en" w:eastAsia="zh-CN"/>
        </w:rPr>
        <w:t xml:space="preserve">Cells undergoing </w:t>
      </w:r>
      <w:hyperlink r:id="rId91" w:tooltip="Necrosis" w:history="1">
        <w:r>
          <w:rPr>
            <w:rFonts w:eastAsia="Times New Roman" w:cs="Arial"/>
            <w:szCs w:val="24"/>
            <w:lang w:val="en" w:eastAsia="zh-CN"/>
          </w:rPr>
          <w:t>necrosis</w:t>
        </w:r>
      </w:hyperlink>
      <w:r>
        <w:rPr>
          <w:rFonts w:eastAsia="Times New Roman" w:cs="Arial"/>
          <w:szCs w:val="24"/>
          <w:lang w:val="en" w:eastAsia="zh-CN"/>
        </w:rPr>
        <w:t xml:space="preserve"> could be identified by losing membrane integrity and rapid death as a result of </w:t>
      </w:r>
      <w:hyperlink r:id="rId92" w:tooltip="Cell lysis" w:history="1">
        <w:r>
          <w:rPr>
            <w:rFonts w:eastAsia="Times New Roman" w:cs="Arial"/>
            <w:szCs w:val="24"/>
            <w:lang w:val="en" w:eastAsia="zh-CN"/>
          </w:rPr>
          <w:t>cell lysis</w:t>
        </w:r>
      </w:hyperlink>
      <w:r>
        <w:rPr>
          <w:rFonts w:eastAsia="Times New Roman" w:cs="Arial"/>
          <w:szCs w:val="24"/>
          <w:lang w:val="en" w:eastAsia="zh-CN"/>
        </w:rPr>
        <w:t>. The cells can stop growing actively and dividing (a decrease in cell viability), or the cells can activate a genetic program of controlled cell death (</w:t>
      </w:r>
      <w:hyperlink r:id="rId93" w:tooltip="Apoptosis" w:history="1">
        <w:r>
          <w:rPr>
            <w:rFonts w:eastAsia="Times New Roman" w:cs="Arial"/>
            <w:szCs w:val="24"/>
            <w:lang w:val="en" w:eastAsia="zh-CN"/>
          </w:rPr>
          <w:t>apoptosis</w:t>
        </w:r>
      </w:hyperlink>
      <w:r>
        <w:rPr>
          <w:rFonts w:eastAsia="Times New Roman" w:cs="Arial"/>
          <w:szCs w:val="24"/>
          <w:lang w:val="en" w:eastAsia="zh-CN"/>
        </w:rPr>
        <w:t>).</w:t>
      </w:r>
    </w:p>
    <w:p w:rsidR="00847210" w:rsidRDefault="00847210" w:rsidP="00847210">
      <w:pPr>
        <w:spacing w:before="100" w:after="100" w:line="480" w:lineRule="auto"/>
        <w:jc w:val="both"/>
      </w:pPr>
      <w:r>
        <w:rPr>
          <w:rFonts w:eastAsia="Times New Roman" w:cs="Arial"/>
          <w:b/>
          <w:szCs w:val="24"/>
          <w:lang w:val="en" w:eastAsia="zh-CN"/>
        </w:rPr>
        <w:t>Cell necrosis</w:t>
      </w:r>
      <w:r>
        <w:rPr>
          <w:rFonts w:eastAsia="Times New Roman" w:cs="Arial"/>
          <w:szCs w:val="24"/>
          <w:lang w:val="en" w:eastAsia="zh-CN"/>
        </w:rPr>
        <w:t xml:space="preserve">: Cells exhibit rapid swelling, lose membrane integrity, shut down metabolism and release their contents into the environment. Cells that undergo rapid necrosis </w:t>
      </w:r>
      <w:r>
        <w:rPr>
          <w:rFonts w:eastAsia="Times New Roman" w:cs="Arial"/>
          <w:i/>
          <w:szCs w:val="24"/>
          <w:lang w:val="en" w:eastAsia="zh-CN"/>
        </w:rPr>
        <w:t>in vitro</w:t>
      </w:r>
      <w:r>
        <w:rPr>
          <w:rFonts w:eastAsia="Times New Roman" w:cs="Arial"/>
          <w:szCs w:val="24"/>
          <w:lang w:val="en" w:eastAsia="zh-CN"/>
        </w:rPr>
        <w:t xml:space="preserve"> do not have sufficient time or energy to activate apoptotic machinery and will not express apoptotic markers. </w:t>
      </w:r>
    </w:p>
    <w:p w:rsidR="00294F6F" w:rsidRPr="00B013ED" w:rsidRDefault="00294F6F" w:rsidP="0098575F">
      <w:pPr>
        <w:pStyle w:val="Heading4"/>
        <w:spacing w:line="480" w:lineRule="auto"/>
        <w:rPr>
          <w:lang w:val="en" w:eastAsia="zh-CN"/>
        </w:rPr>
      </w:pPr>
      <w:r w:rsidRPr="00B013ED">
        <w:rPr>
          <w:lang w:val="en" w:eastAsia="zh-CN"/>
        </w:rPr>
        <w:t>Apoptosis:</w:t>
      </w:r>
    </w:p>
    <w:p w:rsidR="00847210" w:rsidRDefault="00847210" w:rsidP="00847210">
      <w:pPr>
        <w:spacing w:before="100" w:after="100" w:line="480" w:lineRule="auto"/>
        <w:jc w:val="both"/>
      </w:pPr>
      <w:r>
        <w:rPr>
          <w:rFonts w:eastAsia="Times New Roman" w:cs="Arial"/>
          <w:szCs w:val="24"/>
          <w:lang w:val="en" w:eastAsia="zh-CN"/>
        </w:rPr>
        <w:t xml:space="preserve">Apoptosis is characterised by well-defined cytological and molecular events including a change in the </w:t>
      </w:r>
      <w:hyperlink r:id="rId94" w:tooltip="Refractive index" w:history="1">
        <w:r>
          <w:rPr>
            <w:rFonts w:eastAsia="Times New Roman" w:cs="Arial"/>
            <w:szCs w:val="24"/>
            <w:lang w:val="en" w:eastAsia="zh-CN"/>
          </w:rPr>
          <w:t>refractive index</w:t>
        </w:r>
      </w:hyperlink>
      <w:r>
        <w:rPr>
          <w:rFonts w:eastAsia="Times New Roman" w:cs="Arial"/>
          <w:szCs w:val="24"/>
          <w:lang w:val="en" w:eastAsia="zh-CN"/>
        </w:rPr>
        <w:t xml:space="preserve"> of the cell, cytoplasmic shrinkage, nuclear condensation and cleavage of DNA into regularly sized fragments. </w:t>
      </w:r>
    </w:p>
    <w:p w:rsidR="00847210" w:rsidRDefault="00847210" w:rsidP="00847210">
      <w:pPr>
        <w:spacing w:before="100" w:after="100" w:line="480" w:lineRule="auto"/>
        <w:jc w:val="both"/>
        <w:rPr>
          <w:rFonts w:eastAsia="Times New Roman" w:cs="Arial"/>
          <w:szCs w:val="24"/>
          <w:lang w:val="en" w:eastAsia="zh-CN"/>
        </w:rPr>
      </w:pPr>
      <w:r>
        <w:rPr>
          <w:rFonts w:eastAsia="Times New Roman" w:cs="Arial"/>
          <w:szCs w:val="24"/>
          <w:lang w:val="en" w:eastAsia="zh-CN"/>
        </w:rPr>
        <w:t>Cells in culture that are undergoing apoptosis eventually undergo secondary necrosis. They will shut down metabolism, lose membrane integrity and lyse.</w:t>
      </w:r>
    </w:p>
    <w:p w:rsidR="00CE3E24" w:rsidRDefault="00CE3E24">
      <w:pPr>
        <w:rPr>
          <w:rFonts w:eastAsiaTheme="majorEastAsia"/>
          <w:b/>
          <w:bCs/>
          <w:sz w:val="28"/>
          <w:lang w:eastAsia="zh-CN"/>
        </w:rPr>
      </w:pPr>
      <w:r>
        <w:rPr>
          <w:lang w:eastAsia="zh-CN"/>
        </w:rPr>
        <w:br w:type="page"/>
      </w:r>
    </w:p>
    <w:p w:rsidR="001E4AAC" w:rsidRPr="001D5D3A" w:rsidRDefault="001E4AAC" w:rsidP="00847210">
      <w:pPr>
        <w:pStyle w:val="Heading3"/>
        <w:spacing w:line="480" w:lineRule="auto"/>
        <w:rPr>
          <w:lang w:eastAsia="zh-CN"/>
        </w:rPr>
      </w:pPr>
      <w:bookmarkStart w:id="682" w:name="_Toc370819324"/>
      <w:r w:rsidRPr="001D5D3A">
        <w:rPr>
          <w:lang w:eastAsia="zh-CN"/>
        </w:rPr>
        <w:lastRenderedPageBreak/>
        <w:t>Demonstration of cytotoxicity measurement point</w:t>
      </w:r>
      <w:bookmarkEnd w:id="682"/>
    </w:p>
    <w:p w:rsidR="00294F6F" w:rsidRPr="001E4AAC" w:rsidRDefault="00294F6F" w:rsidP="001C21E5">
      <w:pPr>
        <w:pStyle w:val="Caption"/>
        <w:rPr>
          <w:b/>
          <w:lang w:eastAsia="zh-CN"/>
        </w:rPr>
      </w:pPr>
      <w:r w:rsidRPr="001E4AAC">
        <w:rPr>
          <w:lang w:eastAsia="zh-CN"/>
        </w:rPr>
        <w:t>The following image showing the point that can be identified for cytotoxicity, one point or two can be measured at the same time</w:t>
      </w:r>
      <w:r w:rsidR="00847210" w:rsidRPr="001E4AAC">
        <w:rPr>
          <w:lang w:eastAsia="zh-CN"/>
        </w:rPr>
        <w:t xml:space="preserve"> (</w:t>
      </w:r>
      <w:r w:rsidR="00847210" w:rsidRPr="001E4AAC">
        <w:rPr>
          <w:b/>
          <w:lang w:eastAsia="zh-CN"/>
        </w:rPr>
        <w:fldChar w:fldCharType="begin"/>
      </w:r>
      <w:r w:rsidR="00847210" w:rsidRPr="001E4AAC">
        <w:rPr>
          <w:lang w:eastAsia="zh-CN"/>
        </w:rPr>
        <w:instrText xml:space="preserve"> REF _Ref361634169 \h  \* MERGEFORMAT </w:instrText>
      </w:r>
      <w:r w:rsidR="00847210" w:rsidRPr="001E4AAC">
        <w:rPr>
          <w:b/>
          <w:lang w:eastAsia="zh-CN"/>
        </w:rPr>
      </w:r>
      <w:r w:rsidR="00847210" w:rsidRPr="001E4AAC">
        <w:rPr>
          <w:b/>
          <w:lang w:eastAsia="zh-CN"/>
        </w:rPr>
        <w:fldChar w:fldCharType="separate"/>
      </w:r>
      <w:r w:rsidR="00374B77" w:rsidRPr="00374B77">
        <w:rPr>
          <w:rFonts w:cstheme="minorBidi"/>
        </w:rPr>
        <w:t xml:space="preserve">Figure </w:t>
      </w:r>
      <w:r w:rsidR="00374B77" w:rsidRPr="00374B77">
        <w:rPr>
          <w:rFonts w:cstheme="minorBidi"/>
          <w:noProof/>
          <w:cs/>
        </w:rPr>
        <w:t>‎</w:t>
      </w:r>
      <w:r w:rsidR="00374B77" w:rsidRPr="00374B77">
        <w:rPr>
          <w:rFonts w:cstheme="minorBidi"/>
          <w:b/>
          <w:noProof/>
          <w:sz w:val="20"/>
          <w:szCs w:val="20"/>
        </w:rPr>
        <w:t>4.2</w:t>
      </w:r>
      <w:r w:rsidR="00847210" w:rsidRPr="001E4AAC">
        <w:rPr>
          <w:b/>
          <w:lang w:eastAsia="zh-CN"/>
        </w:rPr>
        <w:fldChar w:fldCharType="end"/>
      </w:r>
      <w:r w:rsidR="00847210" w:rsidRPr="001E4AAC">
        <w:rPr>
          <w:lang w:eastAsia="zh-CN"/>
        </w:rPr>
        <w:t>)</w:t>
      </w:r>
    </w:p>
    <w:p w:rsidR="00E75EA6" w:rsidRPr="00E75EA6" w:rsidRDefault="00E75EA6" w:rsidP="00CE3E24">
      <w:pPr>
        <w:shd w:val="clear" w:color="auto" w:fill="FFFFFF"/>
        <w:suppressAutoHyphens/>
        <w:autoSpaceDN w:val="0"/>
        <w:spacing w:before="100" w:after="100" w:line="480" w:lineRule="auto"/>
        <w:textAlignment w:val="baseline"/>
        <w:rPr>
          <w:rFonts w:ascii="Arial" w:eastAsia="Times New Roman" w:hAnsi="Arial" w:cs="Arial"/>
          <w:szCs w:val="24"/>
          <w:lang w:eastAsia="zh-CN"/>
        </w:rPr>
      </w:pPr>
      <w:r w:rsidRPr="00E75EA6">
        <w:rPr>
          <w:rFonts w:ascii="Arial" w:eastAsia="Times New Roman" w:hAnsi="Arial" w:cs="Arial"/>
          <w:szCs w:val="24"/>
          <w:lang w:eastAsia="zh-CN"/>
        </w:rPr>
        <w:t>Membrane integrity (LDHe)</w:t>
      </w:r>
    </w:p>
    <w:p w:rsidR="00E75EA6" w:rsidRPr="00E75EA6" w:rsidRDefault="00E75EA6" w:rsidP="00CE3E24">
      <w:pPr>
        <w:shd w:val="clear" w:color="auto" w:fill="FFFFFF"/>
        <w:suppressAutoHyphens/>
        <w:autoSpaceDN w:val="0"/>
        <w:spacing w:before="100" w:after="100" w:line="480" w:lineRule="auto"/>
        <w:textAlignment w:val="baseline"/>
        <w:rPr>
          <w:rFonts w:ascii="Arial" w:eastAsia="Times New Roman" w:hAnsi="Arial" w:cs="Arial"/>
          <w:szCs w:val="24"/>
          <w:lang w:eastAsia="zh-CN"/>
        </w:rPr>
      </w:pPr>
      <w:r w:rsidRPr="00E75EA6">
        <w:rPr>
          <w:rFonts w:ascii="Arial" w:eastAsia="Times New Roman" w:hAnsi="Arial" w:cs="Arial"/>
          <w:szCs w:val="24"/>
          <w:lang w:eastAsia="zh-CN"/>
        </w:rPr>
        <w:t>Metabolic activity (GLU)</w:t>
      </w:r>
    </w:p>
    <w:p w:rsidR="00E75EA6" w:rsidRPr="00E75EA6" w:rsidRDefault="00E75EA6" w:rsidP="00CE3E24">
      <w:pPr>
        <w:shd w:val="clear" w:color="auto" w:fill="FFFFFF"/>
        <w:suppressAutoHyphens/>
        <w:autoSpaceDN w:val="0"/>
        <w:spacing w:before="100" w:after="100" w:line="480" w:lineRule="auto"/>
        <w:textAlignment w:val="baseline"/>
        <w:rPr>
          <w:rFonts w:ascii="Arial" w:eastAsia="Times New Roman" w:hAnsi="Arial" w:cs="Arial"/>
          <w:szCs w:val="24"/>
          <w:lang w:eastAsia="zh-CN"/>
        </w:rPr>
      </w:pPr>
      <w:r w:rsidRPr="00E75EA6">
        <w:rPr>
          <w:rFonts w:ascii="Arial" w:eastAsia="Times New Roman" w:hAnsi="Arial" w:cs="Arial"/>
          <w:szCs w:val="24"/>
          <w:lang w:eastAsia="zh-CN"/>
        </w:rPr>
        <w:t>Respiratory chain activity (XTT/MTT)</w:t>
      </w:r>
    </w:p>
    <w:p w:rsidR="00E75EA6" w:rsidRPr="00E75EA6" w:rsidRDefault="00E75EA6" w:rsidP="00CE3E24">
      <w:pPr>
        <w:shd w:val="clear" w:color="auto" w:fill="FFFFFF"/>
        <w:suppressAutoHyphens/>
        <w:autoSpaceDN w:val="0"/>
        <w:spacing w:before="100" w:after="100" w:line="480" w:lineRule="auto"/>
        <w:textAlignment w:val="baseline"/>
        <w:rPr>
          <w:rFonts w:ascii="Arial" w:eastAsia="Times New Roman" w:hAnsi="Arial" w:cs="Arial"/>
          <w:szCs w:val="24"/>
          <w:lang w:eastAsia="zh-CN"/>
        </w:rPr>
      </w:pPr>
      <w:r w:rsidRPr="00E75EA6">
        <w:rPr>
          <w:rFonts w:ascii="Arial" w:eastAsia="Times New Roman" w:hAnsi="Arial" w:cs="Arial"/>
          <w:szCs w:val="24"/>
          <w:lang w:eastAsia="zh-CN"/>
        </w:rPr>
        <w:t>Total protein synthesis (SRB)</w:t>
      </w:r>
    </w:p>
    <w:p w:rsidR="00E75EA6" w:rsidRPr="00E75EA6" w:rsidRDefault="00E75EA6" w:rsidP="00CE3E24">
      <w:pPr>
        <w:shd w:val="clear" w:color="auto" w:fill="FFFFFF"/>
        <w:suppressAutoHyphens/>
        <w:autoSpaceDN w:val="0"/>
        <w:spacing w:before="100" w:after="100" w:line="480" w:lineRule="auto"/>
        <w:textAlignment w:val="baseline"/>
        <w:rPr>
          <w:rFonts w:ascii="Arial" w:eastAsia="Times New Roman" w:hAnsi="Arial" w:cs="Arial"/>
          <w:szCs w:val="24"/>
          <w:lang w:eastAsia="zh-CN"/>
        </w:rPr>
      </w:pPr>
      <w:r w:rsidRPr="00E75EA6">
        <w:rPr>
          <w:rFonts w:ascii="Arial" w:eastAsia="Times New Roman" w:hAnsi="Arial" w:cs="Arial"/>
          <w:szCs w:val="24"/>
          <w:lang w:eastAsia="zh-CN"/>
        </w:rPr>
        <w:t>DNA content and (CVDE) and</w:t>
      </w:r>
    </w:p>
    <w:p w:rsidR="00E75EA6" w:rsidRPr="00E75EA6" w:rsidRDefault="00847210" w:rsidP="00CE3E24">
      <w:pPr>
        <w:shd w:val="clear" w:color="auto" w:fill="FFFFFF"/>
        <w:suppressAutoHyphens/>
        <w:autoSpaceDN w:val="0"/>
        <w:spacing w:before="100" w:after="100" w:line="480" w:lineRule="auto"/>
        <w:textAlignment w:val="baseline"/>
        <w:rPr>
          <w:rFonts w:ascii="Arial" w:eastAsia="Times New Roman" w:hAnsi="Arial" w:cs="Arial"/>
          <w:szCs w:val="24"/>
          <w:lang w:eastAsia="zh-CN"/>
        </w:rPr>
      </w:pPr>
      <w:r>
        <w:rPr>
          <w:noProof/>
          <w:lang w:eastAsia="en-GB"/>
        </w:rPr>
        <mc:AlternateContent>
          <mc:Choice Requires="wps">
            <w:drawing>
              <wp:anchor distT="0" distB="0" distL="114300" distR="114300" simplePos="0" relativeHeight="251807744" behindDoc="0" locked="0" layoutInCell="1" allowOverlap="1" wp14:anchorId="69A303E8" wp14:editId="2DD9C18F">
                <wp:simplePos x="0" y="0"/>
                <wp:positionH relativeFrom="column">
                  <wp:posOffset>-2540</wp:posOffset>
                </wp:positionH>
                <wp:positionV relativeFrom="paragraph">
                  <wp:posOffset>449580</wp:posOffset>
                </wp:positionV>
                <wp:extent cx="5381625" cy="457200"/>
                <wp:effectExtent l="0" t="0" r="9525" b="0"/>
                <wp:wrapSquare wrapText="bothSides"/>
                <wp:docPr id="299" name="Text Box 299"/>
                <wp:cNvGraphicFramePr/>
                <a:graphic xmlns:a="http://schemas.openxmlformats.org/drawingml/2006/main">
                  <a:graphicData uri="http://schemas.microsoft.com/office/word/2010/wordprocessingShape">
                    <wps:wsp>
                      <wps:cNvSpPr txBox="1"/>
                      <wps:spPr>
                        <a:xfrm>
                          <a:off x="0" y="0"/>
                          <a:ext cx="5381625" cy="457200"/>
                        </a:xfrm>
                        <a:prstGeom prst="rect">
                          <a:avLst/>
                        </a:prstGeom>
                        <a:solidFill>
                          <a:prstClr val="white"/>
                        </a:solidFill>
                        <a:ln>
                          <a:noFill/>
                        </a:ln>
                        <a:effectLst/>
                      </wps:spPr>
                      <wps:txbx>
                        <w:txbxContent>
                          <w:p w:rsidR="003208E6" w:rsidRPr="00847210" w:rsidRDefault="003208E6" w:rsidP="00847210">
                            <w:pPr>
                              <w:jc w:val="both"/>
                              <w:rPr>
                                <w:rFonts w:eastAsia="SimSun" w:cstheme="minorBidi"/>
                                <w:b/>
                                <w:bCs/>
                                <w:sz w:val="20"/>
                                <w:szCs w:val="20"/>
                              </w:rPr>
                            </w:pPr>
                            <w:bookmarkStart w:id="683" w:name="_Ref361634169"/>
                            <w:bookmarkStart w:id="684" w:name="_Toc361733635"/>
                            <w:bookmarkStart w:id="685" w:name="_Toc361734278"/>
                            <w:bookmarkStart w:id="686" w:name="_Toc370511674"/>
                            <w:r w:rsidRPr="00847210">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2</w:t>
                            </w:r>
                            <w:r>
                              <w:rPr>
                                <w:rFonts w:cstheme="minorBidi"/>
                                <w:b/>
                                <w:bCs/>
                                <w:sz w:val="20"/>
                                <w:szCs w:val="20"/>
                              </w:rPr>
                              <w:fldChar w:fldCharType="end"/>
                            </w:r>
                            <w:bookmarkEnd w:id="683"/>
                            <w:r w:rsidRPr="00847210">
                              <w:rPr>
                                <w:rFonts w:cstheme="minorBidi"/>
                                <w:b/>
                                <w:bCs/>
                                <w:sz w:val="20"/>
                                <w:szCs w:val="20"/>
                              </w:rPr>
                              <w:t xml:space="preserve"> Illustrate the point that can be identified for cytotoxicity, one point or two can be measured at the same time (Xenometrix cytotoxicity Screening Test </w:t>
                            </w:r>
                            <w:r w:rsidRPr="00847210">
                              <w:rPr>
                                <w:rFonts w:cstheme="minorBidi"/>
                                <w:b/>
                                <w:bCs/>
                                <w:kern w:val="3"/>
                                <w:sz w:val="20"/>
                                <w:szCs w:val="20"/>
                              </w:rPr>
                              <w:t>BioAntares website)</w:t>
                            </w:r>
                            <w:bookmarkEnd w:id="684"/>
                            <w:bookmarkEnd w:id="685"/>
                            <w:bookmarkEnd w:id="6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9" o:spid="_x0000_s1049" type="#_x0000_t202" style="position:absolute;margin-left:-.2pt;margin-top:35.4pt;width:423.75pt;height:36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" stroked="f">
                <v:textbox inset="0,0,0,0">
                  <w:txbxContent>
                    <w:p w:rsidR="003208E6" w:rsidRPr="00847210" w:rsidRDefault="003208E6" w:rsidP="00847210">
                      <w:pPr>
                        <w:jc w:val="both"/>
                        <w:rPr>
                          <w:rFonts w:eastAsia="SimSun" w:cstheme="minorBidi"/>
                          <w:b/>
                          <w:bCs/>
                          <w:sz w:val="20"/>
                          <w:szCs w:val="20"/>
                        </w:rPr>
                      </w:pPr>
                      <w:bookmarkStart w:id="736" w:name="_Ref361634169"/>
                      <w:bookmarkStart w:id="737" w:name="_Toc361733635"/>
                      <w:bookmarkStart w:id="738" w:name="_Toc361734278"/>
                      <w:bookmarkStart w:id="739" w:name="_Toc370511674"/>
                      <w:r w:rsidRPr="00847210">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2</w:t>
                      </w:r>
                      <w:r>
                        <w:rPr>
                          <w:rFonts w:cstheme="minorBidi"/>
                          <w:b/>
                          <w:bCs/>
                          <w:sz w:val="20"/>
                          <w:szCs w:val="20"/>
                        </w:rPr>
                        <w:fldChar w:fldCharType="end"/>
                      </w:r>
                      <w:bookmarkEnd w:id="736"/>
                      <w:r w:rsidRPr="00847210">
                        <w:rPr>
                          <w:rFonts w:cstheme="minorBidi"/>
                          <w:b/>
                          <w:bCs/>
                          <w:sz w:val="20"/>
                          <w:szCs w:val="20"/>
                        </w:rPr>
                        <w:t xml:space="preserve"> Illustrate the point that can be identified for cytotoxicity, one point or two can be measured at the same time (Xenometrix cytotoxicity Screening Test </w:t>
                      </w:r>
                      <w:r w:rsidRPr="00847210">
                        <w:rPr>
                          <w:rFonts w:cstheme="minorBidi"/>
                          <w:b/>
                          <w:bCs/>
                          <w:kern w:val="3"/>
                          <w:sz w:val="20"/>
                          <w:szCs w:val="20"/>
                        </w:rPr>
                        <w:t>BioAntares website)</w:t>
                      </w:r>
                      <w:bookmarkEnd w:id="737"/>
                      <w:bookmarkEnd w:id="738"/>
                      <w:bookmarkEnd w:id="739"/>
                    </w:p>
                  </w:txbxContent>
                </v:textbox>
                <w10:wrap type="square"/>
              </v:shape>
            </w:pict>
          </mc:Fallback>
        </mc:AlternateContent>
      </w:r>
      <w:r w:rsidR="00E75EA6" w:rsidRPr="00E75EA6">
        <w:rPr>
          <w:rFonts w:ascii="Arial" w:eastAsia="Times New Roman" w:hAnsi="Arial" w:cs="Arial"/>
          <w:szCs w:val="24"/>
          <w:lang w:eastAsia="zh-CN"/>
        </w:rPr>
        <w:t xml:space="preserve">Lysosomal </w:t>
      </w:r>
      <w:r w:rsidRPr="00E75EA6">
        <w:rPr>
          <w:rFonts w:ascii="Arial" w:eastAsia="Times New Roman" w:hAnsi="Arial" w:cs="Arial"/>
          <w:szCs w:val="24"/>
          <w:lang w:eastAsia="zh-CN"/>
        </w:rPr>
        <w:t>activity (</w:t>
      </w:r>
      <w:r w:rsidR="00E75EA6" w:rsidRPr="00E75EA6">
        <w:rPr>
          <w:rFonts w:ascii="Arial" w:eastAsia="Times New Roman" w:hAnsi="Arial" w:cs="Arial"/>
          <w:szCs w:val="24"/>
          <w:lang w:eastAsia="zh-CN"/>
        </w:rPr>
        <w:t>PAC, NR)</w:t>
      </w: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Arial" w:eastAsia="Times New Roman" w:hAnsi="Arial" w:cs="Arial"/>
          <w:szCs w:val="24"/>
          <w:lang w:eastAsia="zh-CN"/>
        </w:rPr>
      </w:pPr>
      <w:r w:rsidRPr="00E75EA6">
        <w:rPr>
          <w:rFonts w:ascii="Arial" w:eastAsia="SimSun" w:hAnsi="Arial" w:cs="Arial"/>
          <w:noProof/>
          <w:szCs w:val="24"/>
          <w:lang w:eastAsia="en-GB"/>
        </w:rPr>
        <w:drawing>
          <wp:anchor distT="0" distB="0" distL="114300" distR="114300" simplePos="0" relativeHeight="251791360" behindDoc="0" locked="0" layoutInCell="1" allowOverlap="1" wp14:anchorId="15E36278" wp14:editId="4F454F10">
            <wp:simplePos x="0" y="0"/>
            <wp:positionH relativeFrom="column">
              <wp:posOffset>219071</wp:posOffset>
            </wp:positionH>
            <wp:positionV relativeFrom="paragraph">
              <wp:posOffset>113669</wp:posOffset>
            </wp:positionV>
            <wp:extent cx="4268474" cy="2879729"/>
            <wp:effectExtent l="0" t="0" r="0" b="0"/>
            <wp:wrapSquare wrapText="bothSides"/>
            <wp:docPr id="288" name="Picture 38" descr="http://bioantares.com/uploads/Cyto_tes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rcRect/>
                    <a:stretch>
                      <a:fillRect/>
                    </a:stretch>
                  </pic:blipFill>
                  <pic:spPr>
                    <a:xfrm>
                      <a:off x="0" y="0"/>
                      <a:ext cx="4268474" cy="2879729"/>
                    </a:xfrm>
                    <a:prstGeom prst="rect">
                      <a:avLst/>
                    </a:prstGeom>
                    <a:noFill/>
                    <a:ln>
                      <a:noFill/>
                      <a:prstDash/>
                    </a:ln>
                  </pic:spPr>
                </pic:pic>
              </a:graphicData>
            </a:graphic>
          </wp:anchor>
        </w:drawing>
      </w: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A9701A" w:rsidP="00E75EA6">
      <w:pPr>
        <w:shd w:val="clear" w:color="auto" w:fill="FFFFFF"/>
        <w:suppressAutoHyphens/>
        <w:autoSpaceDN w:val="0"/>
        <w:spacing w:after="0" w:line="300" w:lineRule="atLeast"/>
        <w:jc w:val="center"/>
        <w:textAlignment w:val="baseline"/>
        <w:rPr>
          <w:rFonts w:ascii="Arial" w:eastAsia="Times New Roman" w:hAnsi="Arial" w:cs="Arial"/>
          <w:szCs w:val="24"/>
          <w:lang w:eastAsia="zh-CN"/>
        </w:rPr>
      </w:pPr>
      <w:hyperlink r:id="rId96" w:history="1">
        <w:r w:rsidR="00E75EA6" w:rsidRPr="00E75EA6">
          <w:rPr>
            <w:rFonts w:ascii="Verdana" w:eastAsia="Times New Roman" w:hAnsi="Verdana" w:cs="Times New Roman"/>
            <w:color w:val="32234A"/>
            <w:sz w:val="20"/>
            <w:szCs w:val="20"/>
            <w:u w:val="single"/>
            <w:lang w:eastAsia="zh-CN"/>
          </w:rPr>
          <w:br/>
        </w:r>
      </w:hyperlink>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p>
    <w:p w:rsidR="00E75EA6" w:rsidRPr="00E75EA6" w:rsidRDefault="00E75EA6" w:rsidP="00E75EA6">
      <w:pPr>
        <w:shd w:val="clear" w:color="auto" w:fill="FFFFFF"/>
        <w:suppressAutoHyphens/>
        <w:autoSpaceDN w:val="0"/>
        <w:spacing w:after="0" w:line="300" w:lineRule="atLeast"/>
        <w:jc w:val="center"/>
        <w:textAlignment w:val="baseline"/>
        <w:rPr>
          <w:rFonts w:ascii="Verdana" w:eastAsia="Times New Roman" w:hAnsi="Verdana" w:cs="Times New Roman"/>
          <w:color w:val="000000"/>
          <w:sz w:val="20"/>
          <w:szCs w:val="20"/>
          <w:lang w:eastAsia="zh-CN"/>
        </w:rPr>
      </w:pPr>
      <w:r w:rsidRPr="00E75EA6">
        <w:rPr>
          <w:rFonts w:ascii="Verdana" w:eastAsia="Times New Roman" w:hAnsi="Verdana" w:cs="Times New Roman"/>
          <w:color w:val="000000"/>
          <w:sz w:val="20"/>
          <w:szCs w:val="20"/>
          <w:lang w:eastAsia="zh-CN"/>
        </w:rPr>
        <w:t xml:space="preserve">  </w:t>
      </w:r>
    </w:p>
    <w:p w:rsidR="00E75EA6" w:rsidRPr="00E75EA6" w:rsidRDefault="00E75EA6" w:rsidP="00E75EA6">
      <w:pPr>
        <w:shd w:val="clear" w:color="auto" w:fill="FFFFFF"/>
        <w:suppressAutoHyphens/>
        <w:autoSpaceDN w:val="0"/>
        <w:spacing w:after="0" w:line="300" w:lineRule="atLeast"/>
        <w:textAlignment w:val="baseline"/>
        <w:rPr>
          <w:rFonts w:ascii="Arial" w:eastAsia="Times New Roman" w:hAnsi="Arial" w:cs="Arial"/>
          <w:szCs w:val="24"/>
          <w:lang w:eastAsia="zh-CN"/>
        </w:rPr>
      </w:pPr>
      <w:r w:rsidRPr="00E75EA6">
        <w:rPr>
          <w:rFonts w:ascii="Verdana" w:eastAsia="Times New Roman" w:hAnsi="Verdana" w:cs="Times New Roman"/>
          <w:color w:val="000000"/>
          <w:sz w:val="20"/>
          <w:szCs w:val="20"/>
          <w:lang w:eastAsia="zh-CN"/>
        </w:rPr>
        <w:br/>
      </w:r>
    </w:p>
    <w:p w:rsidR="000E1261" w:rsidRDefault="000E1261" w:rsidP="00CE3E24">
      <w:pPr>
        <w:keepNext/>
        <w:keepLines/>
        <w:suppressAutoHyphens/>
        <w:autoSpaceDN w:val="0"/>
        <w:spacing w:before="200" w:after="0"/>
        <w:textAlignment w:val="baseline"/>
        <w:rPr>
          <w:rFonts w:ascii="Arial" w:eastAsia="SimSun" w:hAnsi="Arial" w:cs="Times New Roman"/>
          <w:b/>
          <w:bCs/>
          <w:iCs/>
          <w:lang w:eastAsia="zh-CN"/>
        </w:rPr>
      </w:pPr>
    </w:p>
    <w:p w:rsidR="00E75EA6" w:rsidRPr="00E75EA6" w:rsidRDefault="00E75EA6" w:rsidP="00847210">
      <w:pPr>
        <w:pStyle w:val="Heading4"/>
        <w:spacing w:line="480" w:lineRule="auto"/>
        <w:rPr>
          <w:rFonts w:eastAsia="Times New Roman" w:cs="Arial"/>
          <w:szCs w:val="24"/>
          <w:lang w:eastAsia="zh-CN"/>
        </w:rPr>
      </w:pPr>
      <w:r w:rsidRPr="00E75EA6">
        <w:rPr>
          <w:lang w:eastAsia="zh-CN"/>
        </w:rPr>
        <w:t xml:space="preserve">Single endpoint cytotoxicity measurement as  </w:t>
      </w:r>
    </w:p>
    <w:p w:rsidR="00E75EA6" w:rsidRPr="00E75EA6" w:rsidRDefault="00E75EA6" w:rsidP="00F177FE">
      <w:pPr>
        <w:numPr>
          <w:ilvl w:val="0"/>
          <w:numId w:val="81"/>
        </w:numPr>
        <w:shd w:val="clear" w:color="auto" w:fill="FFFFFF"/>
        <w:suppressAutoHyphens/>
        <w:autoSpaceDN w:val="0"/>
        <w:spacing w:before="100" w:after="100" w:line="480" w:lineRule="auto"/>
        <w:jc w:val="both"/>
        <w:textAlignment w:val="baseline"/>
        <w:rPr>
          <w:rFonts w:ascii="Arial" w:eastAsia="Times New Roman" w:hAnsi="Arial" w:cs="Arial"/>
          <w:color w:val="000000"/>
          <w:szCs w:val="24"/>
          <w:lang w:eastAsia="zh-CN"/>
        </w:rPr>
      </w:pPr>
      <w:r w:rsidRPr="00E75EA6">
        <w:rPr>
          <w:rFonts w:ascii="Arial" w:eastAsia="Times New Roman" w:hAnsi="Arial" w:cs="Arial"/>
          <w:color w:val="000000"/>
          <w:szCs w:val="24"/>
          <w:lang w:eastAsia="zh-CN"/>
        </w:rPr>
        <w:t xml:space="preserve">CVDE   (Crystal Violet Dye Elution) </w:t>
      </w:r>
    </w:p>
    <w:p w:rsidR="00E75EA6" w:rsidRPr="00E75EA6" w:rsidRDefault="00E75EA6" w:rsidP="00F177FE">
      <w:pPr>
        <w:numPr>
          <w:ilvl w:val="0"/>
          <w:numId w:val="81"/>
        </w:numPr>
        <w:shd w:val="clear" w:color="auto" w:fill="FFFFFF"/>
        <w:suppressAutoHyphens/>
        <w:autoSpaceDN w:val="0"/>
        <w:spacing w:before="100" w:after="100" w:line="480" w:lineRule="auto"/>
        <w:jc w:val="both"/>
        <w:textAlignment w:val="baseline"/>
        <w:rPr>
          <w:rFonts w:ascii="Arial" w:eastAsia="Times New Roman" w:hAnsi="Arial" w:cs="Arial"/>
          <w:color w:val="000000"/>
          <w:szCs w:val="24"/>
          <w:lang w:eastAsia="zh-CN"/>
        </w:rPr>
      </w:pPr>
      <w:r w:rsidRPr="00E75EA6">
        <w:rPr>
          <w:rFonts w:ascii="Arial" w:eastAsia="Times New Roman" w:hAnsi="Arial" w:cs="Arial"/>
          <w:color w:val="000000"/>
          <w:szCs w:val="24"/>
          <w:lang w:eastAsia="zh-CN"/>
        </w:rPr>
        <w:t xml:space="preserve">GLU   (Glucose) </w:t>
      </w:r>
    </w:p>
    <w:p w:rsidR="00E75EA6" w:rsidRPr="00E75EA6" w:rsidRDefault="00E75EA6" w:rsidP="00F177FE">
      <w:pPr>
        <w:numPr>
          <w:ilvl w:val="0"/>
          <w:numId w:val="81"/>
        </w:numPr>
        <w:shd w:val="clear" w:color="auto" w:fill="FFFFFF"/>
        <w:suppressAutoHyphens/>
        <w:autoSpaceDN w:val="0"/>
        <w:spacing w:before="100" w:after="100" w:line="480" w:lineRule="auto"/>
        <w:jc w:val="both"/>
        <w:textAlignment w:val="baseline"/>
        <w:rPr>
          <w:rFonts w:ascii="Arial" w:eastAsia="Times New Roman" w:hAnsi="Arial" w:cs="Arial"/>
          <w:color w:val="000000"/>
          <w:szCs w:val="24"/>
          <w:lang w:eastAsia="zh-CN"/>
        </w:rPr>
      </w:pPr>
      <w:r w:rsidRPr="00E75EA6">
        <w:rPr>
          <w:rFonts w:ascii="Arial" w:eastAsia="Times New Roman" w:hAnsi="Arial" w:cs="Arial"/>
          <w:color w:val="000000"/>
          <w:szCs w:val="24"/>
          <w:lang w:eastAsia="zh-CN"/>
        </w:rPr>
        <w:t xml:space="preserve">LDH  (Extracellular Lactate dehydrogenase) </w:t>
      </w:r>
    </w:p>
    <w:p w:rsidR="00E75EA6" w:rsidRPr="00E75EA6" w:rsidRDefault="00E75EA6" w:rsidP="00F177FE">
      <w:pPr>
        <w:numPr>
          <w:ilvl w:val="0"/>
          <w:numId w:val="81"/>
        </w:numPr>
        <w:shd w:val="clear" w:color="auto" w:fill="FFFFFF"/>
        <w:suppressAutoHyphens/>
        <w:autoSpaceDN w:val="0"/>
        <w:spacing w:before="100" w:after="100" w:line="480" w:lineRule="auto"/>
        <w:jc w:val="both"/>
        <w:textAlignment w:val="baseline"/>
        <w:rPr>
          <w:rFonts w:ascii="Arial" w:eastAsia="Times New Roman" w:hAnsi="Arial" w:cs="Arial"/>
          <w:color w:val="000000"/>
          <w:szCs w:val="24"/>
          <w:lang w:eastAsia="zh-CN"/>
        </w:rPr>
      </w:pPr>
      <w:r w:rsidRPr="00E75EA6">
        <w:rPr>
          <w:rFonts w:ascii="Arial" w:eastAsia="Times New Roman" w:hAnsi="Arial" w:cs="Arial"/>
          <w:color w:val="000000"/>
          <w:szCs w:val="24"/>
          <w:lang w:eastAsia="zh-CN"/>
        </w:rPr>
        <w:t xml:space="preserve">MTT  (Diphenyltetrazol ium Bromide) </w:t>
      </w:r>
    </w:p>
    <w:p w:rsidR="00E75EA6" w:rsidRPr="00E75EA6" w:rsidRDefault="00E75EA6" w:rsidP="00F177FE">
      <w:pPr>
        <w:numPr>
          <w:ilvl w:val="0"/>
          <w:numId w:val="81"/>
        </w:numPr>
        <w:shd w:val="clear" w:color="auto" w:fill="FFFFFF"/>
        <w:suppressAutoHyphens/>
        <w:autoSpaceDN w:val="0"/>
        <w:spacing w:before="100" w:after="100" w:line="480" w:lineRule="auto"/>
        <w:jc w:val="both"/>
        <w:textAlignment w:val="baseline"/>
        <w:rPr>
          <w:rFonts w:ascii="Arial" w:eastAsia="Times New Roman" w:hAnsi="Arial" w:cs="Arial"/>
          <w:color w:val="000000"/>
          <w:szCs w:val="24"/>
          <w:lang w:eastAsia="zh-CN"/>
        </w:rPr>
      </w:pPr>
      <w:r w:rsidRPr="00E75EA6">
        <w:rPr>
          <w:rFonts w:ascii="Arial" w:eastAsia="Times New Roman" w:hAnsi="Arial" w:cs="Arial"/>
          <w:color w:val="000000"/>
          <w:szCs w:val="24"/>
          <w:lang w:eastAsia="zh-CN"/>
        </w:rPr>
        <w:t xml:space="preserve">NR  (Neutral Red) </w:t>
      </w:r>
    </w:p>
    <w:p w:rsidR="00E75EA6" w:rsidRPr="00E75EA6" w:rsidRDefault="00E75EA6" w:rsidP="00F177FE">
      <w:pPr>
        <w:numPr>
          <w:ilvl w:val="0"/>
          <w:numId w:val="81"/>
        </w:numPr>
        <w:shd w:val="clear" w:color="auto" w:fill="FFFFFF"/>
        <w:suppressAutoHyphens/>
        <w:autoSpaceDN w:val="0"/>
        <w:spacing w:before="100" w:after="100" w:line="480" w:lineRule="auto"/>
        <w:jc w:val="both"/>
        <w:textAlignment w:val="baseline"/>
        <w:rPr>
          <w:rFonts w:ascii="Arial" w:eastAsia="Times New Roman" w:hAnsi="Arial" w:cs="Arial"/>
          <w:color w:val="000000"/>
          <w:szCs w:val="24"/>
          <w:lang w:eastAsia="zh-CN"/>
        </w:rPr>
      </w:pPr>
      <w:r w:rsidRPr="00E75EA6">
        <w:rPr>
          <w:rFonts w:ascii="Arial" w:eastAsia="Times New Roman" w:hAnsi="Arial" w:cs="Arial"/>
          <w:color w:val="000000"/>
          <w:szCs w:val="24"/>
          <w:lang w:eastAsia="zh-CN"/>
        </w:rPr>
        <w:t xml:space="preserve">PAC  (Acid Phosphatase) </w:t>
      </w:r>
    </w:p>
    <w:p w:rsidR="00E75EA6" w:rsidRPr="00E75EA6" w:rsidRDefault="00E75EA6" w:rsidP="00F177FE">
      <w:pPr>
        <w:numPr>
          <w:ilvl w:val="0"/>
          <w:numId w:val="81"/>
        </w:numPr>
        <w:shd w:val="clear" w:color="auto" w:fill="FFFFFF"/>
        <w:suppressAutoHyphens/>
        <w:autoSpaceDN w:val="0"/>
        <w:spacing w:before="100" w:after="100" w:line="480" w:lineRule="auto"/>
        <w:jc w:val="both"/>
        <w:textAlignment w:val="baseline"/>
        <w:rPr>
          <w:rFonts w:ascii="Arial" w:eastAsia="Times New Roman" w:hAnsi="Arial" w:cs="Arial"/>
          <w:color w:val="000000"/>
          <w:szCs w:val="24"/>
          <w:lang w:eastAsia="zh-CN"/>
        </w:rPr>
      </w:pPr>
      <w:r w:rsidRPr="00E75EA6">
        <w:rPr>
          <w:rFonts w:ascii="Arial" w:eastAsia="Times New Roman" w:hAnsi="Arial" w:cs="Arial"/>
          <w:color w:val="000000"/>
          <w:szCs w:val="24"/>
          <w:lang w:eastAsia="zh-CN"/>
        </w:rPr>
        <w:t xml:space="preserve">5RB  (Sulforhodamine B) </w:t>
      </w:r>
    </w:p>
    <w:p w:rsidR="00E75EA6" w:rsidRPr="00E75EA6" w:rsidRDefault="00E75EA6" w:rsidP="00F177FE">
      <w:pPr>
        <w:numPr>
          <w:ilvl w:val="0"/>
          <w:numId w:val="81"/>
        </w:numPr>
        <w:shd w:val="clear" w:color="auto" w:fill="FFFFFF"/>
        <w:suppressAutoHyphens/>
        <w:autoSpaceDN w:val="0"/>
        <w:spacing w:before="100" w:after="100" w:line="480" w:lineRule="auto"/>
        <w:jc w:val="both"/>
        <w:textAlignment w:val="baseline"/>
        <w:rPr>
          <w:rFonts w:ascii="Arial" w:eastAsia="Times New Roman" w:hAnsi="Arial" w:cs="Arial"/>
          <w:color w:val="000000"/>
          <w:szCs w:val="24"/>
          <w:lang w:eastAsia="zh-CN"/>
        </w:rPr>
      </w:pPr>
      <w:r w:rsidRPr="00E75EA6">
        <w:rPr>
          <w:rFonts w:ascii="Arial" w:eastAsia="Times New Roman" w:hAnsi="Arial" w:cs="Arial"/>
          <w:color w:val="000000"/>
          <w:szCs w:val="24"/>
          <w:lang w:eastAsia="zh-CN"/>
        </w:rPr>
        <w:t xml:space="preserve">XTT  (Tetrazolium Hydroxide) </w:t>
      </w:r>
    </w:p>
    <w:p w:rsidR="00E75EA6" w:rsidRPr="00E75EA6" w:rsidRDefault="00E75EA6" w:rsidP="00D035C8">
      <w:pPr>
        <w:pStyle w:val="Heading4"/>
        <w:spacing w:line="480" w:lineRule="auto"/>
        <w:rPr>
          <w:rFonts w:eastAsia="Times New Roman" w:cs="Arial"/>
          <w:szCs w:val="24"/>
          <w:lang w:eastAsia="zh-CN"/>
        </w:rPr>
      </w:pPr>
      <w:r w:rsidRPr="00E75EA6">
        <w:rPr>
          <w:lang w:eastAsia="zh-CN"/>
        </w:rPr>
        <w:t xml:space="preserve">Multiple endpoint cytotoxicity measurement as  </w:t>
      </w:r>
    </w:p>
    <w:p w:rsidR="00E75EA6" w:rsidRPr="00E75EA6" w:rsidRDefault="00E75EA6" w:rsidP="00D035C8">
      <w:pPr>
        <w:numPr>
          <w:ilvl w:val="0"/>
          <w:numId w:val="82"/>
        </w:numPr>
        <w:shd w:val="clear" w:color="auto" w:fill="FFFFFF"/>
        <w:suppressAutoHyphens/>
        <w:autoSpaceDN w:val="0"/>
        <w:spacing w:before="100" w:after="100" w:line="480" w:lineRule="auto"/>
        <w:jc w:val="both"/>
        <w:textAlignment w:val="baseline"/>
        <w:rPr>
          <w:rFonts w:ascii="Arial" w:eastAsia="Times New Roman" w:hAnsi="Arial" w:cs="Arial"/>
          <w:color w:val="000000"/>
          <w:szCs w:val="24"/>
          <w:lang w:eastAsia="zh-CN"/>
        </w:rPr>
      </w:pPr>
      <w:r w:rsidRPr="00E75EA6">
        <w:rPr>
          <w:rFonts w:ascii="Arial" w:eastAsia="Times New Roman" w:hAnsi="Arial" w:cs="Arial"/>
          <w:color w:val="000000"/>
          <w:szCs w:val="24"/>
          <w:lang w:eastAsia="zh-CN"/>
        </w:rPr>
        <w:t xml:space="preserve">LDH-G LU-XTT-SRB </w:t>
      </w:r>
    </w:p>
    <w:p w:rsidR="00E75EA6" w:rsidRPr="00E75EA6" w:rsidRDefault="00E75EA6" w:rsidP="00D035C8">
      <w:pPr>
        <w:numPr>
          <w:ilvl w:val="0"/>
          <w:numId w:val="82"/>
        </w:numPr>
        <w:shd w:val="clear" w:color="auto" w:fill="FFFFFF"/>
        <w:suppressAutoHyphens/>
        <w:autoSpaceDN w:val="0"/>
        <w:spacing w:before="100" w:after="100" w:line="480" w:lineRule="auto"/>
        <w:jc w:val="both"/>
        <w:textAlignment w:val="baseline"/>
        <w:rPr>
          <w:rFonts w:ascii="Arial" w:eastAsia="Times New Roman" w:hAnsi="Arial" w:cs="Arial"/>
          <w:color w:val="000000"/>
          <w:szCs w:val="24"/>
          <w:lang w:eastAsia="zh-CN"/>
        </w:rPr>
      </w:pPr>
      <w:r w:rsidRPr="00E75EA6">
        <w:rPr>
          <w:rFonts w:ascii="Arial" w:eastAsia="Times New Roman" w:hAnsi="Arial" w:cs="Arial"/>
          <w:color w:val="000000"/>
          <w:szCs w:val="24"/>
          <w:lang w:eastAsia="zh-CN"/>
        </w:rPr>
        <w:t xml:space="preserve">LDH-GLU-XTT-PAC </w:t>
      </w:r>
    </w:p>
    <w:p w:rsidR="00E75EA6" w:rsidRPr="00E75EA6" w:rsidRDefault="00E75EA6" w:rsidP="00D035C8">
      <w:pPr>
        <w:numPr>
          <w:ilvl w:val="0"/>
          <w:numId w:val="82"/>
        </w:numPr>
        <w:shd w:val="clear" w:color="auto" w:fill="FFFFFF"/>
        <w:suppressAutoHyphens/>
        <w:autoSpaceDN w:val="0"/>
        <w:spacing w:before="100" w:after="100" w:line="480" w:lineRule="auto"/>
        <w:jc w:val="both"/>
        <w:textAlignment w:val="baseline"/>
        <w:rPr>
          <w:rFonts w:ascii="Arial" w:eastAsia="Times New Roman" w:hAnsi="Arial" w:cs="Arial"/>
          <w:color w:val="000000"/>
          <w:szCs w:val="24"/>
          <w:lang w:eastAsia="zh-CN"/>
        </w:rPr>
      </w:pPr>
      <w:r w:rsidRPr="00E75EA6">
        <w:rPr>
          <w:rFonts w:ascii="Arial" w:eastAsia="Times New Roman" w:hAnsi="Arial" w:cs="Arial"/>
          <w:color w:val="000000"/>
          <w:szCs w:val="24"/>
          <w:lang w:eastAsia="zh-CN"/>
        </w:rPr>
        <w:t xml:space="preserve">XTT-SRB-CVDE </w:t>
      </w:r>
    </w:p>
    <w:p w:rsidR="00E75EA6" w:rsidRPr="00E75EA6" w:rsidRDefault="00E75EA6" w:rsidP="00D035C8">
      <w:pPr>
        <w:numPr>
          <w:ilvl w:val="0"/>
          <w:numId w:val="82"/>
        </w:numPr>
        <w:shd w:val="clear" w:color="auto" w:fill="FFFFFF"/>
        <w:suppressAutoHyphens/>
        <w:autoSpaceDN w:val="0"/>
        <w:spacing w:before="100" w:after="100" w:line="480" w:lineRule="auto"/>
        <w:jc w:val="both"/>
        <w:textAlignment w:val="baseline"/>
        <w:rPr>
          <w:rFonts w:ascii="Arial" w:eastAsia="Times New Roman" w:hAnsi="Arial" w:cs="Arial"/>
          <w:color w:val="000000"/>
          <w:szCs w:val="24"/>
          <w:lang w:eastAsia="zh-CN"/>
        </w:rPr>
      </w:pPr>
      <w:r w:rsidRPr="00E75EA6">
        <w:rPr>
          <w:rFonts w:ascii="Arial" w:eastAsia="Times New Roman" w:hAnsi="Arial" w:cs="Arial"/>
          <w:color w:val="000000"/>
          <w:szCs w:val="24"/>
          <w:lang w:eastAsia="zh-CN"/>
        </w:rPr>
        <w:t xml:space="preserve">LDH-XTT-NR </w:t>
      </w:r>
    </w:p>
    <w:p w:rsidR="00E75EA6" w:rsidRPr="00E75EA6" w:rsidRDefault="00E75EA6" w:rsidP="00F177FE">
      <w:pPr>
        <w:numPr>
          <w:ilvl w:val="0"/>
          <w:numId w:val="82"/>
        </w:numPr>
        <w:shd w:val="clear" w:color="auto" w:fill="FFFFFF"/>
        <w:suppressAutoHyphens/>
        <w:autoSpaceDN w:val="0"/>
        <w:spacing w:before="100" w:after="100" w:line="480" w:lineRule="auto"/>
        <w:jc w:val="both"/>
        <w:textAlignment w:val="baseline"/>
        <w:rPr>
          <w:rFonts w:ascii="Arial" w:eastAsia="Times New Roman" w:hAnsi="Arial" w:cs="Arial"/>
          <w:color w:val="000000"/>
          <w:szCs w:val="24"/>
          <w:lang w:eastAsia="zh-CN"/>
        </w:rPr>
      </w:pPr>
      <w:r w:rsidRPr="00E75EA6">
        <w:rPr>
          <w:rFonts w:ascii="Arial" w:eastAsia="Times New Roman" w:hAnsi="Arial" w:cs="Arial"/>
          <w:color w:val="000000"/>
          <w:szCs w:val="24"/>
          <w:lang w:eastAsia="zh-CN"/>
        </w:rPr>
        <w:t xml:space="preserve">NR-SRBNR.CVDE </w:t>
      </w:r>
    </w:p>
    <w:p w:rsidR="00E75EA6" w:rsidRPr="00CE3E24" w:rsidRDefault="00E75EA6" w:rsidP="00CE3E24">
      <w:pPr>
        <w:pageBreakBefore/>
        <w:shd w:val="clear" w:color="auto" w:fill="FFFFFF"/>
        <w:suppressAutoHyphens/>
        <w:autoSpaceDN w:val="0"/>
        <w:spacing w:before="100" w:after="100" w:line="480" w:lineRule="auto"/>
        <w:jc w:val="both"/>
        <w:textAlignment w:val="baseline"/>
        <w:rPr>
          <w:rFonts w:ascii="Arial" w:eastAsia="Times New Roman" w:hAnsi="Arial" w:cs="Arial"/>
          <w:b/>
          <w:bCs/>
          <w:szCs w:val="24"/>
          <w:lang w:eastAsia="en-GB"/>
        </w:rPr>
      </w:pPr>
    </w:p>
    <w:p w:rsidR="00E75EA6" w:rsidRPr="00E75EA6" w:rsidRDefault="00E75EA6" w:rsidP="00E75EA6">
      <w:pPr>
        <w:pStyle w:val="Heading3"/>
        <w:spacing w:line="480" w:lineRule="auto"/>
        <w:rPr>
          <w:lang w:eastAsia="en-GB"/>
        </w:rPr>
      </w:pPr>
      <w:bookmarkStart w:id="687" w:name="_Ref361635889"/>
      <w:bookmarkStart w:id="688" w:name="_Toc370819325"/>
      <w:r w:rsidRPr="00E75EA6">
        <w:rPr>
          <w:lang w:eastAsia="en-GB"/>
        </w:rPr>
        <w:t>Antibiotics preparation:</w:t>
      </w:r>
      <w:bookmarkEnd w:id="687"/>
      <w:bookmarkEnd w:id="688"/>
      <w:r w:rsidRPr="00E75EA6">
        <w:rPr>
          <w:lang w:eastAsia="en-GB"/>
        </w:rPr>
        <w:t xml:space="preserve"> </w:t>
      </w:r>
    </w:p>
    <w:p w:rsidR="00D61F7F" w:rsidRDefault="00D61F7F" w:rsidP="0052736F">
      <w:pPr>
        <w:spacing w:after="0" w:line="480" w:lineRule="auto"/>
        <w:jc w:val="both"/>
        <w:rPr>
          <w:rFonts w:eastAsia="Times New Roman" w:cs="Arial"/>
          <w:szCs w:val="24"/>
          <w:lang w:eastAsia="en-GB"/>
        </w:rPr>
      </w:pPr>
      <w:r>
        <w:rPr>
          <w:rFonts w:eastAsia="Times New Roman" w:cs="Arial"/>
          <w:szCs w:val="24"/>
          <w:lang w:eastAsia="en-GB"/>
        </w:rPr>
        <w:t xml:space="preserve">The antibiotic formulae were obtained after a pilot trial in the laboratory. A concentration of 15% gave no effect, 50% had the best effect and 100% was fatal. As a result three antibiotics concentrations were chosen in this present in vitro study. </w:t>
      </w:r>
    </w:p>
    <w:p w:rsidR="00D61F7F" w:rsidRDefault="00D61F7F" w:rsidP="00D61F7F">
      <w:pPr>
        <w:spacing w:after="0" w:line="480" w:lineRule="auto"/>
        <w:jc w:val="both"/>
        <w:rPr>
          <w:rFonts w:eastAsia="Times New Roman" w:cs="Arial"/>
          <w:szCs w:val="24"/>
          <w:lang w:eastAsia="en-GB"/>
        </w:rPr>
      </w:pPr>
      <w:r>
        <w:rPr>
          <w:rFonts w:eastAsia="Times New Roman" w:cs="Arial"/>
          <w:szCs w:val="24"/>
          <w:lang w:eastAsia="en-GB"/>
        </w:rPr>
        <w:t>From the previous experiment the following antibiotics and concentration was used:</w:t>
      </w:r>
    </w:p>
    <w:p w:rsidR="00D61F7F" w:rsidRDefault="00D61F7F" w:rsidP="00F177FE">
      <w:pPr>
        <w:numPr>
          <w:ilvl w:val="0"/>
          <w:numId w:val="89"/>
        </w:numPr>
        <w:suppressAutoHyphens/>
        <w:autoSpaceDN w:val="0"/>
        <w:spacing w:before="120" w:after="120" w:line="480" w:lineRule="auto"/>
        <w:jc w:val="both"/>
        <w:textAlignment w:val="baseline"/>
        <w:rPr>
          <w:rFonts w:cs="Arial"/>
          <w:szCs w:val="24"/>
        </w:rPr>
      </w:pPr>
      <w:r>
        <w:rPr>
          <w:rFonts w:cs="Arial"/>
          <w:szCs w:val="24"/>
        </w:rPr>
        <w:t>Metronidazole 50%. 50mg/ml.</w:t>
      </w:r>
    </w:p>
    <w:p w:rsidR="00D61F7F" w:rsidRDefault="00D61F7F" w:rsidP="00F177FE">
      <w:pPr>
        <w:numPr>
          <w:ilvl w:val="0"/>
          <w:numId w:val="89"/>
        </w:numPr>
        <w:suppressAutoHyphens/>
        <w:autoSpaceDN w:val="0"/>
        <w:spacing w:before="120" w:after="120" w:line="480" w:lineRule="auto"/>
        <w:jc w:val="both"/>
        <w:textAlignment w:val="baseline"/>
        <w:rPr>
          <w:rFonts w:cs="Arial"/>
          <w:szCs w:val="24"/>
        </w:rPr>
      </w:pPr>
      <w:r>
        <w:rPr>
          <w:rFonts w:cs="Arial"/>
          <w:szCs w:val="24"/>
        </w:rPr>
        <w:t>Ciprofloxacin 50%. 50mg/ml.</w:t>
      </w:r>
    </w:p>
    <w:p w:rsidR="00D61F7F" w:rsidRDefault="00D61F7F" w:rsidP="00F177FE">
      <w:pPr>
        <w:numPr>
          <w:ilvl w:val="0"/>
          <w:numId w:val="89"/>
        </w:numPr>
        <w:suppressAutoHyphens/>
        <w:autoSpaceDN w:val="0"/>
        <w:spacing w:before="120" w:after="120" w:line="480" w:lineRule="auto"/>
        <w:jc w:val="both"/>
        <w:textAlignment w:val="baseline"/>
        <w:rPr>
          <w:rFonts w:cs="Arial"/>
          <w:szCs w:val="24"/>
        </w:rPr>
      </w:pPr>
      <w:r>
        <w:rPr>
          <w:rFonts w:cs="Arial"/>
          <w:szCs w:val="24"/>
        </w:rPr>
        <w:t>Minocycline 50%.  50mg/ml.</w:t>
      </w:r>
    </w:p>
    <w:p w:rsidR="00D61F7F" w:rsidRDefault="00D61F7F" w:rsidP="00F177FE">
      <w:pPr>
        <w:numPr>
          <w:ilvl w:val="0"/>
          <w:numId w:val="89"/>
        </w:numPr>
        <w:suppressAutoHyphens/>
        <w:autoSpaceDN w:val="0"/>
        <w:spacing w:before="120" w:after="0" w:line="480" w:lineRule="auto"/>
        <w:jc w:val="both"/>
        <w:textAlignment w:val="baseline"/>
        <w:rPr>
          <w:rFonts w:cs="Arial"/>
          <w:szCs w:val="24"/>
        </w:rPr>
      </w:pPr>
      <w:r>
        <w:rPr>
          <w:rFonts w:cs="Arial"/>
          <w:szCs w:val="24"/>
        </w:rPr>
        <w:t>Metronidazole + Ciprofloxacin 50%. 50mg/ml.</w:t>
      </w:r>
    </w:p>
    <w:p w:rsidR="00D61F7F" w:rsidRDefault="00D61F7F" w:rsidP="00F177FE">
      <w:pPr>
        <w:numPr>
          <w:ilvl w:val="0"/>
          <w:numId w:val="89"/>
        </w:numPr>
        <w:suppressAutoHyphens/>
        <w:autoSpaceDN w:val="0"/>
        <w:spacing w:before="120" w:after="0" w:line="480" w:lineRule="auto"/>
        <w:jc w:val="both"/>
        <w:textAlignment w:val="baseline"/>
        <w:rPr>
          <w:rFonts w:cs="Arial"/>
          <w:szCs w:val="24"/>
        </w:rPr>
      </w:pPr>
      <w:r>
        <w:rPr>
          <w:rFonts w:cs="Arial"/>
          <w:szCs w:val="24"/>
        </w:rPr>
        <w:t>Metronidazole + Ciprofloxacin + Minocycline 50%. 50mg/ml.</w:t>
      </w:r>
    </w:p>
    <w:p w:rsidR="00E75EA6" w:rsidRPr="00E75EA6" w:rsidRDefault="00E75EA6" w:rsidP="00E75EA6">
      <w:pPr>
        <w:pStyle w:val="Heading3"/>
        <w:spacing w:line="480" w:lineRule="auto"/>
        <w:rPr>
          <w:lang w:eastAsia="en-GB"/>
        </w:rPr>
      </w:pPr>
      <w:bookmarkStart w:id="689" w:name="_Toc370819326"/>
      <w:r w:rsidRPr="00E75EA6">
        <w:rPr>
          <w:lang w:eastAsia="en-GB"/>
        </w:rPr>
        <w:t>The tested pulp cells:</w:t>
      </w:r>
      <w:bookmarkEnd w:id="689"/>
    </w:p>
    <w:p w:rsidR="00E75EA6" w:rsidRPr="00E75EA6" w:rsidRDefault="00E75EA6" w:rsidP="0052736F">
      <w:pPr>
        <w:suppressAutoHyphens/>
        <w:autoSpaceDN w:val="0"/>
        <w:spacing w:after="0" w:line="480" w:lineRule="auto"/>
        <w:jc w:val="both"/>
        <w:textAlignment w:val="baseline"/>
        <w:rPr>
          <w:rFonts w:ascii="Arial" w:eastAsia="Times New Roman" w:hAnsi="Arial" w:cs="Arial"/>
          <w:szCs w:val="24"/>
          <w:lang w:eastAsia="en-GB"/>
        </w:rPr>
      </w:pPr>
      <w:r w:rsidRPr="00E75EA6">
        <w:rPr>
          <w:rFonts w:ascii="Arial" w:eastAsia="Times New Roman" w:hAnsi="Arial" w:cs="Arial"/>
          <w:szCs w:val="24"/>
          <w:lang w:eastAsia="en-GB"/>
        </w:rPr>
        <w:t xml:space="preserve">The dental pulp cells </w:t>
      </w:r>
      <w:r w:rsidR="0052736F">
        <w:rPr>
          <w:rFonts w:ascii="Arial" w:eastAsia="Times New Roman" w:hAnsi="Arial" w:cs="Arial"/>
          <w:szCs w:val="24"/>
          <w:lang w:eastAsia="en-GB"/>
        </w:rPr>
        <w:t>are</w:t>
      </w:r>
      <w:r w:rsidRPr="00E75EA6">
        <w:rPr>
          <w:rFonts w:ascii="Arial" w:eastAsia="Times New Roman" w:hAnsi="Arial" w:cs="Arial"/>
          <w:szCs w:val="24"/>
          <w:lang w:eastAsia="en-GB"/>
        </w:rPr>
        <w:t xml:space="preserve"> code</w:t>
      </w:r>
      <w:r w:rsidR="0052736F">
        <w:rPr>
          <w:rFonts w:ascii="Arial" w:eastAsia="Times New Roman" w:hAnsi="Arial" w:cs="Arial"/>
          <w:szCs w:val="24"/>
          <w:lang w:eastAsia="en-GB"/>
        </w:rPr>
        <w:t>d</w:t>
      </w:r>
      <w:r w:rsidRPr="00E75EA6">
        <w:rPr>
          <w:rFonts w:ascii="Arial" w:eastAsia="Times New Roman" w:hAnsi="Arial" w:cs="Arial"/>
          <w:szCs w:val="24"/>
          <w:lang w:eastAsia="en-GB"/>
        </w:rPr>
        <w:t xml:space="preserve"> in our laboratory for data protection. The donor’s references in this experiment:</w:t>
      </w:r>
    </w:p>
    <w:p w:rsidR="00E75EA6" w:rsidRPr="00E75EA6" w:rsidRDefault="00E75EA6" w:rsidP="00F177FE">
      <w:pPr>
        <w:numPr>
          <w:ilvl w:val="0"/>
          <w:numId w:val="83"/>
        </w:numPr>
        <w:suppressAutoHyphens/>
        <w:autoSpaceDN w:val="0"/>
        <w:spacing w:before="120" w:after="120" w:line="480" w:lineRule="auto"/>
        <w:jc w:val="both"/>
        <w:textAlignment w:val="baseline"/>
        <w:rPr>
          <w:rFonts w:ascii="Arial" w:eastAsia="Calibri" w:hAnsi="Arial" w:cs="Arial"/>
          <w:szCs w:val="24"/>
        </w:rPr>
      </w:pPr>
      <w:r w:rsidRPr="00E75EA6">
        <w:rPr>
          <w:rFonts w:ascii="Arial" w:eastAsia="Calibri" w:hAnsi="Arial" w:cs="Arial"/>
          <w:szCs w:val="24"/>
        </w:rPr>
        <w:t xml:space="preserve">Sample 070311  </w:t>
      </w:r>
    </w:p>
    <w:p w:rsidR="00E75EA6" w:rsidRPr="00E75EA6" w:rsidRDefault="00E75EA6" w:rsidP="00F177FE">
      <w:pPr>
        <w:numPr>
          <w:ilvl w:val="0"/>
          <w:numId w:val="83"/>
        </w:numPr>
        <w:suppressAutoHyphens/>
        <w:autoSpaceDN w:val="0"/>
        <w:spacing w:before="120" w:after="120" w:line="480" w:lineRule="auto"/>
        <w:jc w:val="both"/>
        <w:textAlignment w:val="baseline"/>
        <w:rPr>
          <w:rFonts w:ascii="Arial" w:eastAsia="Calibri" w:hAnsi="Arial" w:cs="Arial"/>
          <w:szCs w:val="24"/>
        </w:rPr>
      </w:pPr>
      <w:r w:rsidRPr="00E75EA6">
        <w:rPr>
          <w:rFonts w:ascii="Arial" w:eastAsia="Calibri" w:hAnsi="Arial" w:cs="Arial"/>
          <w:szCs w:val="24"/>
        </w:rPr>
        <w:t>Sample 190311</w:t>
      </w:r>
    </w:p>
    <w:p w:rsidR="00E75EA6" w:rsidRPr="00E75EA6" w:rsidRDefault="00E75EA6" w:rsidP="00F177FE">
      <w:pPr>
        <w:numPr>
          <w:ilvl w:val="0"/>
          <w:numId w:val="83"/>
        </w:numPr>
        <w:suppressAutoHyphens/>
        <w:autoSpaceDN w:val="0"/>
        <w:spacing w:before="120" w:after="120" w:line="480" w:lineRule="auto"/>
        <w:jc w:val="both"/>
        <w:textAlignment w:val="baseline"/>
        <w:rPr>
          <w:rFonts w:ascii="Arial" w:eastAsia="Calibri" w:hAnsi="Arial" w:cs="Arial"/>
          <w:szCs w:val="24"/>
        </w:rPr>
      </w:pPr>
      <w:r w:rsidRPr="00E75EA6">
        <w:rPr>
          <w:rFonts w:ascii="Arial" w:eastAsia="Calibri" w:hAnsi="Arial" w:cs="Arial"/>
          <w:szCs w:val="24"/>
        </w:rPr>
        <w:t xml:space="preserve">Sample 150811 </w:t>
      </w:r>
    </w:p>
    <w:p w:rsidR="00CE3E24" w:rsidRDefault="00CE3E24">
      <w:pPr>
        <w:rPr>
          <w:rFonts w:eastAsiaTheme="majorEastAsia" w:cstheme="majorBidi"/>
          <w:b/>
          <w:bCs/>
          <w:iCs/>
          <w:lang w:eastAsia="en-GB"/>
        </w:rPr>
      </w:pPr>
      <w:r>
        <w:rPr>
          <w:lang w:eastAsia="en-GB"/>
        </w:rPr>
        <w:br w:type="page"/>
      </w:r>
    </w:p>
    <w:p w:rsidR="00E75EA6" w:rsidRPr="00E75EA6" w:rsidRDefault="00E75EA6" w:rsidP="00E75EA6">
      <w:pPr>
        <w:pStyle w:val="Heading4"/>
        <w:spacing w:line="480" w:lineRule="auto"/>
        <w:rPr>
          <w:lang w:eastAsia="en-GB"/>
        </w:rPr>
      </w:pPr>
      <w:r w:rsidRPr="00E75EA6">
        <w:rPr>
          <w:lang w:eastAsia="en-GB"/>
        </w:rPr>
        <w:lastRenderedPageBreak/>
        <w:t>Cells were obtained</w:t>
      </w:r>
    </w:p>
    <w:p w:rsidR="00D61F7F" w:rsidRDefault="00D61F7F" w:rsidP="00D61F7F">
      <w:pPr>
        <w:spacing w:after="0" w:line="480" w:lineRule="auto"/>
        <w:jc w:val="both"/>
        <w:rPr>
          <w:rFonts w:eastAsia="Times New Roman" w:cs="Arial"/>
          <w:szCs w:val="24"/>
          <w:lang w:eastAsia="en-GB"/>
        </w:rPr>
      </w:pPr>
      <w:r>
        <w:rPr>
          <w:rFonts w:eastAsia="Times New Roman" w:cs="Arial"/>
          <w:szCs w:val="24"/>
          <w:lang w:eastAsia="en-GB"/>
        </w:rPr>
        <w:t xml:space="preserve">Cells were obtained from the tissue bank at Leeds Dental Institute, from three donors. According to our protocol at Leeds University all donors had signed a consent form. All dental pulp samples used were collected from wisdom teeth (third permanent molars). The external tooth surfaces were cleaned and washed twice with sterile 1 x PBS. The attached gingival tissues were detached from the tooth surface using a sterile scalpel to avoid contamination of dental pulp cultures. The external tooth surfaces were then extensively cleaned again using 1 x PBS. This procedure resulted in low levels of contamination (&lt;8 % of all teeth used). The teeth were then cracked openusing a decontaminated vice </w:t>
      </w:r>
      <w:proofErr w:type="gramStart"/>
      <w:r>
        <w:rPr>
          <w:rFonts w:eastAsia="Times New Roman" w:cs="Arial"/>
          <w:szCs w:val="24"/>
          <w:lang w:eastAsia="en-GB"/>
        </w:rPr>
        <w:t>or  a</w:t>
      </w:r>
      <w:proofErr w:type="gramEnd"/>
      <w:r>
        <w:rPr>
          <w:rFonts w:eastAsia="Times New Roman" w:cs="Arial"/>
          <w:szCs w:val="24"/>
          <w:lang w:eastAsia="en-GB"/>
        </w:rPr>
        <w:t xml:space="preserve"> sterile wire cutter. Pulp tissue was extracted from the pulp chamber of the teeth and immersed in sterile Petri dishes containing 1 x PBS to prepare for collagenase digestion of the cells in the laboratory.</w:t>
      </w:r>
    </w:p>
    <w:p w:rsidR="00E75EA6" w:rsidRPr="00E75EA6" w:rsidRDefault="00E75EA6" w:rsidP="00E75EA6">
      <w:pPr>
        <w:pStyle w:val="Heading4"/>
        <w:spacing w:line="480" w:lineRule="auto"/>
        <w:rPr>
          <w:lang w:eastAsia="zh-CN"/>
        </w:rPr>
      </w:pPr>
      <w:r w:rsidRPr="00E75EA6">
        <w:rPr>
          <w:lang w:eastAsia="zh-CN"/>
        </w:rPr>
        <w:t>Dental pulp cell extraction and isolation</w:t>
      </w:r>
    </w:p>
    <w:p w:rsidR="00D61F7F" w:rsidRDefault="00D61F7F" w:rsidP="00D61F7F">
      <w:pPr>
        <w:spacing w:after="0" w:line="480" w:lineRule="auto"/>
        <w:jc w:val="both"/>
      </w:pPr>
      <w:r>
        <w:rPr>
          <w:rFonts w:eastAsia="SimSun" w:cs="Arial"/>
          <w:szCs w:val="24"/>
          <w:lang w:eastAsia="zh-CN"/>
        </w:rPr>
        <w:t>Healthy human impacted third molars were collected from anonymous consenting adults (18-38 years of age) at the Leeds Dental Institute under approved ethical guidelines.  Tooth surfaces were cleaned with 70% (</w:t>
      </w:r>
      <w:r>
        <w:rPr>
          <w:rFonts w:eastAsia="SimSun" w:cs="Arial"/>
          <w:i/>
          <w:szCs w:val="24"/>
          <w:lang w:eastAsia="zh-CN"/>
        </w:rPr>
        <w:t>v</w:t>
      </w:r>
      <w:r>
        <w:rPr>
          <w:rFonts w:eastAsia="SimSun" w:cs="Arial"/>
          <w:szCs w:val="24"/>
          <w:lang w:eastAsia="zh-CN"/>
        </w:rPr>
        <w:t>/</w:t>
      </w:r>
      <w:r>
        <w:rPr>
          <w:rFonts w:eastAsia="SimSun" w:cs="Arial"/>
          <w:i/>
          <w:szCs w:val="24"/>
          <w:lang w:eastAsia="zh-CN"/>
        </w:rPr>
        <w:t>v</w:t>
      </w:r>
      <w:r>
        <w:rPr>
          <w:rFonts w:eastAsia="SimSun" w:cs="Arial"/>
          <w:szCs w:val="24"/>
          <w:lang w:eastAsia="zh-CN"/>
        </w:rPr>
        <w:t xml:space="preserve">) ethanol soaked tissue paper and any attached tissue was removed with a sterile scalpel blade.  Teeth were fractured to allow exposure of the dental pulp, which was gently removed from the tooth fragments with sterile forceps.  Following extraction pulps were mechanically disrupted with a scalpel blade and digested in a solution of 3 mg/mL collagenase type I (Sigma-Aldrich, Poole, UK) and 4 mg/mL dispase (Roche, Mannheim, Germany) for 30 minutes at 37°C with gentle agitation on a MACSmix tube rotator (Miltenyi </w:t>
      </w:r>
      <w:r>
        <w:rPr>
          <w:rFonts w:eastAsia="SimSun" w:cs="Arial"/>
          <w:szCs w:val="24"/>
          <w:lang w:eastAsia="zh-CN"/>
        </w:rPr>
        <w:lastRenderedPageBreak/>
        <w:t xml:space="preserve">Biotec, Bergisch Gladbach, Germany).  The resulting suspension was passed through a 70 µm filter (BD Biosciences, San Jose, CA) and centrifuged at 200 x </w:t>
      </w:r>
      <w:r>
        <w:rPr>
          <w:rFonts w:eastAsia="SimSun" w:cs="Arial"/>
          <w:i/>
          <w:szCs w:val="24"/>
          <w:lang w:eastAsia="zh-CN"/>
        </w:rPr>
        <w:t>g</w:t>
      </w:r>
      <w:r>
        <w:rPr>
          <w:rFonts w:eastAsia="SimSun" w:cs="Arial"/>
          <w:szCs w:val="24"/>
          <w:lang w:eastAsia="zh-CN"/>
        </w:rPr>
        <w:t xml:space="preserve"> for 5 minutes before re-suspension of the cell pellet in alpha modification of Eagle’s medium (α-MEM) (Life Technologies, Paisley, UK) supplemented with 15% FCS (Biosera, Ringmer, UK), 2 mM L-glutamine (Sigma-Aldrich) and 100 units/</w:t>
      </w:r>
      <w:proofErr w:type="gramStart"/>
      <w:r>
        <w:rPr>
          <w:rFonts w:eastAsia="SimSun" w:cs="Arial"/>
          <w:szCs w:val="24"/>
          <w:lang w:eastAsia="zh-CN"/>
        </w:rPr>
        <w:t>mL  penicillin</w:t>
      </w:r>
      <w:proofErr w:type="gramEnd"/>
      <w:r>
        <w:rPr>
          <w:rFonts w:eastAsia="SimSun" w:cs="Arial"/>
          <w:szCs w:val="24"/>
          <w:lang w:eastAsia="zh-CN"/>
        </w:rPr>
        <w:t xml:space="preserve"> / 100 µg/mL streptomycin (Sigma-Aldrich).  Re-suspended cells were incubated in T25 flasks (Corning, Amsterdam, Netherlands) at 37°C in 5% CO</w:t>
      </w:r>
      <w:r>
        <w:rPr>
          <w:rFonts w:eastAsia="SimSun" w:cs="Arial"/>
          <w:szCs w:val="24"/>
          <w:vertAlign w:val="subscript"/>
          <w:lang w:eastAsia="zh-CN"/>
        </w:rPr>
        <w:t>2</w:t>
      </w:r>
      <w:r>
        <w:rPr>
          <w:rFonts w:eastAsia="SimSun" w:cs="Arial"/>
          <w:szCs w:val="24"/>
          <w:lang w:eastAsia="zh-CN"/>
        </w:rPr>
        <w:t xml:space="preserve"> in air at a ratio of one digested pulp per flask for 10-14 days.</w:t>
      </w:r>
    </w:p>
    <w:p w:rsidR="00E75EA6" w:rsidRPr="00E75EA6" w:rsidRDefault="00E75EA6" w:rsidP="00E75EA6">
      <w:pPr>
        <w:pStyle w:val="Heading3"/>
        <w:spacing w:line="480" w:lineRule="auto"/>
        <w:rPr>
          <w:lang w:eastAsia="en-GB"/>
        </w:rPr>
      </w:pPr>
      <w:bookmarkStart w:id="690" w:name="_Toc370819327"/>
      <w:r w:rsidRPr="00E75EA6">
        <w:rPr>
          <w:lang w:eastAsia="en-GB"/>
        </w:rPr>
        <w:t>How cells were prepared for this study</w:t>
      </w:r>
      <w:bookmarkEnd w:id="690"/>
    </w:p>
    <w:p w:rsidR="00E75EA6" w:rsidRPr="00E75EA6" w:rsidRDefault="00E75EA6" w:rsidP="00E75EA6">
      <w:pPr>
        <w:pStyle w:val="Heading4"/>
        <w:spacing w:line="480" w:lineRule="auto"/>
        <w:rPr>
          <w:lang w:eastAsia="zh-CN"/>
        </w:rPr>
      </w:pPr>
      <w:r w:rsidRPr="00E75EA6">
        <w:rPr>
          <w:lang w:eastAsia="zh-CN"/>
        </w:rPr>
        <w:t>Passaging and counting cells</w:t>
      </w:r>
    </w:p>
    <w:p w:rsidR="00D61F7F" w:rsidRDefault="00D61F7F" w:rsidP="00D61F7F">
      <w:pPr>
        <w:spacing w:after="0" w:line="480" w:lineRule="auto"/>
        <w:jc w:val="both"/>
      </w:pPr>
      <w:r>
        <w:rPr>
          <w:rFonts w:eastAsia="Times New Roman" w:cs="Arial"/>
          <w:szCs w:val="24"/>
          <w:lang w:eastAsia="en-GB"/>
        </w:rPr>
        <w:t>All procedures were processed under aseptic conditions in the cell culture hood. Cells were cultured in 75 cm</w:t>
      </w:r>
      <w:r>
        <w:rPr>
          <w:rFonts w:eastAsia="Times New Roman" w:cs="Arial"/>
          <w:szCs w:val="24"/>
          <w:vertAlign w:val="superscript"/>
          <w:lang w:eastAsia="en-GB"/>
        </w:rPr>
        <w:t>2</w:t>
      </w:r>
      <w:r>
        <w:rPr>
          <w:rFonts w:eastAsia="Times New Roman" w:cs="Arial"/>
          <w:szCs w:val="24"/>
          <w:lang w:eastAsia="en-GB"/>
        </w:rPr>
        <w:t xml:space="preserve"> tissue culture flasks and maintained between 90% and 95% confluence in a humidified 37</w:t>
      </w:r>
      <w:r>
        <w:rPr>
          <w:rFonts w:eastAsia="Times New Roman" w:cs="Arial"/>
          <w:szCs w:val="24"/>
          <w:vertAlign w:val="superscript"/>
          <w:lang w:eastAsia="en-GB"/>
        </w:rPr>
        <w:t>o</w:t>
      </w:r>
      <w:r>
        <w:rPr>
          <w:rFonts w:eastAsia="Times New Roman" w:cs="Arial"/>
          <w:szCs w:val="24"/>
          <w:lang w:eastAsia="en-GB"/>
        </w:rPr>
        <w:t xml:space="preserve">C, 10% CO2 incubator for 24 hrs. </w:t>
      </w:r>
      <w:r>
        <w:rPr>
          <w:rFonts w:cs="Arial"/>
          <w:szCs w:val="24"/>
        </w:rPr>
        <w:t>When cells reached sub-confluence as judged using light microscopy, the cell layer was washed twice with 1 x PBS and then detached from the culture vessels using 0.25 mm trypsin/ EDTA (ethylenediaminetetra acetic acid) for 3-5 min at 37</w:t>
      </w:r>
      <w:r>
        <w:rPr>
          <w:rFonts w:cs="Arial"/>
          <w:szCs w:val="24"/>
          <w:vertAlign w:val="superscript"/>
        </w:rPr>
        <w:t>o</w:t>
      </w:r>
      <w:r>
        <w:rPr>
          <w:rFonts w:cs="Arial"/>
          <w:szCs w:val="24"/>
        </w:rPr>
        <w:t xml:space="preserve">C. The reaction was then stopped using media containing 10 % FCS. The cell suspension was transferred to a centrifuge tube and centrifuged at 200 g for 5 min. The supernatant was carefully aspirated and the pellet re-suspended in medium. The cell number was counted using a haemocytometer. </w:t>
      </w:r>
    </w:p>
    <w:p w:rsidR="00E75EA6" w:rsidRPr="00E75EA6" w:rsidRDefault="00E75EA6" w:rsidP="00E75EA6">
      <w:pPr>
        <w:pStyle w:val="Heading4"/>
        <w:spacing w:line="480" w:lineRule="auto"/>
        <w:rPr>
          <w:lang w:eastAsia="en-GB"/>
        </w:rPr>
      </w:pPr>
      <w:r w:rsidRPr="00E75EA6">
        <w:rPr>
          <w:lang w:eastAsia="en-GB"/>
        </w:rPr>
        <w:lastRenderedPageBreak/>
        <w:t xml:space="preserve">Trypsinisation of adherent cells: </w:t>
      </w:r>
    </w:p>
    <w:p w:rsidR="00D61F7F" w:rsidRPr="00592155" w:rsidRDefault="00D61F7F" w:rsidP="00D61F7F">
      <w:pPr>
        <w:autoSpaceDE w:val="0"/>
        <w:spacing w:after="0" w:line="480" w:lineRule="auto"/>
        <w:jc w:val="both"/>
      </w:pPr>
      <w:r w:rsidRPr="00D61F7F">
        <w:rPr>
          <w:rFonts w:eastAsia="Times New Roman" w:cs="Arial"/>
          <w:szCs w:val="24"/>
          <w:lang w:eastAsia="en-GB"/>
        </w:rPr>
        <w:t>Trypsinisation</w:t>
      </w:r>
      <w:r w:rsidRPr="00D61F7F">
        <w:rPr>
          <w:rFonts w:eastAsia="SimSun" w:cs="Arial"/>
          <w:szCs w:val="24"/>
          <w:lang w:eastAsia="zh-CN"/>
        </w:rPr>
        <w:t xml:space="preserve"> is the process of cell dissociation using Trypsin / EDTA. </w:t>
      </w:r>
      <w:proofErr w:type="gramStart"/>
      <w:r w:rsidRPr="00D61F7F">
        <w:rPr>
          <w:rFonts w:eastAsia="SimSun" w:cs="Arial"/>
          <w:szCs w:val="24"/>
          <w:lang w:eastAsia="zh-CN"/>
        </w:rPr>
        <w:t xml:space="preserve">Trypsin, a </w:t>
      </w:r>
      <w:hyperlink r:id="rId97" w:tooltip="Protease" w:history="1">
        <w:r w:rsidRPr="00D61F7F">
          <w:rPr>
            <w:rFonts w:eastAsia="SimSun" w:cs="Arial"/>
            <w:szCs w:val="24"/>
            <w:u w:val="single"/>
            <w:lang w:eastAsia="zh-CN"/>
          </w:rPr>
          <w:t>proteolytic</w:t>
        </w:r>
      </w:hyperlink>
      <w:r w:rsidRPr="00D61F7F">
        <w:rPr>
          <w:rFonts w:eastAsia="SimSun" w:cs="Arial"/>
          <w:szCs w:val="24"/>
          <w:lang w:eastAsia="zh-CN"/>
        </w:rPr>
        <w:t xml:space="preserve"> (protein degrading) enzyme which breaks down proteins, to dissociate adherent cells from the vessel in which they are being cultured.</w:t>
      </w:r>
      <w:proofErr w:type="gramEnd"/>
      <w:r w:rsidRPr="00D61F7F">
        <w:rPr>
          <w:rFonts w:eastAsia="SimSun" w:cs="Arial"/>
          <w:szCs w:val="24"/>
          <w:lang w:eastAsia="zh-CN"/>
        </w:rPr>
        <w:t xml:space="preserve"> EDTA allows trypsin to work more efficiently by engaging certain metal ions that may inhibit its activity. Trypsinisation is often used to passage cells to a new vessel. When </w:t>
      </w:r>
      <w:r w:rsidR="001E4AAC">
        <w:rPr>
          <w:rFonts w:eastAsia="SimSun" w:cs="Arial"/>
          <w:szCs w:val="24"/>
          <w:lang w:eastAsia="zh-CN"/>
        </w:rPr>
        <w:t xml:space="preserve">the </w:t>
      </w:r>
      <w:r w:rsidRPr="00D61F7F">
        <w:rPr>
          <w:rFonts w:eastAsia="SimSun" w:cs="Arial"/>
          <w:szCs w:val="24"/>
          <w:lang w:eastAsia="zh-CN"/>
        </w:rPr>
        <w:t>trypsinisation process is complete the cells will be in suspension and appear rounded. When the adherent cells are completely dissociated</w:t>
      </w:r>
      <w:r w:rsidR="001E4AAC">
        <w:rPr>
          <w:rFonts w:eastAsia="SimSun" w:cs="Arial"/>
          <w:szCs w:val="24"/>
          <w:lang w:eastAsia="zh-CN"/>
        </w:rPr>
        <w:t>,</w:t>
      </w:r>
      <w:r w:rsidRPr="00D61F7F">
        <w:rPr>
          <w:rFonts w:eastAsia="SimSun" w:cs="Arial"/>
          <w:szCs w:val="24"/>
          <w:lang w:eastAsia="zh-CN"/>
        </w:rPr>
        <w:t xml:space="preserve"> </w:t>
      </w:r>
      <w:r w:rsidR="001E4AAC">
        <w:rPr>
          <w:rFonts w:eastAsia="SimSun" w:cs="Arial"/>
          <w:szCs w:val="24"/>
          <w:lang w:eastAsia="zh-CN"/>
        </w:rPr>
        <w:t>m</w:t>
      </w:r>
      <w:r w:rsidRPr="00D61F7F">
        <w:rPr>
          <w:rFonts w:eastAsia="SimSun" w:cs="Arial"/>
          <w:szCs w:val="24"/>
          <w:lang w:eastAsia="zh-CN"/>
        </w:rPr>
        <w:t>edia with 10% serum is added to deactivate trypsin.</w:t>
      </w:r>
      <w:r w:rsidRPr="00592155">
        <w:rPr>
          <w:rFonts w:eastAsia="SimSun" w:cs="Arial"/>
          <w:szCs w:val="24"/>
          <w:lang w:eastAsia="zh-CN"/>
        </w:rPr>
        <w:t xml:space="preserve"> </w:t>
      </w:r>
    </w:p>
    <w:p w:rsidR="00E75EA6" w:rsidRPr="00E75EA6" w:rsidRDefault="00E75EA6" w:rsidP="00E75EA6">
      <w:pPr>
        <w:suppressAutoHyphens/>
        <w:autoSpaceDN w:val="0"/>
        <w:spacing w:before="120" w:after="0"/>
        <w:textAlignment w:val="baseline"/>
        <w:rPr>
          <w:rFonts w:ascii="Arial" w:eastAsia="SimSun" w:hAnsi="Arial" w:cs="Arial"/>
          <w:b/>
          <w:bCs/>
          <w:szCs w:val="24"/>
          <w:lang w:eastAsia="zh-CN"/>
        </w:rPr>
      </w:pPr>
    </w:p>
    <w:p w:rsidR="00E75EA6" w:rsidRPr="00E75EA6" w:rsidRDefault="00E75EA6" w:rsidP="00E75EA6">
      <w:pPr>
        <w:pStyle w:val="Heading4"/>
        <w:spacing w:line="480" w:lineRule="auto"/>
        <w:rPr>
          <w:rFonts w:eastAsia="Times New Roman" w:cs="Arial"/>
          <w:szCs w:val="24"/>
          <w:lang w:eastAsia="zh-CN"/>
        </w:rPr>
      </w:pPr>
      <w:r w:rsidRPr="00E75EA6">
        <w:rPr>
          <w:lang w:eastAsia="zh-CN"/>
        </w:rPr>
        <w:t xml:space="preserve">Protocol for </w:t>
      </w:r>
      <w:r w:rsidRPr="00E75EA6">
        <w:rPr>
          <w:lang w:eastAsia="en-GB"/>
        </w:rPr>
        <w:t>Trypsinisation of adherent cells</w:t>
      </w:r>
      <w:r w:rsidRPr="00E75EA6">
        <w:rPr>
          <w:lang w:eastAsia="zh-CN"/>
        </w:rPr>
        <w:t>:</w:t>
      </w:r>
    </w:p>
    <w:p w:rsidR="00E75EA6" w:rsidRPr="00E75EA6" w:rsidRDefault="00E75EA6" w:rsidP="00E75EA6">
      <w:pPr>
        <w:suppressAutoHyphens/>
        <w:autoSpaceDN w:val="0"/>
        <w:spacing w:before="120" w:after="240" w:line="480" w:lineRule="auto"/>
        <w:jc w:val="both"/>
        <w:textAlignment w:val="baseline"/>
        <w:rPr>
          <w:rFonts w:ascii="Arial" w:eastAsia="Times New Roman" w:hAnsi="Arial" w:cs="Arial"/>
          <w:szCs w:val="24"/>
          <w:lang w:eastAsia="zh-CN"/>
        </w:rPr>
      </w:pPr>
      <w:r w:rsidRPr="00E75EA6">
        <w:rPr>
          <w:rFonts w:ascii="Arial" w:eastAsia="SimSun" w:hAnsi="Arial" w:cs="Arial"/>
          <w:b/>
          <w:bCs/>
          <w:szCs w:val="24"/>
          <w:lang w:eastAsia="zh-CN"/>
        </w:rPr>
        <w:t xml:space="preserve">All solutions and equipment that come in contact with the cells were sterile and </w:t>
      </w:r>
      <w:r w:rsidRPr="00E75EA6">
        <w:rPr>
          <w:rFonts w:ascii="Arial" w:eastAsia="SimSun" w:hAnsi="Arial" w:cs="Arial"/>
          <w:b/>
          <w:szCs w:val="24"/>
          <w:lang w:eastAsia="zh-CN"/>
        </w:rPr>
        <w:t>experiment was carried out in a laminar flow hood.</w:t>
      </w:r>
    </w:p>
    <w:p w:rsidR="00D61F7F" w:rsidRPr="00D61F7F" w:rsidRDefault="00D61F7F" w:rsidP="00D035C8">
      <w:pPr>
        <w:numPr>
          <w:ilvl w:val="0"/>
          <w:numId w:val="90"/>
        </w:numPr>
        <w:suppressAutoHyphens/>
        <w:autoSpaceDN w:val="0"/>
        <w:spacing w:before="100" w:after="100" w:line="480" w:lineRule="auto"/>
        <w:jc w:val="both"/>
        <w:textAlignment w:val="baseline"/>
        <w:rPr>
          <w:rFonts w:ascii="Arial" w:eastAsia="SimSun" w:hAnsi="Arial" w:cs="Arial"/>
          <w:szCs w:val="24"/>
          <w:lang w:eastAsia="zh-CN"/>
        </w:rPr>
      </w:pPr>
      <w:r w:rsidRPr="00D61F7F">
        <w:rPr>
          <w:rFonts w:ascii="Arial" w:eastAsia="SimSun" w:hAnsi="Arial" w:cs="Arial"/>
          <w:szCs w:val="24"/>
          <w:lang w:eastAsia="zh-CN"/>
        </w:rPr>
        <w:t>Remove and discard the spent cell culture media from the culture vessel.</w:t>
      </w:r>
    </w:p>
    <w:p w:rsidR="00D61F7F" w:rsidRPr="00D035C8" w:rsidRDefault="00D61F7F" w:rsidP="00D035C8">
      <w:pPr>
        <w:numPr>
          <w:ilvl w:val="0"/>
          <w:numId w:val="90"/>
        </w:numPr>
        <w:suppressAutoHyphens/>
        <w:autoSpaceDN w:val="0"/>
        <w:spacing w:before="100" w:after="100" w:line="480" w:lineRule="auto"/>
        <w:textAlignment w:val="baseline"/>
        <w:rPr>
          <w:rFonts w:ascii="Arial" w:eastAsia="Calibri" w:hAnsi="Arial"/>
        </w:rPr>
      </w:pPr>
      <w:r w:rsidRPr="00D61F7F">
        <w:rPr>
          <w:rFonts w:ascii="Arial" w:eastAsia="SimSun" w:hAnsi="Arial" w:cs="Arial"/>
          <w:szCs w:val="24"/>
          <w:lang w:eastAsia="zh-CN"/>
        </w:rPr>
        <w:t>Wash cells using a balanced salt solution without calcium and magnesium (approximately 2 mL per 10 cm</w:t>
      </w:r>
      <w:r w:rsidRPr="00D61F7F">
        <w:rPr>
          <w:rFonts w:ascii="Arial" w:eastAsia="SimSun" w:hAnsi="Arial" w:cs="Arial"/>
          <w:szCs w:val="24"/>
          <w:vertAlign w:val="superscript"/>
          <w:lang w:eastAsia="zh-CN"/>
        </w:rPr>
        <w:t>2</w:t>
      </w:r>
      <w:r w:rsidRPr="00D61F7F">
        <w:rPr>
          <w:rFonts w:ascii="Arial" w:eastAsia="SimSun" w:hAnsi="Arial" w:cs="Arial"/>
          <w:szCs w:val="24"/>
          <w:lang w:eastAsia="zh-CN"/>
        </w:rPr>
        <w:t xml:space="preserve"> culture surface area).  Gently add wash solution to the side of the vessel opposite the attached cell layer to avoid disturbing the cell layer, and rock the vessel back and forth several times.</w:t>
      </w:r>
      <w:r w:rsidRPr="00D035C8">
        <w:rPr>
          <w:rFonts w:ascii="Arial" w:eastAsia="SimSun" w:hAnsi="Arial" w:cs="Arial"/>
          <w:szCs w:val="24"/>
          <w:lang w:eastAsia="zh-CN"/>
        </w:rPr>
        <w:br/>
      </w:r>
      <w:r w:rsidRPr="00D035C8">
        <w:rPr>
          <w:rFonts w:ascii="Arial" w:eastAsia="SimSun" w:hAnsi="Arial" w:cs="Arial"/>
          <w:b/>
          <w:bCs/>
          <w:szCs w:val="24"/>
          <w:lang w:eastAsia="zh-CN"/>
        </w:rPr>
        <w:t xml:space="preserve">Note:  </w:t>
      </w:r>
      <w:r w:rsidRPr="00D035C8">
        <w:rPr>
          <w:rFonts w:ascii="Arial" w:eastAsia="SimSun" w:hAnsi="Arial" w:cs="Arial"/>
          <w:szCs w:val="24"/>
          <w:lang w:eastAsia="zh-CN"/>
        </w:rPr>
        <w:t>The wash step removes any traces of serum, calcium, and magnesium that would inhibit the action of the dissociation reagent.</w:t>
      </w:r>
    </w:p>
    <w:p w:rsidR="00D61F7F" w:rsidRPr="00D61F7F" w:rsidRDefault="00D61F7F" w:rsidP="00F177FE">
      <w:pPr>
        <w:numPr>
          <w:ilvl w:val="0"/>
          <w:numId w:val="91"/>
        </w:numPr>
        <w:suppressAutoHyphens/>
        <w:autoSpaceDN w:val="0"/>
        <w:spacing w:before="100" w:after="100" w:line="480" w:lineRule="auto"/>
        <w:jc w:val="both"/>
        <w:textAlignment w:val="baseline"/>
        <w:rPr>
          <w:rFonts w:ascii="Arial" w:eastAsia="SimSun" w:hAnsi="Arial" w:cs="Arial"/>
          <w:szCs w:val="24"/>
          <w:lang w:eastAsia="zh-CN"/>
        </w:rPr>
      </w:pPr>
      <w:r w:rsidRPr="00D61F7F">
        <w:rPr>
          <w:rFonts w:ascii="Arial" w:eastAsia="SimSun" w:hAnsi="Arial" w:cs="Arial"/>
          <w:szCs w:val="24"/>
          <w:lang w:eastAsia="zh-CN"/>
        </w:rPr>
        <w:t>Remove and discard the wash solution from the culture vessel</w:t>
      </w:r>
    </w:p>
    <w:p w:rsidR="00D61F7F" w:rsidRPr="00D61F7F" w:rsidRDefault="00D61F7F" w:rsidP="00F177FE">
      <w:pPr>
        <w:numPr>
          <w:ilvl w:val="0"/>
          <w:numId w:val="91"/>
        </w:numPr>
        <w:suppressAutoHyphens/>
        <w:autoSpaceDN w:val="0"/>
        <w:spacing w:before="100" w:after="100" w:line="480" w:lineRule="auto"/>
        <w:jc w:val="both"/>
        <w:textAlignment w:val="baseline"/>
        <w:rPr>
          <w:rFonts w:ascii="Arial" w:eastAsia="Calibri" w:hAnsi="Arial"/>
        </w:rPr>
      </w:pPr>
      <w:r w:rsidRPr="00D61F7F">
        <w:rPr>
          <w:rFonts w:ascii="Arial" w:eastAsia="SimSun" w:hAnsi="Arial" w:cs="Arial"/>
          <w:szCs w:val="24"/>
          <w:lang w:eastAsia="zh-CN"/>
        </w:rPr>
        <w:lastRenderedPageBreak/>
        <w:t xml:space="preserve">Add the pre-warmed trypsin / EDTA to the side of the flask; use enough </w:t>
      </w:r>
      <w:proofErr w:type="gramStart"/>
      <w:r w:rsidRPr="00D61F7F">
        <w:rPr>
          <w:rFonts w:ascii="Arial" w:eastAsia="SimSun" w:hAnsi="Arial" w:cs="Arial"/>
          <w:szCs w:val="24"/>
          <w:lang w:eastAsia="zh-CN"/>
        </w:rPr>
        <w:t>reagent</w:t>
      </w:r>
      <w:proofErr w:type="gramEnd"/>
      <w:r w:rsidRPr="00D61F7F">
        <w:rPr>
          <w:rFonts w:ascii="Arial" w:eastAsia="SimSun" w:hAnsi="Arial" w:cs="Arial"/>
          <w:szCs w:val="24"/>
          <w:lang w:eastAsia="zh-CN"/>
        </w:rPr>
        <w:t xml:space="preserve"> to cover the cell layer (approximately 1 mL per 10 cm</w:t>
      </w:r>
      <w:r w:rsidRPr="00D61F7F">
        <w:rPr>
          <w:rFonts w:ascii="Arial" w:eastAsia="SimSun" w:hAnsi="Arial" w:cs="Arial"/>
          <w:szCs w:val="24"/>
          <w:vertAlign w:val="superscript"/>
          <w:lang w:eastAsia="zh-CN"/>
        </w:rPr>
        <w:t>2</w:t>
      </w:r>
      <w:r w:rsidRPr="00D61F7F">
        <w:rPr>
          <w:rFonts w:ascii="Arial" w:eastAsia="SimSun" w:hAnsi="Arial" w:cs="Arial"/>
          <w:szCs w:val="24"/>
          <w:lang w:eastAsia="zh-CN"/>
        </w:rPr>
        <w:t>).   Gently rock the container to get complete coverage of the cell layer.</w:t>
      </w:r>
    </w:p>
    <w:p w:rsidR="00D61F7F" w:rsidRPr="00D61F7F" w:rsidRDefault="00D61F7F" w:rsidP="00F177FE">
      <w:pPr>
        <w:numPr>
          <w:ilvl w:val="0"/>
          <w:numId w:val="91"/>
        </w:numPr>
        <w:suppressAutoHyphens/>
        <w:autoSpaceDN w:val="0"/>
        <w:spacing w:before="100" w:after="100" w:line="480" w:lineRule="auto"/>
        <w:jc w:val="both"/>
        <w:textAlignment w:val="baseline"/>
        <w:rPr>
          <w:rFonts w:ascii="Arial" w:eastAsia="Calibri" w:hAnsi="Arial"/>
        </w:rPr>
      </w:pPr>
      <w:r w:rsidRPr="00D61F7F">
        <w:rPr>
          <w:rFonts w:ascii="Arial" w:eastAsia="SimSun" w:hAnsi="Arial" w:cs="Arial"/>
          <w:szCs w:val="24"/>
          <w:lang w:eastAsia="zh-CN"/>
        </w:rPr>
        <w:t>Incubate the culture vessel at 37</w:t>
      </w:r>
      <w:r w:rsidRPr="00D61F7F">
        <w:rPr>
          <w:rFonts w:ascii="Arial" w:eastAsia="SimSun" w:hAnsi="Arial" w:cs="Arial"/>
          <w:szCs w:val="24"/>
          <w:vertAlign w:val="superscript"/>
          <w:lang w:eastAsia="zh-CN"/>
        </w:rPr>
        <w:t>o</w:t>
      </w:r>
      <w:r w:rsidRPr="00D61F7F">
        <w:rPr>
          <w:rFonts w:ascii="Arial" w:eastAsia="SimSun" w:hAnsi="Arial" w:cs="Arial"/>
          <w:szCs w:val="24"/>
          <w:lang w:eastAsia="zh-CN"/>
        </w:rPr>
        <w:t>C for approximately 2 minutes.  Note that the actual incubation time varies with the cell line used.</w:t>
      </w:r>
    </w:p>
    <w:p w:rsidR="00D61F7F" w:rsidRPr="00D61F7F" w:rsidRDefault="00D61F7F" w:rsidP="00F177FE">
      <w:pPr>
        <w:numPr>
          <w:ilvl w:val="0"/>
          <w:numId w:val="91"/>
        </w:numPr>
        <w:suppressAutoHyphens/>
        <w:autoSpaceDN w:val="0"/>
        <w:spacing w:before="100" w:after="100" w:line="480" w:lineRule="auto"/>
        <w:jc w:val="both"/>
        <w:textAlignment w:val="baseline"/>
        <w:rPr>
          <w:rFonts w:ascii="Arial" w:eastAsia="SimSun" w:hAnsi="Arial" w:cs="Arial"/>
          <w:szCs w:val="24"/>
          <w:lang w:eastAsia="zh-CN"/>
        </w:rPr>
      </w:pPr>
      <w:r w:rsidRPr="00D61F7F">
        <w:rPr>
          <w:rFonts w:ascii="Arial" w:eastAsia="SimSun" w:hAnsi="Arial" w:cs="Arial"/>
          <w:szCs w:val="24"/>
          <w:lang w:eastAsia="zh-CN"/>
        </w:rPr>
        <w:t>Observe the cells under the microscope for detachment.  If cells are less than 90% detached, increase the incubation time a few more minutes, checking for dissociation every 30 seconds.  You may also tap the vessel to expedite cell detachment.</w:t>
      </w:r>
    </w:p>
    <w:p w:rsidR="00D61F7F" w:rsidRPr="00D61F7F" w:rsidRDefault="00D61F7F" w:rsidP="00F177FE">
      <w:pPr>
        <w:numPr>
          <w:ilvl w:val="0"/>
          <w:numId w:val="91"/>
        </w:numPr>
        <w:suppressAutoHyphens/>
        <w:autoSpaceDN w:val="0"/>
        <w:spacing w:before="100" w:after="100" w:line="480" w:lineRule="auto"/>
        <w:jc w:val="both"/>
        <w:textAlignment w:val="baseline"/>
        <w:rPr>
          <w:rFonts w:ascii="Arial" w:eastAsia="SimSun" w:hAnsi="Arial" w:cs="Arial"/>
          <w:szCs w:val="24"/>
          <w:lang w:eastAsia="zh-CN"/>
        </w:rPr>
      </w:pPr>
      <w:r w:rsidRPr="00D61F7F">
        <w:rPr>
          <w:rFonts w:ascii="Arial" w:eastAsia="SimSun" w:hAnsi="Arial" w:cs="Arial"/>
          <w:szCs w:val="24"/>
          <w:lang w:eastAsia="zh-CN"/>
        </w:rPr>
        <w:t>When ≥ 90% of the cells have detached, tilt the vessel for a minimal length of time to allow the cells to drain.  Add the equivalent of 2 volumes (twice the volume used for the dissociation reagent) of pre-warmed complete growth medium.  Disperse the medium by pipetting over the cell layer surface several times.</w:t>
      </w:r>
    </w:p>
    <w:p w:rsidR="00D61F7F" w:rsidRPr="00D61F7F" w:rsidRDefault="00D61F7F" w:rsidP="00F177FE">
      <w:pPr>
        <w:numPr>
          <w:ilvl w:val="0"/>
          <w:numId w:val="91"/>
        </w:numPr>
        <w:suppressAutoHyphens/>
        <w:autoSpaceDN w:val="0"/>
        <w:spacing w:before="100" w:after="100" w:line="480" w:lineRule="auto"/>
        <w:jc w:val="both"/>
        <w:textAlignment w:val="baseline"/>
        <w:rPr>
          <w:rFonts w:ascii="Arial" w:eastAsia="SimSun" w:hAnsi="Arial" w:cs="Arial"/>
          <w:szCs w:val="24"/>
          <w:lang w:eastAsia="zh-CN"/>
        </w:rPr>
      </w:pPr>
      <w:r w:rsidRPr="00D61F7F">
        <w:rPr>
          <w:rFonts w:ascii="Arial" w:eastAsia="SimSun" w:hAnsi="Arial" w:cs="Arial"/>
          <w:szCs w:val="24"/>
          <w:lang w:eastAsia="zh-CN"/>
        </w:rPr>
        <w:t xml:space="preserve">Transfer the cells to a 50-mL conical tube and centrifuge at 200 × g for 5 to 10 minutes.  </w:t>
      </w:r>
    </w:p>
    <w:p w:rsidR="00D61F7F" w:rsidRPr="00D61F7F" w:rsidRDefault="00D61F7F" w:rsidP="00F177FE">
      <w:pPr>
        <w:numPr>
          <w:ilvl w:val="0"/>
          <w:numId w:val="91"/>
        </w:numPr>
        <w:suppressAutoHyphens/>
        <w:autoSpaceDN w:val="0"/>
        <w:spacing w:before="100" w:after="100" w:line="480" w:lineRule="auto"/>
        <w:jc w:val="both"/>
        <w:textAlignment w:val="baseline"/>
        <w:rPr>
          <w:rFonts w:ascii="Arial" w:eastAsia="SimSun" w:hAnsi="Arial" w:cs="Arial"/>
          <w:szCs w:val="24"/>
          <w:lang w:eastAsia="zh-CN"/>
        </w:rPr>
      </w:pPr>
      <w:r w:rsidRPr="00D61F7F">
        <w:rPr>
          <w:rFonts w:ascii="Arial" w:eastAsia="SimSun" w:hAnsi="Arial" w:cs="Arial"/>
          <w:szCs w:val="24"/>
          <w:lang w:eastAsia="zh-CN"/>
        </w:rPr>
        <w:t>Re-suspend the cell pellet in a minimal volume of pre-warmed complete growth medium and remove a sample for counting.</w:t>
      </w:r>
    </w:p>
    <w:p w:rsidR="00D61F7F" w:rsidRPr="00D61F7F" w:rsidRDefault="00D61F7F" w:rsidP="00F177FE">
      <w:pPr>
        <w:numPr>
          <w:ilvl w:val="0"/>
          <w:numId w:val="91"/>
        </w:numPr>
        <w:suppressAutoHyphens/>
        <w:autoSpaceDN w:val="0"/>
        <w:spacing w:before="100" w:after="100" w:line="480" w:lineRule="auto"/>
        <w:jc w:val="both"/>
        <w:textAlignment w:val="baseline"/>
        <w:rPr>
          <w:rFonts w:ascii="Arial" w:eastAsia="SimSun" w:hAnsi="Arial" w:cs="Arial"/>
          <w:szCs w:val="24"/>
          <w:lang w:eastAsia="zh-CN"/>
        </w:rPr>
      </w:pPr>
      <w:r w:rsidRPr="00D61F7F">
        <w:rPr>
          <w:rFonts w:ascii="Arial" w:eastAsia="SimSun" w:hAnsi="Arial" w:cs="Arial"/>
          <w:szCs w:val="24"/>
          <w:lang w:eastAsia="zh-CN"/>
        </w:rPr>
        <w:t>Determine the total number of cells and percent viability using a haemacytometer, cell counter and Trypan Blue exclusion.  Then add growth media to the cells to achieve the desired cell concentration.</w:t>
      </w:r>
    </w:p>
    <w:p w:rsidR="00D61F7F" w:rsidRPr="00D61F7F" w:rsidRDefault="00D61F7F" w:rsidP="00F177FE">
      <w:pPr>
        <w:numPr>
          <w:ilvl w:val="0"/>
          <w:numId w:val="92"/>
        </w:numPr>
        <w:suppressAutoHyphens/>
        <w:autoSpaceDN w:val="0"/>
        <w:spacing w:before="100" w:after="100" w:line="480" w:lineRule="auto"/>
        <w:jc w:val="both"/>
        <w:textAlignment w:val="baseline"/>
        <w:rPr>
          <w:rFonts w:ascii="Arial" w:eastAsia="SimSun" w:hAnsi="Arial" w:cs="Arial"/>
          <w:szCs w:val="24"/>
          <w:lang w:eastAsia="zh-CN"/>
        </w:rPr>
      </w:pPr>
      <w:r w:rsidRPr="00D61F7F">
        <w:rPr>
          <w:rFonts w:ascii="Arial" w:eastAsia="SimSun" w:hAnsi="Arial" w:cs="Arial"/>
          <w:szCs w:val="24"/>
          <w:lang w:eastAsia="zh-CN"/>
        </w:rPr>
        <w:t xml:space="preserve">Dilute cell </w:t>
      </w:r>
      <w:r w:rsidR="00D035C8" w:rsidRPr="00D61F7F">
        <w:rPr>
          <w:rFonts w:ascii="Arial" w:eastAsia="SimSun" w:hAnsi="Arial" w:cs="Arial"/>
          <w:szCs w:val="24"/>
          <w:lang w:eastAsia="zh-CN"/>
        </w:rPr>
        <w:t>suspensions to the seeding density recommended for the cell line and pipette</w:t>
      </w:r>
      <w:r w:rsidRPr="00D61F7F">
        <w:rPr>
          <w:rFonts w:ascii="Arial" w:eastAsia="SimSun" w:hAnsi="Arial" w:cs="Arial"/>
          <w:szCs w:val="24"/>
          <w:lang w:eastAsia="zh-CN"/>
        </w:rPr>
        <w:t xml:space="preserve"> the appropriate volume into new cell culture vessels, and return the cells to the incubator.</w:t>
      </w:r>
    </w:p>
    <w:p w:rsidR="00E75EA6" w:rsidRPr="00E75EA6" w:rsidRDefault="00E75EA6" w:rsidP="00E75EA6">
      <w:pPr>
        <w:pStyle w:val="Heading4"/>
        <w:spacing w:line="480" w:lineRule="auto"/>
        <w:rPr>
          <w:lang w:eastAsia="en-GB"/>
        </w:rPr>
      </w:pPr>
      <w:r w:rsidRPr="00E75EA6">
        <w:rPr>
          <w:lang w:eastAsia="en-GB"/>
        </w:rPr>
        <w:lastRenderedPageBreak/>
        <w:t>Seeding the cells for the test</w:t>
      </w:r>
    </w:p>
    <w:p w:rsidR="00D61F7F" w:rsidRDefault="00D61F7F" w:rsidP="00D61F7F">
      <w:pPr>
        <w:spacing w:after="0" w:line="480" w:lineRule="auto"/>
        <w:jc w:val="both"/>
      </w:pPr>
      <w:r>
        <w:rPr>
          <w:rFonts w:eastAsia="Times New Roman" w:cs="Arial"/>
          <w:szCs w:val="24"/>
          <w:lang w:eastAsia="en-GB"/>
        </w:rPr>
        <w:t>Human dental pulp stem cells HDPSCs were seeded in 24 well plates at 5 x 10</w:t>
      </w:r>
      <w:r>
        <w:rPr>
          <w:rFonts w:eastAsia="Times New Roman" w:cs="Arial"/>
          <w:szCs w:val="24"/>
          <w:vertAlign w:val="superscript"/>
          <w:lang w:eastAsia="en-GB"/>
        </w:rPr>
        <w:t>5</w:t>
      </w:r>
      <w:r>
        <w:rPr>
          <w:rFonts w:eastAsia="Times New Roman" w:cs="Arial"/>
          <w:szCs w:val="24"/>
          <w:lang w:eastAsia="en-GB"/>
        </w:rPr>
        <w:t xml:space="preserve"> cells/ well and incubated for 48 hours. </w:t>
      </w:r>
    </w:p>
    <w:p w:rsidR="00E75EA6" w:rsidRPr="00E75EA6" w:rsidRDefault="00E75EA6" w:rsidP="00E75EA6">
      <w:pPr>
        <w:pStyle w:val="Heading3"/>
        <w:spacing w:line="480" w:lineRule="auto"/>
      </w:pPr>
      <w:bookmarkStart w:id="691" w:name="_Toc370819328"/>
      <w:r w:rsidRPr="00E75EA6">
        <w:t>Cytotoxicity was tested by using three different methods of assessment:</w:t>
      </w:r>
      <w:bookmarkEnd w:id="691"/>
    </w:p>
    <w:p w:rsidR="00E75EA6" w:rsidRPr="00E75EA6" w:rsidRDefault="00E75EA6" w:rsidP="00F177FE">
      <w:pPr>
        <w:numPr>
          <w:ilvl w:val="1"/>
          <w:numId w:val="84"/>
        </w:numPr>
        <w:suppressAutoHyphens/>
        <w:autoSpaceDN w:val="0"/>
        <w:spacing w:before="120" w:after="0" w:line="480" w:lineRule="auto"/>
        <w:jc w:val="both"/>
        <w:textAlignment w:val="baseline"/>
        <w:rPr>
          <w:rFonts w:ascii="Arial" w:eastAsia="Calibri" w:hAnsi="Arial" w:cs="Arial"/>
          <w:b/>
          <w:bCs/>
          <w:szCs w:val="24"/>
        </w:rPr>
      </w:pPr>
      <w:r w:rsidRPr="00E75EA6">
        <w:rPr>
          <w:rFonts w:ascii="Arial" w:eastAsia="Calibri" w:hAnsi="Arial" w:cs="Arial"/>
          <w:b/>
          <w:bCs/>
          <w:szCs w:val="24"/>
        </w:rPr>
        <w:t>Trypan blue exclusion method</w:t>
      </w:r>
    </w:p>
    <w:p w:rsidR="00E75EA6" w:rsidRPr="00E75EA6" w:rsidRDefault="00E75EA6" w:rsidP="00F177FE">
      <w:pPr>
        <w:numPr>
          <w:ilvl w:val="1"/>
          <w:numId w:val="84"/>
        </w:numPr>
        <w:suppressAutoHyphens/>
        <w:autoSpaceDN w:val="0"/>
        <w:spacing w:before="120" w:after="0" w:line="480" w:lineRule="auto"/>
        <w:jc w:val="both"/>
        <w:textAlignment w:val="baseline"/>
        <w:rPr>
          <w:rFonts w:ascii="Arial" w:eastAsia="SimSun" w:hAnsi="Arial" w:cs="Arial"/>
          <w:b/>
          <w:szCs w:val="24"/>
          <w:lang w:eastAsia="zh-CN"/>
        </w:rPr>
      </w:pPr>
      <w:r w:rsidRPr="00E75EA6">
        <w:rPr>
          <w:rFonts w:ascii="Arial" w:eastAsia="SimSun" w:hAnsi="Arial" w:cs="Arial"/>
          <w:b/>
          <w:szCs w:val="24"/>
          <w:lang w:eastAsia="zh-CN"/>
        </w:rPr>
        <w:t>Lactate dehydrogenase (LDH) assay</w:t>
      </w:r>
    </w:p>
    <w:p w:rsidR="00E75EA6" w:rsidRPr="00E75EA6" w:rsidRDefault="00E75EA6" w:rsidP="00F177FE">
      <w:pPr>
        <w:numPr>
          <w:ilvl w:val="1"/>
          <w:numId w:val="84"/>
        </w:numPr>
        <w:suppressAutoHyphens/>
        <w:autoSpaceDN w:val="0"/>
        <w:spacing w:before="120" w:after="0" w:line="480" w:lineRule="auto"/>
        <w:jc w:val="both"/>
        <w:textAlignment w:val="baseline"/>
        <w:rPr>
          <w:rFonts w:ascii="Arial" w:eastAsia="Times New Roman" w:hAnsi="Arial" w:cs="Arial"/>
          <w:szCs w:val="24"/>
          <w:lang w:eastAsia="zh-CN"/>
        </w:rPr>
      </w:pPr>
      <w:r w:rsidRPr="00E75EA6">
        <w:rPr>
          <w:rFonts w:ascii="Arial" w:eastAsia="SimSun" w:hAnsi="Arial" w:cs="Arial"/>
          <w:b/>
          <w:bCs/>
          <w:szCs w:val="24"/>
          <w:lang w:eastAsia="zh-CN"/>
        </w:rPr>
        <w:t>Flow cytometry</w:t>
      </w:r>
    </w:p>
    <w:p w:rsidR="00E75EA6" w:rsidRPr="00E75EA6" w:rsidRDefault="00E75EA6" w:rsidP="00E75EA6">
      <w:pPr>
        <w:pStyle w:val="Heading3"/>
        <w:spacing w:line="480" w:lineRule="auto"/>
        <w:rPr>
          <w:rFonts w:eastAsia="Times New Roman" w:cs="Arial"/>
          <w:szCs w:val="24"/>
          <w:lang w:eastAsia="zh-CN"/>
        </w:rPr>
      </w:pPr>
      <w:bookmarkStart w:id="692" w:name="_Toc370819329"/>
      <w:r w:rsidRPr="00E75EA6">
        <w:t xml:space="preserve">Trypan blue exclusion method </w:t>
      </w:r>
      <w:r w:rsidRPr="00E75EA6">
        <w:rPr>
          <w:rFonts w:eastAsia="Times New Roman"/>
          <w:lang w:val="en" w:eastAsia="en-GB"/>
        </w:rPr>
        <w:t>Procedure</w:t>
      </w:r>
      <w:bookmarkEnd w:id="692"/>
      <w:r w:rsidRPr="00E75EA6">
        <w:rPr>
          <w:rFonts w:eastAsia="Times New Roman"/>
          <w:lang w:val="en" w:eastAsia="en-GB"/>
        </w:rPr>
        <w:t xml:space="preserve"> </w:t>
      </w:r>
    </w:p>
    <w:p w:rsidR="00E75EA6" w:rsidRPr="00E75EA6" w:rsidRDefault="00E75EA6" w:rsidP="00E75EA6">
      <w:pPr>
        <w:pStyle w:val="Heading4"/>
        <w:spacing w:line="480" w:lineRule="auto"/>
        <w:rPr>
          <w:lang w:val="en" w:eastAsia="en-GB"/>
        </w:rPr>
      </w:pPr>
      <w:r w:rsidRPr="00E75EA6">
        <w:rPr>
          <w:lang w:val="en" w:eastAsia="en-GB"/>
        </w:rPr>
        <w:t xml:space="preserve"> Cytotoxicity measured by Trypan Blue method:</w:t>
      </w:r>
    </w:p>
    <w:p w:rsidR="00D61F7F" w:rsidRDefault="00D61F7F" w:rsidP="00D61F7F">
      <w:pPr>
        <w:spacing w:before="120" w:after="120" w:line="480" w:lineRule="auto"/>
        <w:jc w:val="both"/>
        <w:rPr>
          <w:rFonts w:eastAsia="Times New Roman" w:cs="Arial"/>
          <w:bCs/>
          <w:szCs w:val="24"/>
          <w:lang w:val="en" w:eastAsia="en-GB"/>
        </w:rPr>
      </w:pPr>
      <w:r>
        <w:rPr>
          <w:rFonts w:eastAsia="Times New Roman" w:cs="Arial"/>
          <w:bCs/>
          <w:szCs w:val="24"/>
          <w:lang w:val="en" w:eastAsia="en-GB"/>
        </w:rPr>
        <w:t>Trypan Blue is one of several stains recommended for use in dye exclusion procedures for viable cell counting. This method is based on the principle that live (viable) cells do not take up certain dyes, whereas dead (non-viable) cells do.</w:t>
      </w:r>
    </w:p>
    <w:p w:rsidR="00E75EA6" w:rsidRPr="00E75EA6" w:rsidRDefault="00E75EA6" w:rsidP="00D035C8">
      <w:pPr>
        <w:pStyle w:val="Heading4"/>
        <w:spacing w:line="480" w:lineRule="auto"/>
        <w:rPr>
          <w:lang w:val="en" w:eastAsia="en-GB"/>
        </w:rPr>
      </w:pPr>
      <w:r w:rsidRPr="00E75EA6">
        <w:rPr>
          <w:lang w:val="en" w:eastAsia="en-GB"/>
        </w:rPr>
        <w:t>Protocol for Viable Cell Counting using Trypan Blue</w:t>
      </w:r>
    </w:p>
    <w:p w:rsidR="00D61F7F" w:rsidRPr="00D61F7F" w:rsidRDefault="00D61F7F" w:rsidP="00D61F7F">
      <w:pPr>
        <w:suppressAutoHyphens/>
        <w:autoSpaceDN w:val="0"/>
        <w:spacing w:before="120" w:after="120" w:line="480" w:lineRule="auto"/>
        <w:jc w:val="both"/>
        <w:textAlignment w:val="baseline"/>
        <w:rPr>
          <w:rFonts w:ascii="Arial" w:eastAsia="Times New Roman" w:hAnsi="Arial" w:cs="Arial"/>
          <w:bCs/>
          <w:szCs w:val="24"/>
          <w:lang w:val="en" w:eastAsia="en-GB"/>
        </w:rPr>
      </w:pPr>
      <w:r w:rsidRPr="00D61F7F">
        <w:rPr>
          <w:rFonts w:ascii="Arial" w:eastAsia="Times New Roman" w:hAnsi="Arial" w:cs="Arial"/>
          <w:bCs/>
          <w:szCs w:val="24"/>
          <w:lang w:val="en" w:eastAsia="en-GB"/>
        </w:rPr>
        <w:t>1.</w:t>
      </w:r>
      <w:r w:rsidRPr="00D61F7F">
        <w:rPr>
          <w:rFonts w:ascii="Arial" w:eastAsia="Times New Roman" w:hAnsi="Arial" w:cs="Arial"/>
          <w:bCs/>
          <w:szCs w:val="24"/>
          <w:lang w:val="en" w:eastAsia="en-GB"/>
        </w:rPr>
        <w:tab/>
        <w:t>Prepare a cell suspension in a balanced salt solution.</w:t>
      </w:r>
    </w:p>
    <w:p w:rsidR="00D61F7F" w:rsidRPr="00D61F7F" w:rsidRDefault="00D61F7F" w:rsidP="00D61F7F">
      <w:pPr>
        <w:suppressAutoHyphens/>
        <w:autoSpaceDN w:val="0"/>
        <w:spacing w:before="120" w:after="120" w:line="480" w:lineRule="auto"/>
        <w:jc w:val="both"/>
        <w:textAlignment w:val="baseline"/>
        <w:rPr>
          <w:rFonts w:ascii="Arial" w:eastAsia="Times New Roman" w:hAnsi="Arial" w:cs="Arial"/>
          <w:bCs/>
          <w:szCs w:val="24"/>
          <w:lang w:val="en" w:eastAsia="en-GB"/>
        </w:rPr>
      </w:pPr>
      <w:r w:rsidRPr="00D61F7F">
        <w:rPr>
          <w:rFonts w:ascii="Arial" w:eastAsia="Times New Roman" w:hAnsi="Arial" w:cs="Arial"/>
          <w:bCs/>
          <w:szCs w:val="24"/>
          <w:lang w:val="en" w:eastAsia="en-GB"/>
        </w:rPr>
        <w:t>2.</w:t>
      </w:r>
      <w:r w:rsidRPr="00D61F7F">
        <w:rPr>
          <w:rFonts w:ascii="Arial" w:eastAsia="Times New Roman" w:hAnsi="Arial" w:cs="Arial"/>
          <w:bCs/>
          <w:szCs w:val="24"/>
          <w:lang w:val="en" w:eastAsia="en-GB"/>
        </w:rPr>
        <w:tab/>
        <w:t>Transfer 0.5 ml of 0.4% Trypan Blue solution (w/v) to a test tube. Add 0.5 ml of the cell suspension (dilution factor =2) and mix thoroughly. Allow to stand for 5 to 15 minutes.</w:t>
      </w:r>
    </w:p>
    <w:p w:rsidR="00D61F7F" w:rsidRPr="00D61F7F" w:rsidRDefault="00D61F7F" w:rsidP="00D61F7F">
      <w:pPr>
        <w:suppressAutoHyphens/>
        <w:autoSpaceDN w:val="0"/>
        <w:spacing w:before="120" w:after="120" w:line="480" w:lineRule="auto"/>
        <w:jc w:val="both"/>
        <w:textAlignment w:val="baseline"/>
        <w:rPr>
          <w:rFonts w:ascii="Arial" w:eastAsia="Times New Roman" w:hAnsi="Arial" w:cs="Arial"/>
          <w:bCs/>
          <w:szCs w:val="24"/>
          <w:lang w:val="en" w:eastAsia="en-GB"/>
        </w:rPr>
      </w:pPr>
      <w:r w:rsidRPr="00D61F7F">
        <w:rPr>
          <w:rFonts w:ascii="Arial" w:eastAsia="Times New Roman" w:hAnsi="Arial" w:cs="Arial"/>
          <w:bCs/>
          <w:szCs w:val="24"/>
          <w:lang w:val="en" w:eastAsia="en-GB"/>
        </w:rPr>
        <w:t>Note: If cells are exposed to Trypan Blue for extended periods of time, viable cells, as well as non-viable cells, may begin to take up dye.</w:t>
      </w:r>
    </w:p>
    <w:p w:rsidR="00D61F7F" w:rsidRPr="00D61F7F" w:rsidRDefault="00D61F7F" w:rsidP="00D61F7F">
      <w:pPr>
        <w:suppressAutoHyphens/>
        <w:autoSpaceDN w:val="0"/>
        <w:spacing w:before="120" w:after="120" w:line="480" w:lineRule="auto"/>
        <w:jc w:val="both"/>
        <w:textAlignment w:val="baseline"/>
        <w:rPr>
          <w:rFonts w:ascii="Arial" w:eastAsia="Times New Roman" w:hAnsi="Arial" w:cs="Arial"/>
          <w:bCs/>
          <w:szCs w:val="24"/>
          <w:lang w:val="en" w:eastAsia="en-GB"/>
        </w:rPr>
      </w:pPr>
      <w:r w:rsidRPr="00D61F7F">
        <w:rPr>
          <w:rFonts w:ascii="Arial" w:eastAsia="Times New Roman" w:hAnsi="Arial" w:cs="Arial"/>
          <w:bCs/>
          <w:szCs w:val="24"/>
          <w:lang w:val="en" w:eastAsia="en-GB"/>
        </w:rPr>
        <w:lastRenderedPageBreak/>
        <w:t>3.</w:t>
      </w:r>
      <w:r w:rsidRPr="00D61F7F">
        <w:rPr>
          <w:rFonts w:ascii="Arial" w:eastAsia="Times New Roman" w:hAnsi="Arial" w:cs="Arial"/>
          <w:bCs/>
          <w:szCs w:val="24"/>
          <w:lang w:val="en" w:eastAsia="en-GB"/>
        </w:rPr>
        <w:tab/>
        <w:t>With the cover-slip in place, use a pipette to transfer a small amount of Trypan Blue-cell suspension mixture to both chambers of the haemacytometer. Carefully touch the edge of the cover-slip with the pipette tip and allow each chamber to fill by capillary action. Do not overfill or underfill the chambers.</w:t>
      </w:r>
    </w:p>
    <w:p w:rsidR="00D61F7F" w:rsidRPr="00D61F7F" w:rsidRDefault="00D61F7F" w:rsidP="00D61F7F">
      <w:pPr>
        <w:suppressAutoHyphens/>
        <w:autoSpaceDN w:val="0"/>
        <w:spacing w:before="120" w:after="120" w:line="480" w:lineRule="auto"/>
        <w:jc w:val="both"/>
        <w:textAlignment w:val="baseline"/>
        <w:rPr>
          <w:rFonts w:ascii="Arial" w:eastAsia="Times New Roman" w:hAnsi="Arial" w:cs="Arial"/>
          <w:bCs/>
          <w:szCs w:val="24"/>
          <w:lang w:val="en" w:eastAsia="en-GB"/>
        </w:rPr>
      </w:pPr>
      <w:r w:rsidRPr="00D61F7F">
        <w:rPr>
          <w:rFonts w:ascii="Arial" w:eastAsia="Times New Roman" w:hAnsi="Arial" w:cs="Arial"/>
          <w:bCs/>
          <w:szCs w:val="24"/>
          <w:lang w:val="en" w:eastAsia="en-GB"/>
        </w:rPr>
        <w:t>4.</w:t>
      </w:r>
      <w:r w:rsidRPr="00D61F7F">
        <w:rPr>
          <w:rFonts w:ascii="Arial" w:eastAsia="Times New Roman" w:hAnsi="Arial" w:cs="Arial"/>
          <w:bCs/>
          <w:szCs w:val="24"/>
          <w:lang w:val="en" w:eastAsia="en-GB"/>
        </w:rPr>
        <w:tab/>
        <w:t>Starting with chamber 1 of the haemacytometer, count all the cells in the 1 mm centre square and four 1 mm corner squares (see Diagram I). Non-viable cells will stain blue. Keep a separate count of viable and non-viable cells.</w:t>
      </w:r>
    </w:p>
    <w:p w:rsidR="00D61F7F" w:rsidRPr="00D61F7F" w:rsidRDefault="00D61F7F" w:rsidP="00D61F7F">
      <w:pPr>
        <w:suppressAutoHyphens/>
        <w:autoSpaceDN w:val="0"/>
        <w:spacing w:before="120" w:after="120" w:line="480" w:lineRule="auto"/>
        <w:jc w:val="both"/>
        <w:textAlignment w:val="baseline"/>
        <w:rPr>
          <w:rFonts w:ascii="Arial" w:eastAsia="Times New Roman" w:hAnsi="Arial" w:cs="Arial"/>
          <w:bCs/>
          <w:szCs w:val="24"/>
          <w:lang w:val="en" w:eastAsia="en-GB"/>
        </w:rPr>
      </w:pPr>
      <w:r w:rsidRPr="00D61F7F">
        <w:rPr>
          <w:rFonts w:ascii="Arial" w:eastAsia="Times New Roman" w:hAnsi="Arial" w:cs="Arial"/>
          <w:bCs/>
          <w:szCs w:val="24"/>
          <w:lang w:val="en" w:eastAsia="en-GB"/>
        </w:rPr>
        <w:t>Note: Count cells on top and left touching middle line of the perimeter of each square. Do not count cells touching the middle line at bottom and right sides (see Diagram II)</w:t>
      </w:r>
      <w:proofErr w:type="gramStart"/>
      <w:r w:rsidRPr="00D61F7F">
        <w:rPr>
          <w:rFonts w:ascii="Arial" w:eastAsia="Times New Roman" w:hAnsi="Arial" w:cs="Arial"/>
          <w:bCs/>
          <w:szCs w:val="24"/>
          <w:lang w:val="en" w:eastAsia="en-GB"/>
        </w:rPr>
        <w:t>.</w:t>
      </w:r>
      <w:proofErr w:type="gramEnd"/>
    </w:p>
    <w:p w:rsidR="00D61F7F" w:rsidRPr="00D61F7F" w:rsidRDefault="00D61F7F" w:rsidP="00D61F7F">
      <w:pPr>
        <w:suppressAutoHyphens/>
        <w:autoSpaceDN w:val="0"/>
        <w:spacing w:before="120" w:after="120" w:line="480" w:lineRule="auto"/>
        <w:jc w:val="both"/>
        <w:textAlignment w:val="baseline"/>
        <w:rPr>
          <w:rFonts w:ascii="Arial" w:eastAsia="Times New Roman" w:hAnsi="Arial" w:cs="Arial"/>
          <w:bCs/>
          <w:szCs w:val="24"/>
          <w:lang w:val="en" w:eastAsia="en-GB"/>
        </w:rPr>
      </w:pPr>
      <w:r w:rsidRPr="00D61F7F">
        <w:rPr>
          <w:rFonts w:ascii="Arial" w:eastAsia="Times New Roman" w:hAnsi="Arial" w:cs="Arial"/>
          <w:bCs/>
          <w:szCs w:val="24"/>
          <w:lang w:val="en" w:eastAsia="en-GB"/>
        </w:rPr>
        <w:t>5.</w:t>
      </w:r>
      <w:r w:rsidRPr="00D61F7F">
        <w:rPr>
          <w:rFonts w:ascii="Arial" w:eastAsia="Times New Roman" w:hAnsi="Arial" w:cs="Arial"/>
          <w:bCs/>
          <w:szCs w:val="24"/>
          <w:lang w:val="en" w:eastAsia="en-GB"/>
        </w:rPr>
        <w:tab/>
        <w:t>Repeat this procedure for chamber 2.</w:t>
      </w:r>
    </w:p>
    <w:p w:rsidR="00D61F7F" w:rsidRPr="00D61F7F" w:rsidRDefault="00D61F7F" w:rsidP="00D61F7F">
      <w:pPr>
        <w:suppressAutoHyphens/>
        <w:autoSpaceDN w:val="0"/>
        <w:spacing w:before="120" w:after="120" w:line="480" w:lineRule="auto"/>
        <w:jc w:val="both"/>
        <w:textAlignment w:val="baseline"/>
        <w:rPr>
          <w:rFonts w:ascii="Arial" w:eastAsia="Times New Roman" w:hAnsi="Arial" w:cs="Arial"/>
          <w:bCs/>
          <w:szCs w:val="24"/>
          <w:lang w:val="en" w:eastAsia="en-GB"/>
        </w:rPr>
      </w:pPr>
      <w:r w:rsidRPr="00D61F7F">
        <w:rPr>
          <w:rFonts w:ascii="Arial" w:eastAsia="Times New Roman" w:hAnsi="Arial" w:cs="Arial"/>
          <w:bCs/>
          <w:szCs w:val="24"/>
          <w:lang w:val="en" w:eastAsia="en-GB"/>
        </w:rPr>
        <w:t>Note: If greater than 10% of the cells appear clustered, repeat entire procedure making sure the cells are dispersed by vigorous pipetting in the original cell suspension as well as the Trypan Blue-cell suspension mixture. If less than 200 or greater than 500 cells (i.e. 20–50 cells/square) are observed in the 10 squares, repeat the procedure adjusting to an appropriate dilution factor.</w:t>
      </w:r>
    </w:p>
    <w:p w:rsidR="00D61F7F" w:rsidRPr="00D61F7F" w:rsidRDefault="00D61F7F" w:rsidP="00D61F7F">
      <w:pPr>
        <w:suppressAutoHyphens/>
        <w:autoSpaceDN w:val="0"/>
        <w:spacing w:before="120" w:after="120" w:line="480" w:lineRule="auto"/>
        <w:jc w:val="both"/>
        <w:textAlignment w:val="baseline"/>
        <w:rPr>
          <w:rFonts w:ascii="Arial" w:eastAsia="Times New Roman" w:hAnsi="Arial" w:cs="Arial"/>
          <w:bCs/>
          <w:szCs w:val="24"/>
          <w:lang w:val="en" w:eastAsia="en-GB"/>
        </w:rPr>
      </w:pPr>
      <w:r w:rsidRPr="00D61F7F">
        <w:rPr>
          <w:rFonts w:ascii="Arial" w:eastAsia="Times New Roman" w:hAnsi="Arial" w:cs="Arial"/>
          <w:bCs/>
          <w:szCs w:val="24"/>
          <w:lang w:val="en" w:eastAsia="en-GB"/>
        </w:rPr>
        <w:t>3.</w:t>
      </w:r>
      <w:r w:rsidRPr="00D61F7F">
        <w:rPr>
          <w:rFonts w:ascii="Arial" w:eastAsia="Times New Roman" w:hAnsi="Arial" w:cs="Arial"/>
          <w:bCs/>
          <w:szCs w:val="24"/>
          <w:lang w:val="en" w:eastAsia="en-GB"/>
        </w:rPr>
        <w:tab/>
        <w:t>Withdraw a second sample and repeat count procedure to ensure accuracy.</w:t>
      </w:r>
    </w:p>
    <w:p w:rsidR="00E75EA6" w:rsidRPr="00E75EA6" w:rsidRDefault="00E75EA6" w:rsidP="00E75EA6">
      <w:pPr>
        <w:keepNext/>
        <w:keepLines/>
        <w:suppressAutoHyphens/>
        <w:autoSpaceDN w:val="0"/>
        <w:spacing w:before="200" w:after="0"/>
        <w:ind w:left="864" w:hanging="864"/>
        <w:textAlignment w:val="baseline"/>
        <w:rPr>
          <w:rFonts w:ascii="Arial" w:eastAsia="SimSun" w:hAnsi="Arial" w:cs="Times New Roman"/>
          <w:b/>
          <w:bCs/>
          <w:iCs/>
          <w:lang w:val="en" w:eastAsia="en-GB"/>
        </w:rPr>
      </w:pPr>
      <w:r w:rsidRPr="00E75EA6">
        <w:rPr>
          <w:rFonts w:ascii="Arial" w:eastAsia="SimSun" w:hAnsi="Arial" w:cs="Times New Roman"/>
          <w:b/>
          <w:bCs/>
          <w:iCs/>
          <w:lang w:val="en" w:eastAsia="en-GB"/>
        </w:rPr>
        <w:t>To calculate the cell concentration per ml we used the following formula:</w:t>
      </w:r>
    </w:p>
    <w:p w:rsidR="00E75EA6" w:rsidRPr="003156BD" w:rsidRDefault="00E75EA6" w:rsidP="00E75EA6">
      <w:pPr>
        <w:suppressAutoHyphens/>
        <w:autoSpaceDN w:val="0"/>
        <w:spacing w:before="120" w:after="120" w:line="480" w:lineRule="auto"/>
        <w:jc w:val="both"/>
        <w:textAlignment w:val="baseline"/>
        <w:rPr>
          <w:rFonts w:ascii="Arial" w:eastAsia="Times New Roman" w:hAnsi="Arial" w:cs="Arial"/>
          <w:szCs w:val="24"/>
          <w:lang w:eastAsia="zh-CN"/>
        </w:rPr>
      </w:pPr>
      <w:r w:rsidRPr="00E75EA6">
        <w:rPr>
          <w:rFonts w:ascii="Arial" w:eastAsia="Times New Roman" w:hAnsi="Arial" w:cs="Arial"/>
          <w:szCs w:val="24"/>
          <w:lang w:val="en" w:eastAsia="en-GB"/>
        </w:rPr>
        <w:t>Average number of cells in one large square x dilution factor* x 10</w:t>
      </w:r>
      <w:r w:rsidRPr="00E75EA6">
        <w:rPr>
          <w:rFonts w:ascii="Arial" w:eastAsia="Times New Roman" w:hAnsi="Arial" w:cs="Arial"/>
          <w:szCs w:val="24"/>
          <w:vertAlign w:val="superscript"/>
          <w:lang w:val="en" w:eastAsia="en-GB"/>
        </w:rPr>
        <w:t>4</w:t>
      </w:r>
      <w:r w:rsidRPr="00E75EA6">
        <w:rPr>
          <w:rFonts w:ascii="Arial" w:eastAsia="Times New Roman" w:hAnsi="Arial" w:cs="Arial"/>
          <w:szCs w:val="24"/>
          <w:lang w:val="en" w:eastAsia="en-GB"/>
        </w:rPr>
        <w:br/>
        <w:t xml:space="preserve">*dilution factor is usually 2 (1:1 dilution with trypan blue), but </w:t>
      </w:r>
      <w:r w:rsidR="001E4AAC">
        <w:rPr>
          <w:rFonts w:ascii="Arial" w:eastAsia="Times New Roman" w:hAnsi="Arial" w:cs="Arial"/>
          <w:szCs w:val="24"/>
          <w:lang w:val="en" w:eastAsia="en-GB"/>
        </w:rPr>
        <w:t xml:space="preserve">one </w:t>
      </w:r>
      <w:r w:rsidRPr="00E75EA6">
        <w:rPr>
          <w:rFonts w:ascii="Arial" w:eastAsia="Times New Roman" w:hAnsi="Arial" w:cs="Arial"/>
          <w:szCs w:val="24"/>
          <w:lang w:val="en" w:eastAsia="en-GB"/>
        </w:rPr>
        <w:t xml:space="preserve">may need to further dilute </w:t>
      </w:r>
      <w:r w:rsidRPr="003156BD">
        <w:rPr>
          <w:rFonts w:ascii="Arial" w:eastAsia="Times New Roman" w:hAnsi="Arial" w:cs="Arial"/>
          <w:szCs w:val="24"/>
          <w:lang w:val="en" w:eastAsia="en-GB"/>
        </w:rPr>
        <w:t>(or concentrate) cell suspensions.</w:t>
      </w:r>
    </w:p>
    <w:p w:rsidR="00E75EA6" w:rsidRPr="00E75EA6" w:rsidRDefault="00E75EA6" w:rsidP="004770C0">
      <w:pPr>
        <w:suppressAutoHyphens/>
        <w:autoSpaceDN w:val="0"/>
        <w:spacing w:before="120" w:after="120" w:line="480" w:lineRule="auto"/>
        <w:jc w:val="both"/>
        <w:textAlignment w:val="baseline"/>
        <w:rPr>
          <w:rFonts w:ascii="Arial" w:eastAsia="Times New Roman" w:hAnsi="Arial" w:cs="Arial"/>
          <w:szCs w:val="24"/>
          <w:lang w:eastAsia="zh-CN"/>
        </w:rPr>
      </w:pPr>
      <w:r w:rsidRPr="004916CE">
        <w:rPr>
          <w:rFonts w:ascii="Arial" w:eastAsia="Times New Roman" w:hAnsi="Arial" w:cs="Arial"/>
          <w:szCs w:val="24"/>
          <w:lang w:val="en" w:eastAsia="en-GB"/>
        </w:rPr>
        <w:lastRenderedPageBreak/>
        <w:t>10</w:t>
      </w:r>
      <w:r w:rsidRPr="004916CE">
        <w:rPr>
          <w:rFonts w:ascii="Arial" w:eastAsia="Times New Roman" w:hAnsi="Arial" w:cs="Arial"/>
          <w:szCs w:val="24"/>
          <w:vertAlign w:val="superscript"/>
          <w:lang w:val="en" w:eastAsia="en-GB"/>
        </w:rPr>
        <w:t>4</w:t>
      </w:r>
      <w:r w:rsidRPr="004916CE">
        <w:rPr>
          <w:rFonts w:ascii="Arial" w:eastAsia="Times New Roman" w:hAnsi="Arial" w:cs="Arial"/>
          <w:szCs w:val="24"/>
          <w:lang w:val="en" w:eastAsia="en-GB"/>
        </w:rPr>
        <w:t xml:space="preserve"> = conversion factor to convert 10</w:t>
      </w:r>
      <w:r w:rsidRPr="004916CE">
        <w:rPr>
          <w:rFonts w:ascii="Arial" w:eastAsia="Times New Roman" w:hAnsi="Arial" w:cs="Arial"/>
          <w:szCs w:val="24"/>
          <w:vertAlign w:val="superscript"/>
          <w:lang w:val="en" w:eastAsia="en-GB"/>
        </w:rPr>
        <w:t>-4</w:t>
      </w:r>
      <w:r w:rsidRPr="004916CE">
        <w:rPr>
          <w:rFonts w:ascii="Arial" w:eastAsia="Times New Roman" w:hAnsi="Arial" w:cs="Arial"/>
          <w:szCs w:val="24"/>
          <w:lang w:val="en" w:eastAsia="en-GB"/>
        </w:rPr>
        <w:t xml:space="preserve">ml to 1ml (refer to </w:t>
      </w:r>
      <w:r w:rsidR="000E1261" w:rsidRPr="004916CE">
        <w:rPr>
          <w:rFonts w:ascii="Arial" w:eastAsia="Times New Roman" w:hAnsi="Arial" w:cs="Arial"/>
          <w:szCs w:val="24"/>
          <w:shd w:val="clear" w:color="auto" w:fill="FFFF00"/>
          <w:lang w:val="en" w:eastAsia="en-GB"/>
        </w:rPr>
        <w:fldChar w:fldCharType="begin"/>
      </w:r>
      <w:r w:rsidR="000E1261" w:rsidRPr="004916CE">
        <w:rPr>
          <w:rFonts w:ascii="Arial" w:eastAsia="Times New Roman" w:hAnsi="Arial" w:cs="Arial"/>
          <w:szCs w:val="24"/>
          <w:lang w:val="en" w:eastAsia="en-GB"/>
        </w:rPr>
        <w:instrText xml:space="preserve"> REF _Ref361133166 \h </w:instrText>
      </w:r>
      <w:r w:rsidR="006707B7" w:rsidRPr="004916CE">
        <w:rPr>
          <w:rFonts w:ascii="Arial" w:eastAsia="Times New Roman" w:hAnsi="Arial" w:cs="Arial"/>
          <w:szCs w:val="24"/>
          <w:shd w:val="clear" w:color="auto" w:fill="FFFF00"/>
          <w:lang w:val="en" w:eastAsia="en-GB"/>
        </w:rPr>
        <w:instrText xml:space="preserve"> \* MERGEFORMAT </w:instrText>
      </w:r>
      <w:r w:rsidR="000E1261" w:rsidRPr="004916CE">
        <w:rPr>
          <w:rFonts w:ascii="Arial" w:eastAsia="Times New Roman" w:hAnsi="Arial" w:cs="Arial"/>
          <w:szCs w:val="24"/>
          <w:shd w:val="clear" w:color="auto" w:fill="FFFF00"/>
          <w:lang w:val="en" w:eastAsia="en-GB"/>
        </w:rPr>
      </w:r>
      <w:r w:rsidR="000E1261" w:rsidRPr="004916CE">
        <w:rPr>
          <w:rFonts w:ascii="Arial" w:eastAsia="Times New Roman" w:hAnsi="Arial" w:cs="Arial"/>
          <w:szCs w:val="24"/>
          <w:shd w:val="clear" w:color="auto" w:fill="FFFF00"/>
          <w:lang w:val="en" w:eastAsia="en-GB"/>
        </w:rPr>
        <w:fldChar w:fldCharType="separate"/>
      </w:r>
      <w:r w:rsidR="00374B77" w:rsidRPr="00374B77">
        <w:t xml:space="preserve">Figure </w:t>
      </w:r>
      <w:r w:rsidR="00374B77" w:rsidRPr="00374B77">
        <w:rPr>
          <w:noProof/>
          <w:cs/>
        </w:rPr>
        <w:t>‎</w:t>
      </w:r>
      <w:r w:rsidR="00374B77">
        <w:rPr>
          <w:rFonts w:cstheme="minorBidi"/>
          <w:b/>
          <w:bCs/>
          <w:noProof/>
          <w:sz w:val="20"/>
          <w:szCs w:val="20"/>
        </w:rPr>
        <w:t>4.4</w:t>
      </w:r>
      <w:r w:rsidR="000E1261" w:rsidRPr="004916CE">
        <w:rPr>
          <w:rFonts w:ascii="Arial" w:eastAsia="Times New Roman" w:hAnsi="Arial" w:cs="Arial"/>
          <w:szCs w:val="24"/>
          <w:shd w:val="clear" w:color="auto" w:fill="FFFF00"/>
          <w:lang w:val="en" w:eastAsia="en-GB"/>
        </w:rPr>
        <w:fldChar w:fldCharType="end"/>
      </w:r>
      <w:r w:rsidR="004770C0" w:rsidRPr="004916CE">
        <w:rPr>
          <w:rFonts w:ascii="Arial" w:eastAsia="Times New Roman" w:hAnsi="Arial" w:cs="Arial"/>
          <w:szCs w:val="24"/>
          <w:shd w:val="clear" w:color="auto" w:fill="FFFF00"/>
          <w:lang w:val="en" w:eastAsia="en-GB"/>
        </w:rPr>
        <w:t xml:space="preserve"> </w:t>
      </w:r>
      <w:r w:rsidRPr="004916CE">
        <w:rPr>
          <w:rFonts w:ascii="Arial" w:eastAsia="Times New Roman" w:hAnsi="Arial" w:cs="Arial"/>
          <w:szCs w:val="24"/>
          <w:lang w:val="en" w:eastAsia="en-GB"/>
        </w:rPr>
        <w:t>to view a</w:t>
      </w:r>
      <w:r w:rsidRPr="00E75EA6">
        <w:rPr>
          <w:rFonts w:ascii="Arial" w:eastAsia="Times New Roman" w:hAnsi="Arial" w:cs="Arial"/>
          <w:szCs w:val="24"/>
          <w:lang w:val="en" w:eastAsia="en-GB"/>
        </w:rPr>
        <w:t xml:space="preserve"> diagram of the arrangement and dimensions)</w:t>
      </w:r>
    </w:p>
    <w:p w:rsidR="00E75EA6" w:rsidRPr="00E75EA6" w:rsidRDefault="00E75EA6" w:rsidP="00E75EA6">
      <w:pPr>
        <w:suppressAutoHyphens/>
        <w:autoSpaceDN w:val="0"/>
        <w:spacing w:before="120" w:after="120" w:line="480" w:lineRule="auto"/>
        <w:jc w:val="both"/>
        <w:textAlignment w:val="baseline"/>
        <w:rPr>
          <w:rFonts w:ascii="Arial" w:eastAsia="Times New Roman" w:hAnsi="Arial" w:cs="Arial"/>
          <w:szCs w:val="24"/>
          <w:lang w:val="en" w:eastAsia="en-GB"/>
        </w:rPr>
      </w:pPr>
      <w:r w:rsidRPr="00E75EA6">
        <w:rPr>
          <w:rFonts w:ascii="Arial" w:eastAsia="Times New Roman" w:hAnsi="Arial" w:cs="Arial"/>
          <w:szCs w:val="24"/>
          <w:lang w:val="en" w:eastAsia="en-GB"/>
        </w:rPr>
        <w:t>Calculation of Cell Viability:</w:t>
      </w:r>
    </w:p>
    <w:p w:rsidR="00E75EA6" w:rsidRPr="00E75EA6" w:rsidRDefault="00E75EA6" w:rsidP="00E75EA6">
      <w:pPr>
        <w:suppressAutoHyphens/>
        <w:autoSpaceDN w:val="0"/>
        <w:spacing w:before="120" w:after="120" w:line="480" w:lineRule="auto"/>
        <w:jc w:val="both"/>
        <w:textAlignment w:val="baseline"/>
        <w:rPr>
          <w:rFonts w:ascii="Arial" w:eastAsia="Times New Roman" w:hAnsi="Arial" w:cs="Arial"/>
          <w:szCs w:val="24"/>
          <w:lang w:eastAsia="zh-CN"/>
        </w:rPr>
      </w:pPr>
      <w:r w:rsidRPr="00E75EA6">
        <w:rPr>
          <w:rFonts w:ascii="Arial" w:eastAsia="SimSun" w:hAnsi="Arial" w:cs="Arial"/>
          <w:noProof/>
          <w:szCs w:val="24"/>
          <w:lang w:eastAsia="en-GB"/>
        </w:rPr>
        <mc:AlternateContent>
          <mc:Choice Requires="wps">
            <w:drawing>
              <wp:anchor distT="0" distB="0" distL="114300" distR="114300" simplePos="0" relativeHeight="251792384" behindDoc="0" locked="0" layoutInCell="1" allowOverlap="1" wp14:anchorId="30F6FEDE" wp14:editId="0E9C4D43">
                <wp:simplePos x="0" y="0"/>
                <wp:positionH relativeFrom="column">
                  <wp:posOffset>-116201</wp:posOffset>
                </wp:positionH>
                <wp:positionV relativeFrom="paragraph">
                  <wp:posOffset>21588</wp:posOffset>
                </wp:positionV>
                <wp:extent cx="4761866" cy="855978"/>
                <wp:effectExtent l="0" t="0" r="19684" b="20322"/>
                <wp:wrapNone/>
                <wp:docPr id="280" name="Text Box 307"/>
                <wp:cNvGraphicFramePr/>
                <a:graphic xmlns:a="http://schemas.openxmlformats.org/drawingml/2006/main">
                  <a:graphicData uri="http://schemas.microsoft.com/office/word/2010/wordprocessingShape">
                    <wps:wsp>
                      <wps:cNvSpPr txBox="1"/>
                      <wps:spPr>
                        <a:xfrm>
                          <a:off x="0" y="0"/>
                          <a:ext cx="4761866" cy="855978"/>
                        </a:xfrm>
                        <a:prstGeom prst="rect">
                          <a:avLst/>
                        </a:prstGeom>
                        <a:solidFill>
                          <a:srgbClr val="FFFFFF"/>
                        </a:solidFill>
                        <a:ln w="9528">
                          <a:solidFill>
                            <a:srgbClr val="000000"/>
                          </a:solidFill>
                          <a:prstDash val="solid"/>
                        </a:ln>
                      </wps:spPr>
                      <wps:txbx>
                        <w:txbxContent>
                          <w:p w:rsidR="003208E6" w:rsidRDefault="003208E6" w:rsidP="00E75EA6">
                            <w:pPr>
                              <w:spacing w:line="240" w:lineRule="auto"/>
                              <w:rPr>
                                <w:lang w:val="en" w:eastAsia="en-GB"/>
                              </w:rPr>
                            </w:pPr>
                            <w:r>
                              <w:rPr>
                                <w:lang w:val="en" w:eastAsia="en-GB"/>
                              </w:rPr>
                              <w:t>No. of Viable Cells</w:t>
                            </w:r>
                          </w:p>
                          <w:p w:rsidR="003208E6" w:rsidRDefault="003208E6" w:rsidP="00E75EA6">
                            <w:pPr>
                              <w:spacing w:line="240" w:lineRule="auto"/>
                              <w:ind w:left="2880" w:firstLine="720"/>
                              <w:rPr>
                                <w:lang w:val="en" w:eastAsia="en-GB"/>
                              </w:rPr>
                            </w:pPr>
                            <w:r>
                              <w:rPr>
                                <w:lang w:val="en" w:eastAsia="en-GB"/>
                              </w:rPr>
                              <w:t>X 100   =   % of viable cells</w:t>
                            </w:r>
                          </w:p>
                          <w:p w:rsidR="003208E6" w:rsidRDefault="003208E6" w:rsidP="00E75EA6">
                            <w:pPr>
                              <w:spacing w:line="240" w:lineRule="auto"/>
                            </w:pPr>
                            <w:r>
                              <w:rPr>
                                <w:lang w:val="en" w:eastAsia="en-GB"/>
                              </w:rPr>
                              <w:t>Total Cells Counted (viable</w:t>
                            </w:r>
                          </w:p>
                        </w:txbxContent>
                      </wps:txbx>
                      <wps:bodyPr vert="horz" wrap="square" lIns="91440" tIns="45720" rIns="91440" bIns="45720" anchor="t" anchorCtr="0" compatLnSpc="0">
                        <a:spAutoFit/>
                      </wps:bodyPr>
                    </wps:wsp>
                  </a:graphicData>
                </a:graphic>
              </wp:anchor>
            </w:drawing>
          </mc:Choice>
          <mc:Fallback>
            <w:pict>
              <v:shape id="Text Box 307" o:spid="_x0000_s1050" type="#_x0000_t202" style="position:absolute;left:0;text-align:left;margin-left:-9.15pt;margin-top:1.7pt;width:374.95pt;height:67.4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" strokeweight=".26467mm">
                <v:textbox style="mso-fit-shape-to-text:t">
                  <w:txbxContent>
                    <w:p w:rsidR="003208E6" w:rsidRDefault="003208E6" w:rsidP="00E75EA6">
                      <w:pPr>
                        <w:spacing w:line="240" w:lineRule="auto"/>
                        <w:rPr>
                          <w:lang w:val="en" w:eastAsia="en-GB"/>
                        </w:rPr>
                      </w:pPr>
                      <w:r>
                        <w:rPr>
                          <w:lang w:val="en" w:eastAsia="en-GB"/>
                        </w:rPr>
                        <w:t>No. of Viable Cells</w:t>
                      </w:r>
                    </w:p>
                    <w:p w:rsidR="003208E6" w:rsidRDefault="003208E6" w:rsidP="00E75EA6">
                      <w:pPr>
                        <w:spacing w:line="240" w:lineRule="auto"/>
                        <w:ind w:left="2880" w:firstLine="720"/>
                        <w:rPr>
                          <w:lang w:val="en" w:eastAsia="en-GB"/>
                        </w:rPr>
                      </w:pPr>
                      <w:r>
                        <w:rPr>
                          <w:lang w:val="en" w:eastAsia="en-GB"/>
                        </w:rPr>
                        <w:t>X 100   =   % of viable cells</w:t>
                      </w:r>
                    </w:p>
                    <w:p w:rsidR="003208E6" w:rsidRDefault="003208E6" w:rsidP="00E75EA6">
                      <w:pPr>
                        <w:spacing w:line="240" w:lineRule="auto"/>
                      </w:pPr>
                      <w:r>
                        <w:rPr>
                          <w:lang w:val="en" w:eastAsia="en-GB"/>
                        </w:rPr>
                        <w:t>Total Cells Counted (viable</w:t>
                      </w:r>
                    </w:p>
                  </w:txbxContent>
                </v:textbox>
              </v:shape>
            </w:pict>
          </mc:Fallback>
        </mc:AlternateContent>
      </w:r>
    </w:p>
    <w:p w:rsidR="00E75EA6" w:rsidRPr="00E75EA6" w:rsidRDefault="00E75EA6" w:rsidP="00E75EA6">
      <w:pPr>
        <w:suppressAutoHyphens/>
        <w:autoSpaceDN w:val="0"/>
        <w:spacing w:before="120" w:after="120" w:line="480" w:lineRule="auto"/>
        <w:jc w:val="both"/>
        <w:textAlignment w:val="baseline"/>
        <w:rPr>
          <w:rFonts w:ascii="Arial" w:eastAsia="Times New Roman" w:hAnsi="Arial" w:cs="Arial"/>
          <w:szCs w:val="24"/>
          <w:lang w:eastAsia="zh-CN"/>
        </w:rPr>
      </w:pPr>
      <w:r w:rsidRPr="00E75EA6">
        <w:rPr>
          <w:rFonts w:ascii="Arial" w:eastAsia="SimSun" w:hAnsi="Arial" w:cs="Arial"/>
          <w:noProof/>
          <w:szCs w:val="24"/>
          <w:lang w:eastAsia="en-GB"/>
        </w:rPr>
        <mc:AlternateContent>
          <mc:Choice Requires="wps">
            <w:drawing>
              <wp:anchor distT="0" distB="0" distL="114300" distR="114300" simplePos="0" relativeHeight="251794432" behindDoc="0" locked="0" layoutInCell="1" allowOverlap="1" wp14:anchorId="1D4CC92D" wp14:editId="25CE81EA">
                <wp:simplePos x="0" y="0"/>
                <wp:positionH relativeFrom="column">
                  <wp:posOffset>-116201</wp:posOffset>
                </wp:positionH>
                <wp:positionV relativeFrom="paragraph">
                  <wp:posOffset>99697</wp:posOffset>
                </wp:positionV>
                <wp:extent cx="2285368" cy="0"/>
                <wp:effectExtent l="0" t="0" r="19682" b="19050"/>
                <wp:wrapNone/>
                <wp:docPr id="281" name="Straight Connector 37"/>
                <wp:cNvGraphicFramePr/>
                <a:graphic xmlns:a="http://schemas.openxmlformats.org/drawingml/2006/main">
                  <a:graphicData uri="http://schemas.microsoft.com/office/word/2010/wordprocessingShape">
                    <wps:wsp>
                      <wps:cNvCnPr/>
                      <wps:spPr>
                        <a:xfrm flipH="1">
                          <a:off x="0" y="0"/>
                          <a:ext cx="2285368" cy="0"/>
                        </a:xfrm>
                        <a:prstGeom prst="straightConnector1">
                          <a:avLst/>
                        </a:prstGeom>
                        <a:noFill/>
                        <a:ln w="9528">
                          <a:solidFill>
                            <a:srgbClr val="4A7EBB"/>
                          </a:solidFill>
                          <a:prstDash val="solid"/>
                        </a:ln>
                      </wps:spPr>
                      <wps:bodyPr/>
                    </wps:wsp>
                  </a:graphicData>
                </a:graphic>
              </wp:anchor>
            </w:drawing>
          </mc:Choice>
          <mc:Fallback>
            <w:pict>
              <v:shapetype id="_x0000_t32" coordsize="21600,21600" o:spt="32" o:oned="t" path="m,l21600,21600e" filled="f">
                <v:path arrowok="t" fillok="f" o:connecttype="none"/>
                <o:lock v:ext="edit" shapetype="t"/>
              </v:shapetype>
              <v:shape id="Straight Connector 37" o:spid="_x0000_s1026" type="#_x0000_t32" style="position:absolute;margin-left:-9.15pt;margin-top:7.85pt;width:179.95pt;height:0;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" strokecolor="#4a7ebb" strokeweight=".26467mm"/>
            </w:pict>
          </mc:Fallback>
        </mc:AlternateContent>
      </w:r>
    </w:p>
    <w:p w:rsidR="00E75EA6" w:rsidRPr="00E75EA6" w:rsidRDefault="00E75EA6" w:rsidP="00E75EA6">
      <w:pPr>
        <w:suppressAutoHyphens/>
        <w:autoSpaceDN w:val="0"/>
        <w:spacing w:before="120" w:after="120" w:line="480" w:lineRule="auto"/>
        <w:jc w:val="both"/>
        <w:textAlignment w:val="baseline"/>
        <w:rPr>
          <w:rFonts w:ascii="Arial" w:eastAsia="Times New Roman" w:hAnsi="Arial" w:cs="Arial"/>
          <w:szCs w:val="24"/>
          <w:lang w:val="en" w:eastAsia="en-GB"/>
        </w:rPr>
      </w:pPr>
    </w:p>
    <w:p w:rsidR="00E75EA6" w:rsidRPr="00E75EA6" w:rsidRDefault="00E75EA6" w:rsidP="0070215A">
      <w:pPr>
        <w:pStyle w:val="Heading4"/>
        <w:spacing w:line="480" w:lineRule="auto"/>
        <w:rPr>
          <w:lang w:val="en" w:eastAsia="en-GB"/>
        </w:rPr>
      </w:pPr>
      <w:r w:rsidRPr="00E75EA6">
        <w:rPr>
          <w:lang w:val="en" w:eastAsia="en-GB"/>
        </w:rPr>
        <w:t xml:space="preserve">Haemocytometer </w:t>
      </w:r>
    </w:p>
    <w:p w:rsidR="00177DC7" w:rsidRDefault="00445D5F" w:rsidP="00445D5F">
      <w:pPr>
        <w:suppressAutoHyphens/>
        <w:autoSpaceDN w:val="0"/>
        <w:spacing w:line="480" w:lineRule="auto"/>
        <w:jc w:val="both"/>
        <w:textAlignment w:val="baseline"/>
        <w:rPr>
          <w:rFonts w:eastAsia="Times New Roman" w:cs="Arial"/>
          <w:szCs w:val="24"/>
          <w:lang w:val="en" w:eastAsia="en-GB"/>
        </w:rPr>
      </w:pPr>
      <w:r>
        <w:rPr>
          <w:rFonts w:eastAsia="Times New Roman" w:cs="Arial"/>
          <w:szCs w:val="24"/>
          <w:lang w:val="en" w:eastAsia="en-GB"/>
        </w:rPr>
        <w:t>Pipette trypan blue/cell mix (approximately 10µl) at the edge</w:t>
      </w:r>
      <w:r w:rsidR="004916CE">
        <w:rPr>
          <w:rFonts w:eastAsia="Times New Roman" w:cs="Arial"/>
          <w:szCs w:val="24"/>
          <w:lang w:val="en" w:eastAsia="en-GB"/>
        </w:rPr>
        <w:t xml:space="preserve"> of the cover-slip and allow </w:t>
      </w:r>
      <w:proofErr w:type="gramStart"/>
      <w:r w:rsidR="004916CE">
        <w:rPr>
          <w:rFonts w:eastAsia="Times New Roman" w:cs="Arial"/>
          <w:szCs w:val="24"/>
          <w:lang w:val="en" w:eastAsia="en-GB"/>
        </w:rPr>
        <w:t xml:space="preserve">to </w:t>
      </w:r>
      <w:r>
        <w:rPr>
          <w:rFonts w:eastAsia="Times New Roman" w:cs="Arial"/>
          <w:szCs w:val="24"/>
          <w:lang w:val="en" w:eastAsia="en-GB"/>
        </w:rPr>
        <w:t>run</w:t>
      </w:r>
      <w:proofErr w:type="gramEnd"/>
      <w:r>
        <w:rPr>
          <w:rFonts w:eastAsia="Times New Roman" w:cs="Arial"/>
          <w:szCs w:val="24"/>
          <w:lang w:val="en" w:eastAsia="en-GB"/>
        </w:rPr>
        <w:t xml:space="preserve"> under the cover slip</w:t>
      </w:r>
      <w:r w:rsidR="00E75EA6" w:rsidRPr="00A94686">
        <w:rPr>
          <w:rFonts w:eastAsia="Times New Roman" w:cstheme="minorBidi"/>
          <w:szCs w:val="24"/>
          <w:lang w:val="en" w:eastAsia="en-GB"/>
        </w:rPr>
        <w:t xml:space="preserve"> </w:t>
      </w:r>
      <w:r w:rsidR="000E1261" w:rsidRPr="00A94686">
        <w:rPr>
          <w:rFonts w:eastAsia="Times New Roman" w:cstheme="minorBidi"/>
          <w:szCs w:val="24"/>
          <w:lang w:val="en" w:eastAsia="en-GB"/>
        </w:rPr>
        <w:fldChar w:fldCharType="begin"/>
      </w:r>
      <w:r w:rsidR="000E1261" w:rsidRPr="00A94686">
        <w:rPr>
          <w:rFonts w:eastAsia="Times New Roman" w:cstheme="minorBidi"/>
          <w:szCs w:val="24"/>
          <w:lang w:val="en" w:eastAsia="en-GB"/>
        </w:rPr>
        <w:instrText xml:space="preserve"> REF _Ref361133538 \h </w:instrText>
      </w:r>
      <w:r w:rsidR="00A94686" w:rsidRPr="00A94686">
        <w:rPr>
          <w:rFonts w:eastAsia="Times New Roman" w:cstheme="minorBidi"/>
          <w:szCs w:val="24"/>
          <w:lang w:val="en" w:eastAsia="en-GB"/>
        </w:rPr>
        <w:instrText xml:space="preserve"> \* MERGEFORMAT </w:instrText>
      </w:r>
      <w:r w:rsidR="000E1261" w:rsidRPr="00A94686">
        <w:rPr>
          <w:rFonts w:eastAsia="Times New Roman" w:cstheme="minorBidi"/>
          <w:szCs w:val="24"/>
          <w:lang w:val="en" w:eastAsia="en-GB"/>
        </w:rPr>
      </w:r>
      <w:r w:rsidR="000E1261" w:rsidRPr="00A94686">
        <w:rPr>
          <w:rFonts w:eastAsia="Times New Roman" w:cstheme="minorBidi"/>
          <w:szCs w:val="24"/>
          <w:lang w:val="en" w:eastAsia="en-GB"/>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b/>
          <w:bCs/>
          <w:noProof/>
          <w:sz w:val="20"/>
          <w:szCs w:val="20"/>
        </w:rPr>
        <w:t>4.3</w:t>
      </w:r>
      <w:r w:rsidR="000E1261" w:rsidRPr="00A94686">
        <w:rPr>
          <w:rFonts w:eastAsia="Times New Roman" w:cstheme="minorBidi"/>
          <w:szCs w:val="24"/>
          <w:lang w:val="en" w:eastAsia="en-GB"/>
        </w:rPr>
        <w:fldChar w:fldCharType="end"/>
      </w:r>
      <w:r>
        <w:rPr>
          <w:rFonts w:eastAsia="Times New Roman" w:cstheme="minorBidi"/>
          <w:szCs w:val="24"/>
          <w:lang w:val="en" w:eastAsia="en-GB"/>
        </w:rPr>
        <w:t xml:space="preserve"> </w:t>
      </w:r>
      <w:r>
        <w:rPr>
          <w:rFonts w:eastAsia="Times New Roman" w:cs="Arial"/>
          <w:szCs w:val="24"/>
          <w:lang w:eastAsia="en-GB"/>
        </w:rPr>
        <w:t>F</w:t>
      </w:r>
      <w:r>
        <w:rPr>
          <w:rFonts w:eastAsia="Times New Roman" w:cs="Arial"/>
          <w:szCs w:val="24"/>
          <w:lang w:val="en" w:eastAsia="en-GB"/>
        </w:rPr>
        <w:t>ocussing the haemocytometer grid to be visualised under the microscope, refer to</w:t>
      </w:r>
      <w:r w:rsidR="00E75EA6" w:rsidRPr="00A94686">
        <w:rPr>
          <w:rFonts w:eastAsia="Times New Roman" w:cstheme="minorBidi"/>
          <w:szCs w:val="24"/>
          <w:lang w:val="en" w:eastAsia="en-GB"/>
        </w:rPr>
        <w:t xml:space="preserve"> </w:t>
      </w:r>
      <w:r w:rsidR="00BE5830" w:rsidRPr="00445D5F">
        <w:rPr>
          <w:rFonts w:eastAsia="Times New Roman" w:cstheme="minorBidi"/>
          <w:szCs w:val="24"/>
          <w:lang w:val="en" w:eastAsia="en-GB"/>
        </w:rPr>
        <w:fldChar w:fldCharType="begin"/>
      </w:r>
      <w:r w:rsidR="00BE5830" w:rsidRPr="00445D5F">
        <w:rPr>
          <w:rFonts w:eastAsia="Times New Roman" w:cstheme="minorBidi"/>
          <w:szCs w:val="24"/>
          <w:lang w:val="en" w:eastAsia="en-GB"/>
        </w:rPr>
        <w:instrText xml:space="preserve"> REF _Ref361133166 \h  \* MERGEFORMAT </w:instrText>
      </w:r>
      <w:r w:rsidR="00BE5830" w:rsidRPr="00445D5F">
        <w:rPr>
          <w:rFonts w:eastAsia="Times New Roman" w:cstheme="minorBidi"/>
          <w:szCs w:val="24"/>
          <w:lang w:val="en" w:eastAsia="en-GB"/>
        </w:rPr>
      </w:r>
      <w:r w:rsidR="00BE5830" w:rsidRPr="00445D5F">
        <w:rPr>
          <w:rFonts w:eastAsia="Times New Roman" w:cstheme="minorBidi"/>
          <w:szCs w:val="24"/>
          <w:lang w:val="en" w:eastAsia="en-GB"/>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b/>
          <w:bCs/>
          <w:noProof/>
          <w:sz w:val="20"/>
          <w:szCs w:val="20"/>
        </w:rPr>
        <w:t>4.4</w:t>
      </w:r>
      <w:r w:rsidR="00BE5830" w:rsidRPr="00445D5F">
        <w:rPr>
          <w:rFonts w:eastAsia="Times New Roman" w:cstheme="minorBidi"/>
          <w:szCs w:val="24"/>
          <w:lang w:val="en" w:eastAsia="en-GB"/>
        </w:rPr>
        <w:fldChar w:fldCharType="end"/>
      </w:r>
      <w:r w:rsidR="00BE5830" w:rsidRPr="00445D5F">
        <w:rPr>
          <w:rFonts w:eastAsia="Times New Roman" w:cstheme="minorBidi"/>
          <w:szCs w:val="24"/>
          <w:lang w:val="en" w:eastAsia="en-GB"/>
        </w:rPr>
        <w:t xml:space="preserve"> </w:t>
      </w:r>
      <w:r w:rsidR="00E75EA6" w:rsidRPr="00A94686">
        <w:rPr>
          <w:rFonts w:eastAsia="Times New Roman" w:cstheme="minorBidi"/>
          <w:szCs w:val="24"/>
          <w:lang w:val="en" w:eastAsia="en-GB"/>
        </w:rPr>
        <w:t xml:space="preserve">for </w:t>
      </w:r>
      <w:r>
        <w:rPr>
          <w:rFonts w:eastAsia="Times New Roman" w:cs="Arial"/>
          <w:szCs w:val="24"/>
          <w:lang w:val="en" w:eastAsia="en-GB"/>
        </w:rPr>
        <w:t>layout of grid. The counting cells within the large square and those crossing the edge on two out of the four sides</w:t>
      </w:r>
      <w:r w:rsidR="00E75EA6" w:rsidRPr="00A94686">
        <w:rPr>
          <w:rFonts w:eastAsia="Times New Roman" w:cstheme="minorBidi"/>
          <w:szCs w:val="24"/>
          <w:lang w:val="en" w:eastAsia="en-GB"/>
        </w:rPr>
        <w:t>.</w:t>
      </w:r>
      <w:r w:rsidR="000E1261" w:rsidRPr="00A94686">
        <w:rPr>
          <w:rFonts w:eastAsia="Times New Roman" w:cstheme="minorBidi"/>
          <w:szCs w:val="24"/>
          <w:highlight w:val="yellow"/>
          <w:lang w:val="en" w:eastAsia="en-GB"/>
        </w:rPr>
        <w:fldChar w:fldCharType="begin"/>
      </w:r>
      <w:r w:rsidR="000E1261" w:rsidRPr="00A94686">
        <w:rPr>
          <w:rFonts w:eastAsia="Times New Roman" w:cstheme="minorBidi"/>
          <w:szCs w:val="24"/>
          <w:lang w:val="en" w:eastAsia="en-GB"/>
        </w:rPr>
        <w:instrText xml:space="preserve"> REF _Ref361133479 \h </w:instrText>
      </w:r>
      <w:r w:rsidR="00A94686" w:rsidRPr="00A94686">
        <w:rPr>
          <w:rFonts w:eastAsia="Times New Roman" w:cstheme="minorBidi"/>
          <w:szCs w:val="24"/>
          <w:highlight w:val="yellow"/>
          <w:lang w:val="en" w:eastAsia="en-GB"/>
        </w:rPr>
        <w:instrText xml:space="preserve"> \* MERGEFORMAT </w:instrText>
      </w:r>
      <w:r w:rsidR="000E1261" w:rsidRPr="00A94686">
        <w:rPr>
          <w:rFonts w:eastAsia="Times New Roman" w:cstheme="minorBidi"/>
          <w:szCs w:val="24"/>
          <w:highlight w:val="yellow"/>
          <w:lang w:val="en" w:eastAsia="en-GB"/>
        </w:rPr>
      </w:r>
      <w:r w:rsidR="000E1261" w:rsidRPr="00A94686">
        <w:rPr>
          <w:rFonts w:eastAsia="Times New Roman" w:cstheme="minorBidi"/>
          <w:szCs w:val="24"/>
          <w:highlight w:val="yellow"/>
          <w:lang w:val="en" w:eastAsia="en-GB"/>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b/>
          <w:bCs/>
          <w:noProof/>
          <w:sz w:val="20"/>
          <w:szCs w:val="20"/>
        </w:rPr>
        <w:t>4.5</w:t>
      </w:r>
      <w:r w:rsidR="000E1261" w:rsidRPr="00A94686">
        <w:rPr>
          <w:rFonts w:eastAsia="Times New Roman" w:cstheme="minorBidi"/>
          <w:szCs w:val="24"/>
          <w:highlight w:val="yellow"/>
          <w:lang w:val="en" w:eastAsia="en-GB"/>
        </w:rPr>
        <w:fldChar w:fldCharType="end"/>
      </w:r>
      <w:r w:rsidR="00E75EA6" w:rsidRPr="00A94686">
        <w:rPr>
          <w:rFonts w:eastAsia="Times New Roman" w:cstheme="minorBidi"/>
          <w:szCs w:val="24"/>
          <w:lang w:val="en" w:eastAsia="en-GB"/>
        </w:rPr>
        <w:t xml:space="preserve">. </w:t>
      </w:r>
      <w:r>
        <w:rPr>
          <w:rFonts w:eastAsia="Times New Roman" w:cs="Arial"/>
          <w:szCs w:val="24"/>
          <w:lang w:val="en" w:eastAsia="en-GB"/>
        </w:rPr>
        <w:t>The viable (live) and dead cells were counted in one o</w:t>
      </w:r>
      <w:r w:rsidR="00177DC7">
        <w:rPr>
          <w:rFonts w:eastAsia="Times New Roman" w:cs="Arial"/>
          <w:szCs w:val="24"/>
          <w:lang w:val="en" w:eastAsia="en-GB"/>
        </w:rPr>
        <w:t xml:space="preserve">r more large corner squares and </w:t>
      </w:r>
      <w:r>
        <w:rPr>
          <w:rFonts w:eastAsia="Times New Roman" w:cs="Arial"/>
          <w:szCs w:val="24"/>
          <w:lang w:val="en" w:eastAsia="en-GB"/>
        </w:rPr>
        <w:t>the cell count recorded.</w:t>
      </w:r>
    </w:p>
    <w:p w:rsidR="00177DC7" w:rsidRDefault="00177DC7">
      <w:pPr>
        <w:rPr>
          <w:rFonts w:eastAsia="Times New Roman" w:cs="Arial"/>
          <w:szCs w:val="24"/>
          <w:lang w:val="en" w:eastAsia="en-GB"/>
        </w:rPr>
      </w:pPr>
      <w:r>
        <w:rPr>
          <w:rFonts w:eastAsia="Times New Roman" w:cs="Arial"/>
          <w:szCs w:val="24"/>
          <w:lang w:val="en" w:eastAsia="en-GB"/>
        </w:rPr>
        <w:br w:type="page"/>
      </w:r>
    </w:p>
    <w:p w:rsidR="00E75EA6" w:rsidRPr="00A94686" w:rsidRDefault="00177DC7" w:rsidP="00445D5F">
      <w:pPr>
        <w:suppressAutoHyphens/>
        <w:autoSpaceDN w:val="0"/>
        <w:spacing w:line="480" w:lineRule="auto"/>
        <w:jc w:val="both"/>
        <w:textAlignment w:val="baseline"/>
        <w:rPr>
          <w:rFonts w:eastAsia="Times New Roman" w:cstheme="minorBidi"/>
          <w:szCs w:val="24"/>
          <w:lang w:eastAsia="zh-CN"/>
        </w:rPr>
      </w:pPr>
      <w:r w:rsidRPr="00E75EA6">
        <w:rPr>
          <w:rFonts w:ascii="Arial" w:eastAsia="SimSun" w:hAnsi="Arial" w:cs="Arial"/>
          <w:noProof/>
          <w:szCs w:val="24"/>
          <w:lang w:eastAsia="en-GB"/>
        </w:rPr>
        <w:lastRenderedPageBreak/>
        <w:drawing>
          <wp:anchor distT="0" distB="0" distL="114300" distR="114300" simplePos="0" relativeHeight="251783168" behindDoc="0" locked="0" layoutInCell="1" allowOverlap="1" wp14:anchorId="7E5ABB2E" wp14:editId="79CBD75B">
            <wp:simplePos x="0" y="0"/>
            <wp:positionH relativeFrom="column">
              <wp:posOffset>975360</wp:posOffset>
            </wp:positionH>
            <wp:positionV relativeFrom="paragraph">
              <wp:posOffset>532130</wp:posOffset>
            </wp:positionV>
            <wp:extent cx="3418840" cy="3404235"/>
            <wp:effectExtent l="0" t="0" r="0" b="5715"/>
            <wp:wrapSquare wrapText="bothSides"/>
            <wp:docPr id="289" name="Picture 36" descr="http://3.bp.blogspot.com/_tUQhsS1XUW8/TI9cU2eW-lI/AAAAAAAAAeA/rUKGpHjf7l4/s1600/Biofreaks%252B-%252BGGS%252BLIVE%252B-%252BCell%252Bcount%252B-%252BLoading%252Bhemocytomet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rcRect b="3165"/>
                    <a:stretch>
                      <a:fillRect/>
                    </a:stretch>
                  </pic:blipFill>
                  <pic:spPr>
                    <a:xfrm>
                      <a:off x="0" y="0"/>
                      <a:ext cx="3418840" cy="3404235"/>
                    </a:xfrm>
                    <a:prstGeom prst="rect">
                      <a:avLst/>
                    </a:prstGeom>
                    <a:noFill/>
                    <a:ln>
                      <a:noFill/>
                      <a:prstDash/>
                    </a:ln>
                  </pic:spPr>
                </pic:pic>
              </a:graphicData>
            </a:graphic>
          </wp:anchor>
        </w:drawing>
      </w:r>
      <w:r>
        <w:rPr>
          <w:noProof/>
          <w:lang w:eastAsia="en-GB"/>
        </w:rPr>
        <mc:AlternateContent>
          <mc:Choice Requires="wps">
            <w:drawing>
              <wp:anchor distT="0" distB="0" distL="114300" distR="114300" simplePos="0" relativeHeight="251824128" behindDoc="0" locked="0" layoutInCell="1" allowOverlap="1" wp14:anchorId="1C11C3CF" wp14:editId="70919884">
                <wp:simplePos x="0" y="0"/>
                <wp:positionH relativeFrom="column">
                  <wp:posOffset>171450</wp:posOffset>
                </wp:positionH>
                <wp:positionV relativeFrom="paragraph">
                  <wp:posOffset>344170</wp:posOffset>
                </wp:positionV>
                <wp:extent cx="5305425" cy="457200"/>
                <wp:effectExtent l="0" t="0" r="9525" b="0"/>
                <wp:wrapSquare wrapText="bothSides"/>
                <wp:docPr id="22" name="Text Box 22"/>
                <wp:cNvGraphicFramePr/>
                <a:graphic xmlns:a="http://schemas.openxmlformats.org/drawingml/2006/main">
                  <a:graphicData uri="http://schemas.microsoft.com/office/word/2010/wordprocessingShape">
                    <wps:wsp>
                      <wps:cNvSpPr txBox="1"/>
                      <wps:spPr>
                        <a:xfrm>
                          <a:off x="0" y="0"/>
                          <a:ext cx="5305425" cy="457200"/>
                        </a:xfrm>
                        <a:prstGeom prst="rect">
                          <a:avLst/>
                        </a:prstGeom>
                        <a:solidFill>
                          <a:prstClr val="white"/>
                        </a:solidFill>
                        <a:ln>
                          <a:noFill/>
                        </a:ln>
                        <a:effectLst/>
                      </wps:spPr>
                      <wps:txbx>
                        <w:txbxContent>
                          <w:p w:rsidR="003208E6" w:rsidRPr="00D61F7F" w:rsidRDefault="003208E6" w:rsidP="001D3F19">
                            <w:pPr>
                              <w:rPr>
                                <w:rFonts w:eastAsia="Calibri" w:cstheme="minorBidi"/>
                                <w:b/>
                                <w:bCs/>
                                <w:sz w:val="20"/>
                                <w:szCs w:val="20"/>
                              </w:rPr>
                            </w:pPr>
                            <w:bookmarkStart w:id="693" w:name="_Ref361133538"/>
                            <w:bookmarkStart w:id="694" w:name="_Toc361733636"/>
                            <w:bookmarkStart w:id="695" w:name="_Toc361734279"/>
                            <w:bookmarkStart w:id="696" w:name="_Toc370511675"/>
                            <w:r w:rsidRPr="00D61F7F">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3</w:t>
                            </w:r>
                            <w:r>
                              <w:rPr>
                                <w:rFonts w:cstheme="minorBidi"/>
                                <w:b/>
                                <w:bCs/>
                                <w:sz w:val="20"/>
                                <w:szCs w:val="20"/>
                              </w:rPr>
                              <w:fldChar w:fldCharType="end"/>
                            </w:r>
                            <w:bookmarkEnd w:id="693"/>
                            <w:r w:rsidRPr="00D61F7F">
                              <w:rPr>
                                <w:rFonts w:cstheme="minorBidi"/>
                                <w:b/>
                                <w:bCs/>
                                <w:sz w:val="20"/>
                                <w:szCs w:val="20"/>
                              </w:rPr>
                              <w:t xml:space="preserve"> Illustrate the application of </w:t>
                            </w:r>
                            <w:proofErr w:type="gramStart"/>
                            <w:r w:rsidRPr="00D61F7F">
                              <w:rPr>
                                <w:rFonts w:cstheme="minorBidi"/>
                                <w:b/>
                                <w:bCs/>
                                <w:sz w:val="20"/>
                                <w:szCs w:val="20"/>
                              </w:rPr>
                              <w:t>cells  in</w:t>
                            </w:r>
                            <w:proofErr w:type="gramEnd"/>
                            <w:r w:rsidRPr="00D61F7F">
                              <w:rPr>
                                <w:rFonts w:cstheme="minorBidi"/>
                                <w:b/>
                                <w:bCs/>
                                <w:sz w:val="20"/>
                                <w:szCs w:val="20"/>
                              </w:rPr>
                              <w:t xml:space="preserve"> suspension to haemcytometr count</w:t>
                            </w:r>
                            <w:bookmarkEnd w:id="694"/>
                            <w:bookmarkEnd w:id="695"/>
                            <w:bookmarkEnd w:id="6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51" type="#_x0000_t202" style="position:absolute;left:0;text-align:left;margin-left:13.5pt;margin-top:27.1pt;width:417.75pt;height:36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" stroked="f">
                <v:textbox inset="0,0,0,0">
                  <w:txbxContent>
                    <w:p w:rsidR="003208E6" w:rsidRPr="00D61F7F" w:rsidRDefault="003208E6" w:rsidP="001D3F19">
                      <w:pPr>
                        <w:rPr>
                          <w:rFonts w:eastAsia="Calibri" w:cstheme="minorBidi"/>
                          <w:b/>
                          <w:bCs/>
                          <w:sz w:val="20"/>
                          <w:szCs w:val="20"/>
                        </w:rPr>
                      </w:pPr>
                      <w:bookmarkStart w:id="750" w:name="_Ref361133538"/>
                      <w:bookmarkStart w:id="751" w:name="_Toc361733636"/>
                      <w:bookmarkStart w:id="752" w:name="_Toc361734279"/>
                      <w:bookmarkStart w:id="753" w:name="_Toc370511675"/>
                      <w:r w:rsidRPr="00D61F7F">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3</w:t>
                      </w:r>
                      <w:r>
                        <w:rPr>
                          <w:rFonts w:cstheme="minorBidi"/>
                          <w:b/>
                          <w:bCs/>
                          <w:sz w:val="20"/>
                          <w:szCs w:val="20"/>
                        </w:rPr>
                        <w:fldChar w:fldCharType="end"/>
                      </w:r>
                      <w:bookmarkEnd w:id="750"/>
                      <w:r w:rsidRPr="00D61F7F">
                        <w:rPr>
                          <w:rFonts w:cstheme="minorBidi"/>
                          <w:b/>
                          <w:bCs/>
                          <w:sz w:val="20"/>
                          <w:szCs w:val="20"/>
                        </w:rPr>
                        <w:t xml:space="preserve"> Illustrate the application of cells  in suspension to haemcytometr count</w:t>
                      </w:r>
                      <w:bookmarkEnd w:id="751"/>
                      <w:bookmarkEnd w:id="752"/>
                      <w:bookmarkEnd w:id="753"/>
                    </w:p>
                  </w:txbxContent>
                </v:textbox>
                <w10:wrap type="square"/>
              </v:shape>
            </w:pict>
          </mc:Fallback>
        </mc:AlternateContent>
      </w:r>
    </w:p>
    <w:p w:rsidR="00E75EA6" w:rsidRPr="00E75EA6" w:rsidRDefault="00E75EA6" w:rsidP="00E75EA6">
      <w:pPr>
        <w:suppressAutoHyphens/>
        <w:autoSpaceDN w:val="0"/>
        <w:spacing w:line="480" w:lineRule="auto"/>
        <w:jc w:val="both"/>
        <w:textAlignment w:val="baseline"/>
        <w:rPr>
          <w:rFonts w:ascii="Arial" w:eastAsia="Times New Roman" w:hAnsi="Arial" w:cs="Arial"/>
          <w:szCs w:val="24"/>
          <w:lang w:eastAsia="zh-CN"/>
        </w:rPr>
      </w:pPr>
      <w:r w:rsidRPr="00E75EA6">
        <w:rPr>
          <w:rFonts w:ascii="Arial" w:eastAsia="Times New Roman" w:hAnsi="Arial" w:cs="Arial"/>
          <w:szCs w:val="24"/>
          <w:lang w:val="en" w:eastAsia="en-GB"/>
        </w:rPr>
        <w:br/>
      </w:r>
      <w:r w:rsidRPr="00E75EA6">
        <w:rPr>
          <w:rFonts w:ascii="Arial" w:eastAsia="Times New Roman" w:hAnsi="Arial" w:cs="Arial"/>
          <w:szCs w:val="24"/>
          <w:lang w:val="en" w:eastAsia="en-GB"/>
        </w:rPr>
        <w:br/>
      </w:r>
    </w:p>
    <w:p w:rsidR="00E75EA6" w:rsidRPr="00E75EA6" w:rsidRDefault="00E75EA6" w:rsidP="00E75EA6">
      <w:pPr>
        <w:suppressAutoHyphens/>
        <w:autoSpaceDN w:val="0"/>
        <w:spacing w:line="480" w:lineRule="auto"/>
        <w:jc w:val="both"/>
        <w:textAlignment w:val="baseline"/>
        <w:rPr>
          <w:rFonts w:ascii="Arial" w:eastAsia="Calibri" w:hAnsi="Arial" w:cs="Arial"/>
          <w:szCs w:val="24"/>
        </w:rPr>
      </w:pPr>
    </w:p>
    <w:p w:rsidR="00E75EA6" w:rsidRPr="00E75EA6" w:rsidRDefault="00E75EA6" w:rsidP="00E75EA6">
      <w:pPr>
        <w:suppressAutoHyphens/>
        <w:autoSpaceDN w:val="0"/>
        <w:spacing w:line="480" w:lineRule="auto"/>
        <w:jc w:val="both"/>
        <w:textAlignment w:val="baseline"/>
        <w:rPr>
          <w:rFonts w:ascii="Arial" w:eastAsia="Calibri" w:hAnsi="Arial" w:cs="Arial"/>
          <w:szCs w:val="24"/>
        </w:rPr>
      </w:pPr>
    </w:p>
    <w:p w:rsidR="00E75EA6" w:rsidRPr="00E75EA6" w:rsidRDefault="00E75EA6" w:rsidP="00E75EA6">
      <w:pPr>
        <w:suppressAutoHyphens/>
        <w:autoSpaceDN w:val="0"/>
        <w:spacing w:line="480" w:lineRule="auto"/>
        <w:jc w:val="both"/>
        <w:textAlignment w:val="baseline"/>
        <w:rPr>
          <w:rFonts w:ascii="Arial" w:eastAsia="Calibri" w:hAnsi="Arial" w:cs="Arial"/>
          <w:szCs w:val="24"/>
        </w:rPr>
      </w:pPr>
    </w:p>
    <w:p w:rsidR="00E75EA6" w:rsidRPr="00E75EA6" w:rsidRDefault="00E75EA6" w:rsidP="00E75EA6">
      <w:pPr>
        <w:suppressAutoHyphens/>
        <w:autoSpaceDN w:val="0"/>
        <w:spacing w:line="480" w:lineRule="auto"/>
        <w:jc w:val="both"/>
        <w:textAlignment w:val="baseline"/>
        <w:rPr>
          <w:rFonts w:ascii="Arial" w:eastAsia="Calibri" w:hAnsi="Arial" w:cs="Arial"/>
          <w:szCs w:val="24"/>
        </w:rPr>
      </w:pPr>
    </w:p>
    <w:p w:rsidR="00E75EA6" w:rsidRPr="00E75EA6" w:rsidRDefault="00E75EA6" w:rsidP="00E75EA6">
      <w:pPr>
        <w:suppressAutoHyphens/>
        <w:autoSpaceDN w:val="0"/>
        <w:spacing w:line="480" w:lineRule="auto"/>
        <w:jc w:val="both"/>
        <w:textAlignment w:val="baseline"/>
        <w:rPr>
          <w:rFonts w:ascii="Arial" w:eastAsia="Times New Roman" w:hAnsi="Arial" w:cs="Arial"/>
          <w:szCs w:val="24"/>
          <w:lang w:eastAsia="zh-CN"/>
        </w:rPr>
      </w:pPr>
    </w:p>
    <w:p w:rsidR="00E75EA6" w:rsidRPr="00E75EA6" w:rsidRDefault="00BE5830" w:rsidP="00E75EA6">
      <w:pPr>
        <w:suppressAutoHyphens/>
        <w:autoSpaceDN w:val="0"/>
        <w:spacing w:line="480" w:lineRule="auto"/>
        <w:jc w:val="both"/>
        <w:textAlignment w:val="baseline"/>
        <w:rPr>
          <w:rFonts w:ascii="Arial" w:eastAsia="Times New Roman" w:hAnsi="Arial" w:cs="Arial"/>
          <w:szCs w:val="24"/>
          <w:lang w:eastAsia="zh-CN"/>
        </w:rPr>
      </w:pPr>
      <w:r>
        <w:rPr>
          <w:noProof/>
          <w:lang w:eastAsia="en-GB"/>
        </w:rPr>
        <mc:AlternateContent>
          <mc:Choice Requires="wps">
            <w:drawing>
              <wp:anchor distT="0" distB="0" distL="114300" distR="114300" simplePos="0" relativeHeight="251826176" behindDoc="0" locked="0" layoutInCell="1" allowOverlap="1" wp14:anchorId="1C94E243" wp14:editId="16B8E3CF">
                <wp:simplePos x="0" y="0"/>
                <wp:positionH relativeFrom="column">
                  <wp:posOffset>447675</wp:posOffset>
                </wp:positionH>
                <wp:positionV relativeFrom="paragraph">
                  <wp:posOffset>-447675</wp:posOffset>
                </wp:positionV>
                <wp:extent cx="4876800" cy="457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876800" cy="457200"/>
                        </a:xfrm>
                        <a:prstGeom prst="rect">
                          <a:avLst/>
                        </a:prstGeom>
                        <a:solidFill>
                          <a:prstClr val="white"/>
                        </a:solidFill>
                        <a:ln>
                          <a:noFill/>
                        </a:ln>
                        <a:effectLst/>
                      </wps:spPr>
                      <wps:txbx>
                        <w:txbxContent>
                          <w:p w:rsidR="003208E6" w:rsidRPr="00D61F7F" w:rsidRDefault="003208E6" w:rsidP="001D3F19">
                            <w:pPr>
                              <w:rPr>
                                <w:rFonts w:eastAsia="SimSun" w:cstheme="minorBidi"/>
                                <w:b/>
                                <w:bCs/>
                                <w:sz w:val="20"/>
                                <w:szCs w:val="20"/>
                              </w:rPr>
                            </w:pPr>
                            <w:bookmarkStart w:id="697" w:name="_Ref361133166"/>
                            <w:bookmarkStart w:id="698" w:name="_Toc361733637"/>
                            <w:bookmarkStart w:id="699" w:name="_Toc361734280"/>
                            <w:bookmarkStart w:id="700" w:name="_Toc370511676"/>
                            <w:r w:rsidRPr="00D61F7F">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4</w:t>
                            </w:r>
                            <w:r>
                              <w:rPr>
                                <w:rFonts w:cstheme="minorBidi"/>
                                <w:b/>
                                <w:bCs/>
                                <w:sz w:val="20"/>
                                <w:szCs w:val="20"/>
                              </w:rPr>
                              <w:fldChar w:fldCharType="end"/>
                            </w:r>
                            <w:bookmarkEnd w:id="697"/>
                            <w:r w:rsidRPr="00D61F7F">
                              <w:rPr>
                                <w:rFonts w:cstheme="minorBidi"/>
                                <w:b/>
                                <w:bCs/>
                                <w:sz w:val="20"/>
                                <w:szCs w:val="20"/>
                              </w:rPr>
                              <w:t xml:space="preserve"> illustrate the</w:t>
                            </w:r>
                            <w:r w:rsidRPr="00D61F7F">
                              <w:rPr>
                                <w:rFonts w:cstheme="minorBidi"/>
                                <w:b/>
                                <w:bCs/>
                                <w:sz w:val="20"/>
                                <w:szCs w:val="20"/>
                                <w:lang w:val="en"/>
                              </w:rPr>
                              <w:t xml:space="preserve"> Appearance of haemocytometer grid under the microscope.</w:t>
                            </w:r>
                            <w:bookmarkEnd w:id="698"/>
                            <w:bookmarkEnd w:id="699"/>
                            <w:bookmarkEnd w:id="7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52" type="#_x0000_t202" style="position:absolute;left:0;text-align:left;margin-left:35.25pt;margin-top:-35.25pt;width:384pt;height:36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" stroked="f">
                <v:textbox inset="0,0,0,0">
                  <w:txbxContent>
                    <w:p w:rsidR="003208E6" w:rsidRPr="00D61F7F" w:rsidRDefault="003208E6" w:rsidP="001D3F19">
                      <w:pPr>
                        <w:rPr>
                          <w:rFonts w:eastAsia="SimSun" w:cstheme="minorBidi"/>
                          <w:b/>
                          <w:bCs/>
                          <w:sz w:val="20"/>
                          <w:szCs w:val="20"/>
                        </w:rPr>
                      </w:pPr>
                      <w:bookmarkStart w:id="758" w:name="_Ref361133166"/>
                      <w:bookmarkStart w:id="759" w:name="_Toc361733637"/>
                      <w:bookmarkStart w:id="760" w:name="_Toc361734280"/>
                      <w:bookmarkStart w:id="761" w:name="_Toc370511676"/>
                      <w:r w:rsidRPr="00D61F7F">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4</w:t>
                      </w:r>
                      <w:r>
                        <w:rPr>
                          <w:rFonts w:cstheme="minorBidi"/>
                          <w:b/>
                          <w:bCs/>
                          <w:sz w:val="20"/>
                          <w:szCs w:val="20"/>
                        </w:rPr>
                        <w:fldChar w:fldCharType="end"/>
                      </w:r>
                      <w:bookmarkEnd w:id="758"/>
                      <w:r w:rsidRPr="00D61F7F">
                        <w:rPr>
                          <w:rFonts w:cstheme="minorBidi"/>
                          <w:b/>
                          <w:bCs/>
                          <w:sz w:val="20"/>
                          <w:szCs w:val="20"/>
                        </w:rPr>
                        <w:t xml:space="preserve"> illustrate the</w:t>
                      </w:r>
                      <w:r w:rsidRPr="00D61F7F">
                        <w:rPr>
                          <w:rFonts w:cstheme="minorBidi"/>
                          <w:b/>
                          <w:bCs/>
                          <w:sz w:val="20"/>
                          <w:szCs w:val="20"/>
                          <w:lang w:val="en"/>
                        </w:rPr>
                        <w:t xml:space="preserve"> Appearance of haemocytometer grid under the microscope.</w:t>
                      </w:r>
                      <w:bookmarkEnd w:id="759"/>
                      <w:bookmarkEnd w:id="760"/>
                      <w:bookmarkEnd w:id="761"/>
                    </w:p>
                  </w:txbxContent>
                </v:textbox>
                <w10:wrap type="square"/>
              </v:shape>
            </w:pict>
          </mc:Fallback>
        </mc:AlternateContent>
      </w:r>
    </w:p>
    <w:p w:rsidR="00E75EA6" w:rsidRPr="00E75EA6" w:rsidRDefault="00D61F7F" w:rsidP="00E75EA6">
      <w:pPr>
        <w:suppressAutoHyphens/>
        <w:autoSpaceDN w:val="0"/>
        <w:spacing w:line="480" w:lineRule="auto"/>
        <w:jc w:val="both"/>
        <w:textAlignment w:val="baseline"/>
        <w:rPr>
          <w:rFonts w:ascii="Arial" w:eastAsia="Times New Roman" w:hAnsi="Arial" w:cs="Arial"/>
          <w:szCs w:val="24"/>
          <w:lang w:val="en" w:eastAsia="en-GB"/>
        </w:rPr>
      </w:pPr>
      <w:r w:rsidRPr="00E75EA6">
        <w:rPr>
          <w:rFonts w:ascii="Arial" w:eastAsia="SimSun" w:hAnsi="Arial" w:cs="Arial"/>
          <w:noProof/>
          <w:szCs w:val="24"/>
          <w:lang w:eastAsia="en-GB"/>
        </w:rPr>
        <w:drawing>
          <wp:anchor distT="0" distB="0" distL="114300" distR="114300" simplePos="0" relativeHeight="251784192" behindDoc="0" locked="0" layoutInCell="1" allowOverlap="1" wp14:anchorId="4E0829E8" wp14:editId="2A3C7B7B">
            <wp:simplePos x="0" y="0"/>
            <wp:positionH relativeFrom="column">
              <wp:posOffset>532765</wp:posOffset>
            </wp:positionH>
            <wp:positionV relativeFrom="paragraph">
              <wp:posOffset>-61595</wp:posOffset>
            </wp:positionV>
            <wp:extent cx="3571875" cy="2638425"/>
            <wp:effectExtent l="0" t="0" r="9525" b="9525"/>
            <wp:wrapSquare wrapText="bothSides"/>
            <wp:docPr id="290"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rcRect l="12290" r="5866"/>
                    <a:stretch>
                      <a:fillRect/>
                    </a:stretch>
                  </pic:blipFill>
                  <pic:spPr>
                    <a:xfrm>
                      <a:off x="0" y="0"/>
                      <a:ext cx="3571875" cy="26384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E75EA6" w:rsidRPr="00E75EA6" w:rsidRDefault="00E75EA6" w:rsidP="00E75EA6">
      <w:pPr>
        <w:suppressAutoHyphens/>
        <w:autoSpaceDN w:val="0"/>
        <w:spacing w:line="480" w:lineRule="auto"/>
        <w:jc w:val="both"/>
        <w:textAlignment w:val="baseline"/>
        <w:rPr>
          <w:rFonts w:ascii="Arial" w:eastAsia="Times New Roman" w:hAnsi="Arial" w:cs="Arial"/>
          <w:szCs w:val="24"/>
          <w:lang w:val="en" w:eastAsia="en-GB"/>
        </w:rPr>
      </w:pPr>
    </w:p>
    <w:p w:rsidR="00E75EA6" w:rsidRPr="00E75EA6" w:rsidRDefault="00E75EA6" w:rsidP="00E75EA6">
      <w:pPr>
        <w:suppressAutoHyphens/>
        <w:autoSpaceDN w:val="0"/>
        <w:spacing w:line="480" w:lineRule="auto"/>
        <w:jc w:val="both"/>
        <w:textAlignment w:val="baseline"/>
        <w:rPr>
          <w:rFonts w:ascii="Arial" w:eastAsia="Times New Roman" w:hAnsi="Arial" w:cs="Arial"/>
          <w:szCs w:val="24"/>
          <w:lang w:val="en" w:eastAsia="en-GB"/>
        </w:rPr>
      </w:pPr>
    </w:p>
    <w:p w:rsidR="00E75EA6" w:rsidRDefault="00E75EA6" w:rsidP="00E75EA6">
      <w:pPr>
        <w:suppressAutoHyphens/>
        <w:autoSpaceDN w:val="0"/>
        <w:spacing w:line="480" w:lineRule="auto"/>
        <w:jc w:val="both"/>
        <w:textAlignment w:val="baseline"/>
        <w:rPr>
          <w:rFonts w:ascii="Arial" w:eastAsia="Times New Roman" w:hAnsi="Arial" w:cs="Arial"/>
          <w:szCs w:val="24"/>
          <w:lang w:val="en" w:eastAsia="en-GB"/>
        </w:rPr>
      </w:pPr>
    </w:p>
    <w:p w:rsidR="009458EE" w:rsidRPr="00E75EA6" w:rsidRDefault="009458EE" w:rsidP="00E75EA6">
      <w:pPr>
        <w:suppressAutoHyphens/>
        <w:autoSpaceDN w:val="0"/>
        <w:spacing w:line="480" w:lineRule="auto"/>
        <w:jc w:val="both"/>
        <w:textAlignment w:val="baseline"/>
        <w:rPr>
          <w:rFonts w:ascii="Arial" w:eastAsia="Times New Roman" w:hAnsi="Arial" w:cs="Arial"/>
          <w:szCs w:val="24"/>
          <w:lang w:val="en" w:eastAsia="en-GB"/>
        </w:rPr>
      </w:pPr>
    </w:p>
    <w:p w:rsidR="009458EE" w:rsidRDefault="009458EE" w:rsidP="00E75EA6">
      <w:pPr>
        <w:suppressAutoHyphens/>
        <w:autoSpaceDN w:val="0"/>
        <w:spacing w:line="480" w:lineRule="auto"/>
        <w:textAlignment w:val="baseline"/>
        <w:rPr>
          <w:rFonts w:ascii="Arial" w:eastAsia="Times New Roman" w:hAnsi="Arial" w:cs="Arial"/>
          <w:b/>
          <w:bCs/>
          <w:sz w:val="20"/>
          <w:szCs w:val="20"/>
          <w:lang w:val="en" w:eastAsia="en-GB"/>
        </w:rPr>
      </w:pPr>
    </w:p>
    <w:p w:rsidR="00177DC7" w:rsidRDefault="00177DC7" w:rsidP="00E75EA6">
      <w:pPr>
        <w:suppressAutoHyphens/>
        <w:autoSpaceDN w:val="0"/>
        <w:spacing w:line="480" w:lineRule="auto"/>
        <w:textAlignment w:val="baseline"/>
        <w:rPr>
          <w:rFonts w:ascii="Arial" w:eastAsia="Times New Roman" w:hAnsi="Arial" w:cs="Arial"/>
          <w:b/>
          <w:bCs/>
          <w:sz w:val="20"/>
          <w:szCs w:val="20"/>
          <w:lang w:val="en" w:eastAsia="en-GB"/>
        </w:rPr>
      </w:pPr>
    </w:p>
    <w:p w:rsidR="00E75EA6" w:rsidRDefault="00E75EA6" w:rsidP="00E75EA6">
      <w:pPr>
        <w:suppressAutoHyphens/>
        <w:autoSpaceDN w:val="0"/>
        <w:spacing w:before="120" w:after="120" w:line="480" w:lineRule="auto"/>
        <w:jc w:val="both"/>
        <w:textAlignment w:val="baseline"/>
        <w:rPr>
          <w:rFonts w:ascii="Arial" w:eastAsia="Times New Roman" w:hAnsi="Arial" w:cs="Arial"/>
          <w:szCs w:val="24"/>
          <w:lang w:eastAsia="zh-CN"/>
        </w:rPr>
      </w:pPr>
    </w:p>
    <w:p w:rsidR="00177DC7" w:rsidRDefault="00177DC7" w:rsidP="00E75EA6">
      <w:pPr>
        <w:suppressAutoHyphens/>
        <w:autoSpaceDN w:val="0"/>
        <w:spacing w:before="120" w:after="120" w:line="480" w:lineRule="auto"/>
        <w:jc w:val="both"/>
        <w:textAlignment w:val="baseline"/>
        <w:rPr>
          <w:rFonts w:ascii="Arial" w:eastAsia="Times New Roman" w:hAnsi="Arial" w:cs="Arial"/>
          <w:szCs w:val="24"/>
          <w:lang w:eastAsia="zh-CN"/>
        </w:rPr>
      </w:pPr>
    </w:p>
    <w:p w:rsidR="00177DC7" w:rsidRDefault="00177DC7" w:rsidP="00E75EA6">
      <w:pPr>
        <w:suppressAutoHyphens/>
        <w:autoSpaceDN w:val="0"/>
        <w:spacing w:before="120" w:after="120" w:line="480" w:lineRule="auto"/>
        <w:jc w:val="both"/>
        <w:textAlignment w:val="baseline"/>
        <w:rPr>
          <w:rFonts w:ascii="Arial" w:eastAsia="Times New Roman" w:hAnsi="Arial" w:cs="Arial"/>
          <w:szCs w:val="24"/>
          <w:lang w:eastAsia="zh-CN"/>
        </w:rPr>
      </w:pPr>
      <w:r>
        <w:rPr>
          <w:noProof/>
          <w:lang w:eastAsia="en-GB"/>
        </w:rPr>
        <w:lastRenderedPageBreak/>
        <mc:AlternateContent>
          <mc:Choice Requires="wps">
            <w:drawing>
              <wp:anchor distT="0" distB="0" distL="114300" distR="114300" simplePos="0" relativeHeight="251828224" behindDoc="0" locked="0" layoutInCell="1" allowOverlap="1" wp14:anchorId="6D59DB1F" wp14:editId="2B38325E">
                <wp:simplePos x="0" y="0"/>
                <wp:positionH relativeFrom="column">
                  <wp:posOffset>238125</wp:posOffset>
                </wp:positionH>
                <wp:positionV relativeFrom="paragraph">
                  <wp:posOffset>249555</wp:posOffset>
                </wp:positionV>
                <wp:extent cx="4705350" cy="4572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705350" cy="457200"/>
                        </a:xfrm>
                        <a:prstGeom prst="rect">
                          <a:avLst/>
                        </a:prstGeom>
                        <a:solidFill>
                          <a:prstClr val="white"/>
                        </a:solidFill>
                        <a:ln>
                          <a:noFill/>
                        </a:ln>
                        <a:effectLst/>
                      </wps:spPr>
                      <wps:txbx>
                        <w:txbxContent>
                          <w:p w:rsidR="003208E6" w:rsidRPr="00D61F7F" w:rsidRDefault="003208E6" w:rsidP="001D3F19">
                            <w:pPr>
                              <w:rPr>
                                <w:rFonts w:cstheme="minorBidi"/>
                                <w:b/>
                                <w:bCs/>
                                <w:sz w:val="20"/>
                                <w:szCs w:val="20"/>
                              </w:rPr>
                            </w:pPr>
                            <w:bookmarkStart w:id="701" w:name="_Ref361133479"/>
                            <w:bookmarkStart w:id="702" w:name="_Toc361733638"/>
                            <w:bookmarkStart w:id="703" w:name="_Toc361734281"/>
                            <w:bookmarkStart w:id="704" w:name="_Toc370511677"/>
                            <w:r w:rsidRPr="00D61F7F">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5</w:t>
                            </w:r>
                            <w:r>
                              <w:rPr>
                                <w:rFonts w:cstheme="minorBidi"/>
                                <w:b/>
                                <w:bCs/>
                                <w:sz w:val="20"/>
                                <w:szCs w:val="20"/>
                              </w:rPr>
                              <w:fldChar w:fldCharType="end"/>
                            </w:r>
                            <w:bookmarkEnd w:id="701"/>
                            <w:r w:rsidRPr="00D61F7F">
                              <w:rPr>
                                <w:rFonts w:cstheme="minorBidi"/>
                                <w:b/>
                                <w:bCs/>
                                <w:sz w:val="20"/>
                                <w:szCs w:val="20"/>
                                <w:lang w:val="en"/>
                              </w:rPr>
                              <w:t xml:space="preserve"> Count the cells within the large square and those crossing the edge on two out of the four sides.</w:t>
                            </w:r>
                            <w:bookmarkEnd w:id="702"/>
                            <w:bookmarkEnd w:id="703"/>
                            <w:bookmarkEnd w:id="7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53" type="#_x0000_t202" style="position:absolute;left:0;text-align:left;margin-left:18.75pt;margin-top:19.65pt;width:370.5pt;height:36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" stroked="f">
                <v:textbox inset="0,0,0,0">
                  <w:txbxContent>
                    <w:p w:rsidR="003208E6" w:rsidRPr="00D61F7F" w:rsidRDefault="003208E6" w:rsidP="001D3F19">
                      <w:pPr>
                        <w:rPr>
                          <w:rFonts w:cstheme="minorBidi"/>
                          <w:b/>
                          <w:bCs/>
                          <w:sz w:val="20"/>
                          <w:szCs w:val="20"/>
                        </w:rPr>
                      </w:pPr>
                      <w:bookmarkStart w:id="766" w:name="_Ref361133479"/>
                      <w:bookmarkStart w:id="767" w:name="_Toc361733638"/>
                      <w:bookmarkStart w:id="768" w:name="_Toc361734281"/>
                      <w:bookmarkStart w:id="769" w:name="_Toc370511677"/>
                      <w:r w:rsidRPr="00D61F7F">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5</w:t>
                      </w:r>
                      <w:r>
                        <w:rPr>
                          <w:rFonts w:cstheme="minorBidi"/>
                          <w:b/>
                          <w:bCs/>
                          <w:sz w:val="20"/>
                          <w:szCs w:val="20"/>
                        </w:rPr>
                        <w:fldChar w:fldCharType="end"/>
                      </w:r>
                      <w:bookmarkEnd w:id="766"/>
                      <w:r w:rsidRPr="00D61F7F">
                        <w:rPr>
                          <w:rFonts w:cstheme="minorBidi"/>
                          <w:b/>
                          <w:bCs/>
                          <w:sz w:val="20"/>
                          <w:szCs w:val="20"/>
                          <w:lang w:val="en"/>
                        </w:rPr>
                        <w:t xml:space="preserve"> Count the cells within the large square and those crossing the edge on two out of the four sides.</w:t>
                      </w:r>
                      <w:bookmarkEnd w:id="767"/>
                      <w:bookmarkEnd w:id="768"/>
                      <w:bookmarkEnd w:id="769"/>
                    </w:p>
                  </w:txbxContent>
                </v:textbox>
                <w10:wrap type="square"/>
              </v:shape>
            </w:pict>
          </mc:Fallback>
        </mc:AlternateContent>
      </w:r>
    </w:p>
    <w:p w:rsidR="00177DC7" w:rsidRDefault="00177DC7" w:rsidP="00E75EA6">
      <w:pPr>
        <w:suppressAutoHyphens/>
        <w:autoSpaceDN w:val="0"/>
        <w:spacing w:before="120" w:after="120" w:line="480" w:lineRule="auto"/>
        <w:jc w:val="both"/>
        <w:textAlignment w:val="baseline"/>
        <w:rPr>
          <w:rFonts w:ascii="Arial" w:eastAsia="Times New Roman" w:hAnsi="Arial" w:cs="Arial"/>
          <w:noProof/>
          <w:szCs w:val="24"/>
          <w:lang w:eastAsia="en-GB"/>
        </w:rPr>
      </w:pPr>
    </w:p>
    <w:p w:rsidR="00177DC7" w:rsidRDefault="00177DC7" w:rsidP="00E75EA6">
      <w:pPr>
        <w:suppressAutoHyphens/>
        <w:autoSpaceDN w:val="0"/>
        <w:spacing w:before="120" w:after="120" w:line="480" w:lineRule="auto"/>
        <w:jc w:val="both"/>
        <w:textAlignment w:val="baseline"/>
        <w:rPr>
          <w:rFonts w:ascii="Arial" w:eastAsia="Times New Roman" w:hAnsi="Arial" w:cs="Arial"/>
          <w:noProof/>
          <w:szCs w:val="24"/>
          <w:lang w:eastAsia="en-GB"/>
        </w:rPr>
      </w:pPr>
      <w:r w:rsidRPr="00E75EA6">
        <w:rPr>
          <w:rFonts w:ascii="Arial" w:eastAsia="Times New Roman" w:hAnsi="Arial" w:cs="Arial"/>
          <w:noProof/>
          <w:szCs w:val="24"/>
          <w:lang w:eastAsia="en-GB"/>
        </w:rPr>
        <w:drawing>
          <wp:anchor distT="0" distB="0" distL="114300" distR="114300" simplePos="0" relativeHeight="251801600" behindDoc="0" locked="0" layoutInCell="1" allowOverlap="1" wp14:anchorId="25F10E9A" wp14:editId="2BC9E43E">
            <wp:simplePos x="0" y="0"/>
            <wp:positionH relativeFrom="column">
              <wp:posOffset>690880</wp:posOffset>
            </wp:positionH>
            <wp:positionV relativeFrom="paragraph">
              <wp:posOffset>167640</wp:posOffset>
            </wp:positionV>
            <wp:extent cx="3438525" cy="2457450"/>
            <wp:effectExtent l="0" t="0" r="0" b="0"/>
            <wp:wrapSquare wrapText="bothSides"/>
            <wp:docPr id="291" name="Picture 17" descr="Cell Count Diagra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rcRect/>
                    <a:stretch>
                      <a:fillRect/>
                    </a:stretch>
                  </pic:blipFill>
                  <pic:spPr>
                    <a:xfrm>
                      <a:off x="0" y="0"/>
                      <a:ext cx="3438525" cy="2457450"/>
                    </a:xfrm>
                    <a:prstGeom prst="rect">
                      <a:avLst/>
                    </a:prstGeom>
                    <a:noFill/>
                    <a:ln>
                      <a:noFill/>
                      <a:prstDash/>
                    </a:ln>
                  </pic:spPr>
                </pic:pic>
              </a:graphicData>
            </a:graphic>
          </wp:anchor>
        </w:drawing>
      </w:r>
    </w:p>
    <w:p w:rsidR="00177DC7" w:rsidRDefault="00177DC7" w:rsidP="00E75EA6">
      <w:pPr>
        <w:suppressAutoHyphens/>
        <w:autoSpaceDN w:val="0"/>
        <w:spacing w:before="120" w:after="120" w:line="480" w:lineRule="auto"/>
        <w:jc w:val="both"/>
        <w:textAlignment w:val="baseline"/>
        <w:rPr>
          <w:rFonts w:ascii="Arial" w:eastAsia="Times New Roman" w:hAnsi="Arial" w:cs="Arial"/>
          <w:noProof/>
          <w:szCs w:val="24"/>
          <w:lang w:eastAsia="en-GB"/>
        </w:rPr>
      </w:pPr>
    </w:p>
    <w:p w:rsidR="00177DC7" w:rsidRDefault="00177DC7" w:rsidP="00E75EA6">
      <w:pPr>
        <w:suppressAutoHyphens/>
        <w:autoSpaceDN w:val="0"/>
        <w:spacing w:before="120" w:after="120" w:line="480" w:lineRule="auto"/>
        <w:jc w:val="both"/>
        <w:textAlignment w:val="baseline"/>
        <w:rPr>
          <w:rFonts w:ascii="Arial" w:eastAsia="Times New Roman" w:hAnsi="Arial" w:cs="Arial"/>
          <w:szCs w:val="24"/>
          <w:lang w:eastAsia="zh-CN"/>
        </w:rPr>
      </w:pPr>
    </w:p>
    <w:p w:rsidR="00177DC7" w:rsidRDefault="00177DC7" w:rsidP="00E75EA6">
      <w:pPr>
        <w:suppressAutoHyphens/>
        <w:autoSpaceDN w:val="0"/>
        <w:spacing w:before="120" w:after="120" w:line="480" w:lineRule="auto"/>
        <w:jc w:val="both"/>
        <w:textAlignment w:val="baseline"/>
        <w:rPr>
          <w:rFonts w:ascii="Arial" w:eastAsia="Times New Roman" w:hAnsi="Arial" w:cs="Arial"/>
          <w:szCs w:val="24"/>
          <w:lang w:eastAsia="zh-CN"/>
        </w:rPr>
      </w:pPr>
    </w:p>
    <w:p w:rsidR="00177DC7" w:rsidRDefault="00177DC7" w:rsidP="00E75EA6">
      <w:pPr>
        <w:suppressAutoHyphens/>
        <w:autoSpaceDN w:val="0"/>
        <w:spacing w:before="120" w:after="120" w:line="480" w:lineRule="auto"/>
        <w:jc w:val="both"/>
        <w:textAlignment w:val="baseline"/>
        <w:rPr>
          <w:rFonts w:ascii="Arial" w:eastAsia="Times New Roman" w:hAnsi="Arial" w:cs="Arial"/>
          <w:szCs w:val="24"/>
          <w:lang w:eastAsia="zh-CN"/>
        </w:rPr>
      </w:pPr>
    </w:p>
    <w:p w:rsidR="00177DC7" w:rsidRPr="00E75EA6" w:rsidRDefault="00177DC7" w:rsidP="00E75EA6">
      <w:pPr>
        <w:suppressAutoHyphens/>
        <w:autoSpaceDN w:val="0"/>
        <w:spacing w:before="120" w:after="120" w:line="480" w:lineRule="auto"/>
        <w:jc w:val="both"/>
        <w:textAlignment w:val="baseline"/>
        <w:rPr>
          <w:rFonts w:ascii="Arial" w:eastAsia="Times New Roman" w:hAnsi="Arial" w:cs="Arial"/>
          <w:szCs w:val="24"/>
          <w:lang w:eastAsia="zh-CN"/>
        </w:rPr>
      </w:pPr>
    </w:p>
    <w:p w:rsidR="006707B7" w:rsidRDefault="00177DC7">
      <w:pPr>
        <w:rPr>
          <w:rFonts w:ascii="Arial" w:eastAsia="Times New Roman" w:hAnsi="Arial" w:cs="Arial"/>
          <w:szCs w:val="24"/>
          <w:lang w:val="en" w:eastAsia="en-GB"/>
        </w:rPr>
      </w:pPr>
      <w:r w:rsidRPr="00E75EA6">
        <w:rPr>
          <w:rFonts w:ascii="Arial" w:eastAsia="SimSun" w:hAnsi="Arial" w:cs="Arial"/>
          <w:noProof/>
          <w:szCs w:val="24"/>
          <w:lang w:eastAsia="en-GB"/>
        </w:rPr>
        <w:drawing>
          <wp:anchor distT="0" distB="0" distL="114300" distR="114300" simplePos="0" relativeHeight="251785216" behindDoc="0" locked="0" layoutInCell="1" allowOverlap="1" wp14:anchorId="7B45DE22" wp14:editId="4267C6B9">
            <wp:simplePos x="0" y="0"/>
            <wp:positionH relativeFrom="column">
              <wp:posOffset>2922270</wp:posOffset>
            </wp:positionH>
            <wp:positionV relativeFrom="paragraph">
              <wp:posOffset>1491615</wp:posOffset>
            </wp:positionV>
            <wp:extent cx="2228850" cy="2485390"/>
            <wp:effectExtent l="0" t="0" r="0" b="0"/>
            <wp:wrapSquare wrapText="bothSides"/>
            <wp:docPr id="292" name="Picture 32" descr="Haemocytometer Dimensi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rcRect l="7928" t="11623" r="10451" b="11623"/>
                    <a:stretch>
                      <a:fillRect/>
                    </a:stretch>
                  </pic:blipFill>
                  <pic:spPr>
                    <a:xfrm>
                      <a:off x="0" y="0"/>
                      <a:ext cx="2228850" cy="2485390"/>
                    </a:xfrm>
                    <a:prstGeom prst="rect">
                      <a:avLst/>
                    </a:prstGeom>
                    <a:noFill/>
                    <a:ln>
                      <a:noFill/>
                      <a:prstDash/>
                    </a:ln>
                  </pic:spPr>
                </pic:pic>
              </a:graphicData>
            </a:graphic>
            <wp14:sizeRelH relativeFrom="margin">
              <wp14:pctWidth>0</wp14:pctWidth>
            </wp14:sizeRelH>
          </wp:anchor>
        </w:drawing>
      </w:r>
      <w:r w:rsidRPr="00E75EA6">
        <w:rPr>
          <w:rFonts w:ascii="Arial" w:eastAsia="SimSun" w:hAnsi="Arial" w:cs="Arial"/>
          <w:noProof/>
          <w:szCs w:val="24"/>
          <w:lang w:eastAsia="en-GB"/>
        </w:rPr>
        <w:drawing>
          <wp:anchor distT="0" distB="0" distL="114300" distR="114300" simplePos="0" relativeHeight="251788288" behindDoc="0" locked="0" layoutInCell="1" allowOverlap="1" wp14:anchorId="223F712A" wp14:editId="76E51672">
            <wp:simplePos x="0" y="0"/>
            <wp:positionH relativeFrom="column">
              <wp:posOffset>112395</wp:posOffset>
            </wp:positionH>
            <wp:positionV relativeFrom="paragraph">
              <wp:posOffset>1061085</wp:posOffset>
            </wp:positionV>
            <wp:extent cx="3098800" cy="3023235"/>
            <wp:effectExtent l="0" t="0" r="6350" b="5715"/>
            <wp:wrapSquare wrapText="bothSides"/>
            <wp:docPr id="293"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rcRect/>
                    <a:stretch>
                      <a:fillRect/>
                    </a:stretch>
                  </pic:blipFill>
                  <pic:spPr>
                    <a:xfrm>
                      <a:off x="0" y="0"/>
                      <a:ext cx="3098800" cy="3023235"/>
                    </a:xfrm>
                    <a:prstGeom prst="rect">
                      <a:avLst/>
                    </a:prstGeom>
                    <a:noFill/>
                    <a:ln>
                      <a:noFill/>
                      <a:prstDash/>
                    </a:ln>
                  </pic:spPr>
                </pic:pic>
              </a:graphicData>
            </a:graphic>
          </wp:anchor>
        </w:drawing>
      </w:r>
    </w:p>
    <w:p w:rsidR="00E75EA6" w:rsidRPr="00E75EA6" w:rsidRDefault="00177DC7" w:rsidP="00E75EA6">
      <w:pPr>
        <w:suppressAutoHyphens/>
        <w:autoSpaceDN w:val="0"/>
        <w:spacing w:before="120" w:after="120" w:line="480" w:lineRule="auto"/>
        <w:jc w:val="both"/>
        <w:textAlignment w:val="baseline"/>
        <w:rPr>
          <w:rFonts w:ascii="Arial" w:eastAsia="Times New Roman" w:hAnsi="Arial" w:cs="Arial"/>
          <w:szCs w:val="24"/>
          <w:lang w:eastAsia="zh-CN"/>
        </w:rPr>
      </w:pPr>
      <w:r w:rsidRPr="00E75EA6">
        <w:rPr>
          <w:rFonts w:ascii="Arial" w:eastAsia="SimSun" w:hAnsi="Arial" w:cs="Arial"/>
          <w:noProof/>
          <w:szCs w:val="24"/>
          <w:lang w:eastAsia="en-GB"/>
        </w:rPr>
        <mc:AlternateContent>
          <mc:Choice Requires="wps">
            <w:drawing>
              <wp:anchor distT="0" distB="0" distL="114300" distR="114300" simplePos="0" relativeHeight="251789312" behindDoc="0" locked="0" layoutInCell="1" allowOverlap="1" wp14:anchorId="4D9B0A7A" wp14:editId="4FEDB5EC">
                <wp:simplePos x="0" y="0"/>
                <wp:positionH relativeFrom="column">
                  <wp:posOffset>-1647825</wp:posOffset>
                </wp:positionH>
                <wp:positionV relativeFrom="paragraph">
                  <wp:posOffset>1163320</wp:posOffset>
                </wp:positionV>
                <wp:extent cx="1599565" cy="1307465"/>
                <wp:effectExtent l="19050" t="19050" r="38735" b="45085"/>
                <wp:wrapNone/>
                <wp:docPr id="284" name="Straight Connector 264"/>
                <wp:cNvGraphicFramePr/>
                <a:graphic xmlns:a="http://schemas.openxmlformats.org/drawingml/2006/main">
                  <a:graphicData uri="http://schemas.microsoft.com/office/word/2010/wordprocessingShape">
                    <wps:wsp>
                      <wps:cNvCnPr/>
                      <wps:spPr>
                        <a:xfrm flipH="1">
                          <a:off x="0" y="0"/>
                          <a:ext cx="1599565" cy="1307465"/>
                        </a:xfrm>
                        <a:prstGeom prst="straightConnector1">
                          <a:avLst/>
                        </a:prstGeom>
                        <a:noFill/>
                        <a:ln w="57150">
                          <a:solidFill>
                            <a:srgbClr val="FF0000"/>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 id="Straight Connector 264" o:spid="_x0000_s1026" type="#_x0000_t32" style="position:absolute;margin-left:-129.75pt;margin-top:91.6pt;width:125.95pt;height:102.9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" strokecolor="red" strokeweight="4.5pt">
                <v:stroke joinstyle="miter"/>
              </v:shape>
            </w:pict>
          </mc:Fallback>
        </mc:AlternateContent>
      </w:r>
      <w:r>
        <w:rPr>
          <w:noProof/>
          <w:lang w:eastAsia="en-GB"/>
        </w:rPr>
        <mc:AlternateContent>
          <mc:Choice Requires="wps">
            <w:drawing>
              <wp:anchor distT="0" distB="0" distL="114300" distR="114300" simplePos="0" relativeHeight="251830272" behindDoc="0" locked="0" layoutInCell="1" allowOverlap="1" wp14:anchorId="6D690323" wp14:editId="70AA3ED6">
                <wp:simplePos x="0" y="0"/>
                <wp:positionH relativeFrom="column">
                  <wp:posOffset>283845</wp:posOffset>
                </wp:positionH>
                <wp:positionV relativeFrom="paragraph">
                  <wp:posOffset>195580</wp:posOffset>
                </wp:positionV>
                <wp:extent cx="4857750" cy="4572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857750" cy="457200"/>
                        </a:xfrm>
                        <a:prstGeom prst="rect">
                          <a:avLst/>
                        </a:prstGeom>
                        <a:solidFill>
                          <a:prstClr val="white"/>
                        </a:solidFill>
                        <a:ln>
                          <a:noFill/>
                        </a:ln>
                        <a:effectLst/>
                      </wps:spPr>
                      <wps:txbx>
                        <w:txbxContent>
                          <w:p w:rsidR="003208E6" w:rsidRPr="006707B7" w:rsidRDefault="003208E6" w:rsidP="001D3F19">
                            <w:pPr>
                              <w:rPr>
                                <w:rFonts w:eastAsia="SimSun" w:cstheme="minorBidi"/>
                                <w:b/>
                                <w:bCs/>
                                <w:sz w:val="20"/>
                                <w:szCs w:val="20"/>
                              </w:rPr>
                            </w:pPr>
                            <w:bookmarkStart w:id="705" w:name="_Toc361733639"/>
                            <w:bookmarkStart w:id="706" w:name="_Toc361734282"/>
                            <w:bookmarkStart w:id="707" w:name="_Toc370511678"/>
                            <w:r w:rsidRPr="006707B7">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6</w:t>
                            </w:r>
                            <w:r>
                              <w:rPr>
                                <w:rFonts w:cstheme="minorBidi"/>
                                <w:b/>
                                <w:bCs/>
                                <w:sz w:val="20"/>
                                <w:szCs w:val="20"/>
                              </w:rPr>
                              <w:fldChar w:fldCharType="end"/>
                            </w:r>
                            <w:r w:rsidRPr="006707B7">
                              <w:rPr>
                                <w:rFonts w:cstheme="minorBidi"/>
                                <w:b/>
                                <w:bCs/>
                                <w:sz w:val="20"/>
                                <w:szCs w:val="20"/>
                                <w:lang w:val="en"/>
                              </w:rPr>
                              <w:t xml:space="preserve"> Illustrate the summary of above image of Haemocytometer, arrangement and dimensions.</w:t>
                            </w:r>
                            <w:bookmarkEnd w:id="705"/>
                            <w:bookmarkEnd w:id="706"/>
                            <w:bookmarkEnd w:id="7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54" type="#_x0000_t202" style="position:absolute;left:0;text-align:left;margin-left:22.35pt;margin-top:15.4pt;width:382.5pt;height:36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" stroked="f">
                <v:textbox inset="0,0,0,0">
                  <w:txbxContent>
                    <w:p w:rsidR="003208E6" w:rsidRPr="006707B7" w:rsidRDefault="003208E6" w:rsidP="001D3F19">
                      <w:pPr>
                        <w:rPr>
                          <w:rFonts w:eastAsia="SimSun" w:cstheme="minorBidi"/>
                          <w:b/>
                          <w:bCs/>
                          <w:sz w:val="20"/>
                          <w:szCs w:val="20"/>
                        </w:rPr>
                      </w:pPr>
                      <w:bookmarkStart w:id="773" w:name="_Toc361733639"/>
                      <w:bookmarkStart w:id="774" w:name="_Toc361734282"/>
                      <w:bookmarkStart w:id="775" w:name="_Toc370511678"/>
                      <w:r w:rsidRPr="006707B7">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6</w:t>
                      </w:r>
                      <w:r>
                        <w:rPr>
                          <w:rFonts w:cstheme="minorBidi"/>
                          <w:b/>
                          <w:bCs/>
                          <w:sz w:val="20"/>
                          <w:szCs w:val="20"/>
                        </w:rPr>
                        <w:fldChar w:fldCharType="end"/>
                      </w:r>
                      <w:r w:rsidRPr="006707B7">
                        <w:rPr>
                          <w:rFonts w:cstheme="minorBidi"/>
                          <w:b/>
                          <w:bCs/>
                          <w:sz w:val="20"/>
                          <w:szCs w:val="20"/>
                          <w:lang w:val="en"/>
                        </w:rPr>
                        <w:t xml:space="preserve"> Illustrate the summary of above image of Haemocytometer, arrangement and dimensions.</w:t>
                      </w:r>
                      <w:bookmarkEnd w:id="773"/>
                      <w:bookmarkEnd w:id="774"/>
                      <w:bookmarkEnd w:id="775"/>
                    </w:p>
                  </w:txbxContent>
                </v:textbox>
                <w10:wrap type="square"/>
              </v:shape>
            </w:pict>
          </mc:Fallback>
        </mc:AlternateContent>
      </w:r>
    </w:p>
    <w:p w:rsidR="00E75EA6" w:rsidRPr="00E75EA6" w:rsidRDefault="00177DC7" w:rsidP="00E75EA6">
      <w:pPr>
        <w:suppressAutoHyphens/>
        <w:autoSpaceDN w:val="0"/>
        <w:spacing w:before="120" w:after="120" w:line="480" w:lineRule="auto"/>
        <w:jc w:val="both"/>
        <w:textAlignment w:val="baseline"/>
        <w:rPr>
          <w:rFonts w:ascii="Arial" w:eastAsia="Times New Roman" w:hAnsi="Arial" w:cs="Arial"/>
          <w:szCs w:val="24"/>
          <w:lang w:eastAsia="zh-CN"/>
        </w:rPr>
      </w:pPr>
      <w:r w:rsidRPr="00E75EA6">
        <w:rPr>
          <w:rFonts w:ascii="Arial" w:eastAsia="SimSun" w:hAnsi="Arial" w:cs="Arial"/>
          <w:noProof/>
          <w:szCs w:val="24"/>
          <w:lang w:eastAsia="en-GB"/>
        </w:rPr>
        <mc:AlternateContent>
          <mc:Choice Requires="wps">
            <w:drawing>
              <wp:anchor distT="0" distB="0" distL="114300" distR="114300" simplePos="0" relativeHeight="251790336" behindDoc="0" locked="0" layoutInCell="1" allowOverlap="1" wp14:anchorId="4E3991F3" wp14:editId="11A0FB03">
                <wp:simplePos x="0" y="0"/>
                <wp:positionH relativeFrom="column">
                  <wp:posOffset>-1514475</wp:posOffset>
                </wp:positionH>
                <wp:positionV relativeFrom="paragraph">
                  <wp:posOffset>1684020</wp:posOffset>
                </wp:positionV>
                <wp:extent cx="1923415" cy="438150"/>
                <wp:effectExtent l="0" t="19050" r="19685" b="38100"/>
                <wp:wrapNone/>
                <wp:docPr id="285" name="Straight Connector 33"/>
                <wp:cNvGraphicFramePr/>
                <a:graphic xmlns:a="http://schemas.openxmlformats.org/drawingml/2006/main">
                  <a:graphicData uri="http://schemas.microsoft.com/office/word/2010/wordprocessingShape">
                    <wps:wsp>
                      <wps:cNvCnPr/>
                      <wps:spPr>
                        <a:xfrm flipH="1" flipV="1">
                          <a:off x="0" y="0"/>
                          <a:ext cx="1923415" cy="438150"/>
                        </a:xfrm>
                        <a:prstGeom prst="straightConnector1">
                          <a:avLst/>
                        </a:prstGeom>
                        <a:noFill/>
                        <a:ln w="57150">
                          <a:solidFill>
                            <a:srgbClr val="FF0000"/>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 id="Straight Connector 33" o:spid="_x0000_s1026" type="#_x0000_t32" style="position:absolute;margin-left:-119.25pt;margin-top:132.6pt;width:151.45pt;height:34.5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" strokecolor="red" strokeweight="4.5pt">
                <v:stroke joinstyle="miter"/>
              </v:shape>
            </w:pict>
          </mc:Fallback>
        </mc:AlternateContent>
      </w:r>
    </w:p>
    <w:p w:rsidR="00E75EA6" w:rsidRPr="00E75EA6" w:rsidRDefault="00E75EA6" w:rsidP="00E75EA6">
      <w:pPr>
        <w:pageBreakBefore/>
        <w:suppressAutoHyphens/>
        <w:autoSpaceDN w:val="0"/>
        <w:spacing w:line="480" w:lineRule="auto"/>
        <w:jc w:val="both"/>
        <w:textAlignment w:val="baseline"/>
        <w:rPr>
          <w:rFonts w:ascii="Arial" w:eastAsia="SimSun" w:hAnsi="Arial" w:cs="Arial"/>
          <w:b/>
          <w:szCs w:val="24"/>
          <w:lang w:eastAsia="zh-CN"/>
        </w:rPr>
      </w:pPr>
    </w:p>
    <w:p w:rsidR="00E75EA6" w:rsidRPr="00E75EA6" w:rsidRDefault="00E75EA6" w:rsidP="000C6B69">
      <w:pPr>
        <w:pStyle w:val="Heading3"/>
        <w:spacing w:line="480" w:lineRule="auto"/>
        <w:rPr>
          <w:lang w:eastAsia="zh-CN"/>
        </w:rPr>
      </w:pPr>
      <w:bookmarkStart w:id="708" w:name="_Toc370819330"/>
      <w:r w:rsidRPr="00E75EA6">
        <w:rPr>
          <w:lang w:eastAsia="zh-CN"/>
        </w:rPr>
        <w:t>Lactate dehydrogenase (LDH) assay</w:t>
      </w:r>
      <w:bookmarkEnd w:id="708"/>
    </w:p>
    <w:p w:rsidR="00F9763C" w:rsidRDefault="00F9763C" w:rsidP="00F9763C">
      <w:pPr>
        <w:spacing w:before="120" w:after="0" w:line="480" w:lineRule="auto"/>
        <w:jc w:val="both"/>
        <w:rPr>
          <w:rFonts w:eastAsia="SimSun" w:cs="Arial"/>
          <w:szCs w:val="24"/>
          <w:lang w:eastAsia="zh-CN"/>
        </w:rPr>
      </w:pPr>
      <w:r>
        <w:rPr>
          <w:rFonts w:eastAsia="SimSun" w:cs="Arial"/>
          <w:szCs w:val="24"/>
          <w:lang w:eastAsia="zh-CN"/>
        </w:rPr>
        <w:t>LDH assays can be performed by assessing LDH released into the media as a marker of dead cells or after performing lysis LDH is a marker of remaining live cells.</w:t>
      </w:r>
    </w:p>
    <w:p w:rsidR="00E75EA6" w:rsidRPr="00E75EA6" w:rsidRDefault="00E75EA6" w:rsidP="000C6B69">
      <w:pPr>
        <w:pStyle w:val="Heading4"/>
        <w:spacing w:line="480" w:lineRule="auto"/>
        <w:rPr>
          <w:lang w:eastAsia="zh-CN"/>
        </w:rPr>
      </w:pPr>
      <w:r w:rsidRPr="00E75EA6">
        <w:rPr>
          <w:lang w:eastAsia="zh-CN"/>
        </w:rPr>
        <w:t>Introduction</w:t>
      </w:r>
    </w:p>
    <w:p w:rsidR="0070215A" w:rsidRDefault="00E75EA6" w:rsidP="00F9763C">
      <w:pPr>
        <w:suppressAutoHyphens/>
        <w:autoSpaceDN w:val="0"/>
        <w:spacing w:before="120" w:after="0" w:line="480" w:lineRule="auto"/>
        <w:jc w:val="both"/>
        <w:textAlignment w:val="baseline"/>
        <w:rPr>
          <w:lang w:eastAsia="zh-CN"/>
        </w:rPr>
      </w:pPr>
      <w:r w:rsidRPr="00E75EA6">
        <w:rPr>
          <w:rFonts w:ascii="Arial" w:eastAsia="SimSun" w:hAnsi="Arial" w:cs="Arial"/>
          <w:szCs w:val="24"/>
          <w:lang w:eastAsia="zh-CN"/>
        </w:rPr>
        <w:t>Lactate dehydrogenase (LDH)</w:t>
      </w:r>
      <w:r w:rsidR="00F00EA7">
        <w:rPr>
          <w:rFonts w:ascii="Arial" w:eastAsia="SimSun" w:hAnsi="Arial" w:cs="Arial"/>
          <w:szCs w:val="24"/>
          <w:lang w:eastAsia="zh-CN"/>
        </w:rPr>
        <w:t xml:space="preserve"> </w:t>
      </w:r>
      <w:r w:rsidR="00F00EA7" w:rsidRPr="00F00EA7">
        <w:rPr>
          <w:rFonts w:ascii="Arial" w:eastAsia="SimSun" w:hAnsi="Arial" w:cs="Arial"/>
          <w:szCs w:val="24"/>
          <w:lang w:eastAsia="zh-CN"/>
        </w:rPr>
        <w:fldChar w:fldCharType="begin"/>
      </w:r>
      <w:r w:rsidR="00F00EA7" w:rsidRPr="00F00EA7">
        <w:rPr>
          <w:rFonts w:ascii="Arial" w:eastAsia="SimSun" w:hAnsi="Arial" w:cs="Arial"/>
          <w:szCs w:val="24"/>
          <w:lang w:eastAsia="zh-CN"/>
        </w:rPr>
        <w:instrText xml:space="preserve"> REF _Ref361134355 \h  \* MERGEFORMAT </w:instrText>
      </w:r>
      <w:r w:rsidR="00F00EA7" w:rsidRPr="00F00EA7">
        <w:rPr>
          <w:rFonts w:ascii="Arial" w:eastAsia="SimSun" w:hAnsi="Arial" w:cs="Arial"/>
          <w:szCs w:val="24"/>
          <w:lang w:eastAsia="zh-CN"/>
        </w:rPr>
      </w:r>
      <w:r w:rsidR="00F00EA7" w:rsidRPr="00F00EA7">
        <w:rPr>
          <w:rFonts w:ascii="Arial" w:eastAsia="SimSun" w:hAnsi="Arial" w:cs="Arial"/>
          <w:szCs w:val="24"/>
          <w:lang w:eastAsia="zh-CN"/>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b/>
          <w:bCs/>
          <w:noProof/>
          <w:sz w:val="20"/>
          <w:szCs w:val="20"/>
        </w:rPr>
        <w:t>4.7</w:t>
      </w:r>
      <w:r w:rsidR="00F00EA7" w:rsidRPr="00F00EA7">
        <w:rPr>
          <w:rFonts w:ascii="Arial" w:eastAsia="SimSun" w:hAnsi="Arial" w:cs="Arial"/>
          <w:szCs w:val="24"/>
          <w:lang w:eastAsia="zh-CN"/>
        </w:rPr>
        <w:fldChar w:fldCharType="end"/>
      </w:r>
      <w:r w:rsidRPr="00E75EA6">
        <w:rPr>
          <w:rFonts w:ascii="Arial" w:eastAsia="SimSun" w:hAnsi="Arial" w:cs="Arial"/>
          <w:szCs w:val="24"/>
          <w:lang w:eastAsia="zh-CN"/>
        </w:rPr>
        <w:t xml:space="preserve">, </w:t>
      </w:r>
      <w:r w:rsidR="00F9763C">
        <w:rPr>
          <w:rFonts w:eastAsia="SimSun" w:cs="Arial"/>
          <w:szCs w:val="24"/>
          <w:lang w:eastAsia="zh-CN"/>
        </w:rPr>
        <w:t xml:space="preserve">which is a soluble cytosolic enzyme present in most eukaryotic cells, </w:t>
      </w:r>
      <w:r w:rsidR="001E4AAC">
        <w:rPr>
          <w:rFonts w:eastAsia="SimSun" w:cs="Arial"/>
          <w:szCs w:val="24"/>
          <w:lang w:eastAsia="zh-CN"/>
        </w:rPr>
        <w:t xml:space="preserve">is </w:t>
      </w:r>
      <w:r w:rsidR="00F9763C">
        <w:rPr>
          <w:rFonts w:eastAsia="SimSun" w:cs="Arial"/>
          <w:szCs w:val="24"/>
          <w:lang w:eastAsia="zh-CN"/>
        </w:rPr>
        <w:t>release into culture media upon cell death due to damage of the plasma membrane. The increase of LDH activity in culture supernatant is proportional to the number of lysed cells. LDH cytotoxicity assay measures the activity using a reaction cocktail containing lactate, NAD+, diaphorase and (iodonitrotetrazolium (</w:t>
      </w:r>
      <w:r w:rsidR="00F9763C">
        <w:rPr>
          <w:rFonts w:eastAsia="SimSun" w:cs="Arial"/>
          <w:i/>
          <w:iCs/>
          <w:szCs w:val="24"/>
          <w:lang w:eastAsia="zh-CN"/>
        </w:rPr>
        <w:t>INT</w:t>
      </w:r>
      <w:r w:rsidR="00F9763C">
        <w:rPr>
          <w:rFonts w:eastAsia="SimSun" w:cs="Arial"/>
          <w:szCs w:val="24"/>
          <w:lang w:eastAsia="zh-CN"/>
        </w:rPr>
        <w:t xml:space="preserve">)). LDH catalyses the reduction of NAD+ to NADH in the presence of L-lactate, while the formation of NADH can be measured in a coupled reaction in which the tetrazolium salt INT (yellow) is </w:t>
      </w:r>
      <w:r w:rsidR="00F9763C" w:rsidRPr="004770C0">
        <w:rPr>
          <w:rFonts w:eastAsia="SimSun" w:cs="Arial"/>
          <w:szCs w:val="24"/>
          <w:lang w:eastAsia="zh-CN"/>
        </w:rPr>
        <w:t>reduced to a red formazan (red) product. The amount of the highly coloured and</w:t>
      </w:r>
      <w:r w:rsidR="00F9763C">
        <w:rPr>
          <w:rFonts w:eastAsia="SimSun" w:cs="Arial"/>
          <w:szCs w:val="24"/>
          <w:lang w:eastAsia="zh-CN"/>
        </w:rPr>
        <w:t xml:space="preserve"> soluble formazan (red) can be measured at 490 nm spectrophotometrically.</w:t>
      </w:r>
    </w:p>
    <w:p w:rsidR="00E75EA6" w:rsidRPr="00E75EA6" w:rsidRDefault="00E75EA6" w:rsidP="0070215A">
      <w:pPr>
        <w:pStyle w:val="Heading4"/>
        <w:spacing w:line="480" w:lineRule="auto"/>
        <w:rPr>
          <w:lang w:eastAsia="zh-CN"/>
        </w:rPr>
      </w:pPr>
      <w:r w:rsidRPr="00E75EA6">
        <w:rPr>
          <w:lang w:eastAsia="zh-CN"/>
        </w:rPr>
        <w:t xml:space="preserve">Cell </w:t>
      </w:r>
      <w:r w:rsidRPr="00F9763C">
        <w:t>culture setup</w:t>
      </w:r>
    </w:p>
    <w:p w:rsidR="0070215A" w:rsidRDefault="0070215A" w:rsidP="006B1C75">
      <w:pPr>
        <w:spacing w:before="120" w:after="0" w:line="480" w:lineRule="auto"/>
        <w:jc w:val="both"/>
      </w:pPr>
      <w:r>
        <w:rPr>
          <w:rFonts w:eastAsia="SimSun" w:cs="Arial"/>
          <w:szCs w:val="24"/>
          <w:lang w:eastAsia="zh-CN"/>
        </w:rPr>
        <w:t>1. Cells (10</w:t>
      </w:r>
      <w:r>
        <w:rPr>
          <w:rFonts w:eastAsia="SimSun" w:cs="Arial"/>
          <w:szCs w:val="24"/>
          <w:vertAlign w:val="superscript"/>
          <w:lang w:eastAsia="zh-CN"/>
        </w:rPr>
        <w:t>4</w:t>
      </w:r>
      <w:r>
        <w:rPr>
          <w:rFonts w:eastAsia="SimSun" w:cs="Arial"/>
          <w:szCs w:val="24"/>
          <w:lang w:eastAsia="zh-CN"/>
        </w:rPr>
        <w:t xml:space="preserve"> cells) were seeded in a 96-well culture plate in 200 μl of culture </w:t>
      </w:r>
      <w:r w:rsidRPr="008424A5">
        <w:rPr>
          <w:rFonts w:eastAsia="SimSun" w:cs="Arial"/>
          <w:szCs w:val="24"/>
          <w:lang w:eastAsia="zh-CN"/>
        </w:rPr>
        <w:t>medium (see cell preparation</w:t>
      </w:r>
      <w:r w:rsidR="004916CE">
        <w:rPr>
          <w:rFonts w:eastAsia="SimSun" w:cs="Arial"/>
          <w:szCs w:val="24"/>
          <w:lang w:eastAsia="zh-CN"/>
        </w:rPr>
        <w:t xml:space="preserve"> section 4.2.7.1 page 21</w:t>
      </w:r>
      <w:r w:rsidR="008424A5" w:rsidRPr="008424A5">
        <w:rPr>
          <w:rFonts w:eastAsia="SimSun" w:cs="Arial"/>
          <w:szCs w:val="24"/>
          <w:lang w:eastAsia="zh-CN"/>
        </w:rPr>
        <w:t>8</w:t>
      </w:r>
      <w:r w:rsidRPr="008424A5">
        <w:rPr>
          <w:rFonts w:eastAsia="SimSun" w:cs="Arial"/>
          <w:szCs w:val="24"/>
          <w:lang w:eastAsia="zh-CN"/>
        </w:rPr>
        <w:t>) and</w:t>
      </w:r>
      <w:r w:rsidRPr="004770C0">
        <w:rPr>
          <w:rFonts w:eastAsia="SimSun" w:cs="Arial"/>
          <w:szCs w:val="24"/>
          <w:lang w:eastAsia="zh-CN"/>
        </w:rPr>
        <w:t xml:space="preserve"> incubated at 37°C in humidified atmosphere of 5</w:t>
      </w:r>
      <w:r w:rsidRPr="006B1C75">
        <w:rPr>
          <w:rFonts w:eastAsia="SimSun" w:cs="Arial"/>
          <w:szCs w:val="24"/>
          <w:lang w:eastAsia="zh-CN"/>
        </w:rPr>
        <w:t>% CO</w:t>
      </w:r>
      <w:r w:rsidRPr="006B1C75">
        <w:rPr>
          <w:rFonts w:eastAsia="SimSun" w:cs="Arial"/>
          <w:szCs w:val="24"/>
          <w:vertAlign w:val="superscript"/>
          <w:lang w:eastAsia="zh-CN"/>
        </w:rPr>
        <w:t xml:space="preserve">2 </w:t>
      </w:r>
      <w:r w:rsidRPr="006B1C75">
        <w:rPr>
          <w:rFonts w:eastAsia="SimSun" w:cs="Arial"/>
          <w:szCs w:val="24"/>
          <w:lang w:eastAsia="zh-CN"/>
        </w:rPr>
        <w:t xml:space="preserve">for 24 hours. For each test sample </w:t>
      </w:r>
      <w:r w:rsidR="004770C0" w:rsidRPr="006B1C75">
        <w:rPr>
          <w:rFonts w:eastAsia="SimSun" w:cs="Arial"/>
          <w:szCs w:val="24"/>
          <w:lang w:eastAsia="zh-CN"/>
        </w:rPr>
        <w:t>prepared as mentioned above section</w:t>
      </w:r>
      <w:r w:rsidR="006B1C75" w:rsidRPr="006B1C75">
        <w:rPr>
          <w:rFonts w:eastAsia="SimSun" w:cs="Arial"/>
          <w:szCs w:val="24"/>
          <w:lang w:eastAsia="zh-CN"/>
        </w:rPr>
        <w:t xml:space="preserve"> 4.2.7.1</w:t>
      </w:r>
      <w:r w:rsidR="004916CE" w:rsidRPr="006B1C75">
        <w:rPr>
          <w:rFonts w:eastAsia="SimSun" w:cs="Arial"/>
          <w:szCs w:val="24"/>
          <w:lang w:eastAsia="zh-CN"/>
        </w:rPr>
        <w:t xml:space="preserve"> page 21</w:t>
      </w:r>
      <w:r w:rsidR="006B1C75" w:rsidRPr="006B1C75">
        <w:rPr>
          <w:rFonts w:eastAsia="SimSun" w:cs="Arial"/>
          <w:szCs w:val="24"/>
          <w:lang w:eastAsia="zh-CN"/>
        </w:rPr>
        <w:t>8</w:t>
      </w:r>
      <w:r w:rsidR="008424A5">
        <w:rPr>
          <w:rFonts w:eastAsia="SimSun" w:cs="Arial"/>
          <w:szCs w:val="24"/>
          <w:lang w:eastAsia="zh-CN"/>
        </w:rPr>
        <w:t xml:space="preserve"> </w:t>
      </w:r>
      <w:r w:rsidRPr="004770C0">
        <w:rPr>
          <w:rFonts w:eastAsia="SimSun" w:cs="Arial"/>
          <w:szCs w:val="24"/>
          <w:lang w:eastAsia="zh-CN"/>
        </w:rPr>
        <w:t>by 50</w:t>
      </w:r>
      <w:r w:rsidRPr="004770C0">
        <w:rPr>
          <w:rFonts w:eastAsia="SimSun" w:cs="Arial"/>
          <w:b/>
          <w:bCs/>
          <w:szCs w:val="24"/>
          <w:lang w:eastAsia="zh-CN"/>
        </w:rPr>
        <w:t xml:space="preserve"> </w:t>
      </w:r>
      <w:r w:rsidRPr="004770C0">
        <w:rPr>
          <w:rFonts w:ascii="Symbol" w:eastAsia="SimSun" w:hAnsi="Symbol" w:cs="Arial"/>
          <w:szCs w:val="24"/>
          <w:lang w:eastAsia="zh-CN"/>
        </w:rPr>
        <w:t></w:t>
      </w:r>
      <w:r w:rsidRPr="004770C0">
        <w:rPr>
          <w:rFonts w:eastAsia="SimSun" w:cs="Arial"/>
          <w:szCs w:val="24"/>
          <w:lang w:eastAsia="zh-CN"/>
        </w:rPr>
        <w:t>g/ml antibiotics were added an</w:t>
      </w:r>
      <w:r>
        <w:rPr>
          <w:rFonts w:eastAsia="SimSun" w:cs="Arial"/>
          <w:szCs w:val="24"/>
          <w:lang w:eastAsia="zh-CN"/>
        </w:rPr>
        <w:t xml:space="preserve">d incubated for another 24 hours. Besides test samples, three </w:t>
      </w:r>
      <w:r>
        <w:rPr>
          <w:rFonts w:eastAsia="SimSun" w:cs="Arial"/>
          <w:szCs w:val="24"/>
          <w:lang w:eastAsia="zh-CN"/>
        </w:rPr>
        <w:lastRenderedPageBreak/>
        <w:t>positive controls (cultures in medium with 1% Triton X-100) and three negative controls (cultures in medium) were included.</w:t>
      </w:r>
    </w:p>
    <w:p w:rsidR="00E75EA6" w:rsidRPr="00E75EA6" w:rsidRDefault="00E75EA6" w:rsidP="000C6B69">
      <w:pPr>
        <w:pStyle w:val="Heading4"/>
        <w:spacing w:line="480" w:lineRule="auto"/>
        <w:rPr>
          <w:lang w:eastAsia="zh-CN"/>
        </w:rPr>
      </w:pPr>
      <w:r w:rsidRPr="00E75EA6">
        <w:rPr>
          <w:lang w:eastAsia="zh-CN"/>
        </w:rPr>
        <w:t xml:space="preserve"> Preparation of LDH standard </w:t>
      </w:r>
    </w:p>
    <w:p w:rsidR="00E75EA6" w:rsidRPr="00E75EA6" w:rsidRDefault="00E75EA6" w:rsidP="000C6B69">
      <w:pPr>
        <w:suppressAutoHyphens/>
        <w:autoSpaceDN w:val="0"/>
        <w:spacing w:before="120" w:after="0" w:line="480" w:lineRule="auto"/>
        <w:jc w:val="both"/>
        <w:textAlignment w:val="baseline"/>
        <w:rPr>
          <w:rFonts w:ascii="Arial" w:eastAsia="SimSun" w:hAnsi="Arial" w:cs="Arial"/>
          <w:szCs w:val="24"/>
          <w:lang w:eastAsia="zh-CN"/>
        </w:rPr>
      </w:pPr>
      <w:r w:rsidRPr="00E75EA6">
        <w:rPr>
          <w:rFonts w:ascii="Arial" w:eastAsia="SimSun" w:hAnsi="Arial" w:cs="Arial"/>
          <w:szCs w:val="24"/>
          <w:lang w:eastAsia="zh-CN"/>
        </w:rPr>
        <w:t>1. Add 2 μl of LDH stock to 498 μl of PBS to make a 500 μl solution of 1000 mU/ml LDH.</w:t>
      </w:r>
    </w:p>
    <w:p w:rsidR="00E75EA6" w:rsidRPr="00E75EA6" w:rsidRDefault="00E75EA6" w:rsidP="00E75EA6">
      <w:pPr>
        <w:suppressAutoHyphens/>
        <w:autoSpaceDN w:val="0"/>
        <w:spacing w:before="120" w:after="0" w:line="480" w:lineRule="auto"/>
        <w:jc w:val="both"/>
        <w:textAlignment w:val="baseline"/>
        <w:rPr>
          <w:rFonts w:ascii="Arial" w:eastAsia="SimSun" w:hAnsi="Arial" w:cs="Arial"/>
          <w:szCs w:val="24"/>
          <w:lang w:eastAsia="zh-CN"/>
        </w:rPr>
      </w:pPr>
      <w:r w:rsidRPr="00E75EA6">
        <w:rPr>
          <w:rFonts w:ascii="Arial" w:eastAsia="SimSun" w:hAnsi="Arial" w:cs="Arial"/>
          <w:szCs w:val="24"/>
          <w:lang w:eastAsia="zh-CN"/>
        </w:rPr>
        <w:t>2. Obtain 8 test tubes, add 450 μl of culture medium into each tube and label them #1 through #8.as following (Met, Cip, Mino, Cip +Met,Cip +Mino+Met, Cont +ve cont and _ve cont)</w:t>
      </w:r>
    </w:p>
    <w:p w:rsidR="00E75EA6" w:rsidRPr="00E75EA6" w:rsidRDefault="00E75EA6" w:rsidP="00E75EA6">
      <w:pPr>
        <w:suppressAutoHyphens/>
        <w:autoSpaceDN w:val="0"/>
        <w:spacing w:before="120" w:after="0" w:line="480" w:lineRule="auto"/>
        <w:jc w:val="both"/>
        <w:textAlignment w:val="baseline"/>
        <w:rPr>
          <w:rFonts w:ascii="Arial" w:eastAsia="SimSun" w:hAnsi="Arial" w:cs="Arial"/>
          <w:szCs w:val="24"/>
          <w:lang w:eastAsia="zh-CN"/>
        </w:rPr>
      </w:pPr>
      <w:r w:rsidRPr="00E75EA6">
        <w:rPr>
          <w:rFonts w:ascii="Arial" w:eastAsia="SimSun" w:hAnsi="Arial" w:cs="Arial"/>
          <w:szCs w:val="24"/>
          <w:lang w:eastAsia="zh-CN"/>
        </w:rPr>
        <w:t>3. Add 450 μl of the 1000 mU/ml LDH solution into tube #1 and mix well to get the 500 mU/ml LDH standard.</w:t>
      </w:r>
    </w:p>
    <w:p w:rsidR="00E75EA6" w:rsidRPr="00E75EA6" w:rsidRDefault="00E75EA6" w:rsidP="00E75EA6">
      <w:pPr>
        <w:suppressAutoHyphens/>
        <w:autoSpaceDN w:val="0"/>
        <w:spacing w:before="120" w:after="0" w:line="480" w:lineRule="auto"/>
        <w:jc w:val="both"/>
        <w:textAlignment w:val="baseline"/>
        <w:rPr>
          <w:rFonts w:ascii="Arial" w:eastAsia="Times New Roman" w:hAnsi="Arial" w:cs="Arial"/>
          <w:szCs w:val="24"/>
          <w:lang w:eastAsia="zh-CN"/>
        </w:rPr>
      </w:pPr>
      <w:r w:rsidRPr="00E75EA6">
        <w:rPr>
          <w:rFonts w:ascii="Arial" w:eastAsia="SimSun" w:hAnsi="Arial" w:cs="Arial"/>
          <w:szCs w:val="24"/>
          <w:lang w:eastAsia="zh-CN"/>
        </w:rPr>
        <w:t>4. Transfer 450 μl of the 500 mU/ml LDH standard from tube #1 to tube #2 and mix well to get the 250 mU/ml LDH standard</w:t>
      </w:r>
      <w:r w:rsidRPr="00E75EA6">
        <w:rPr>
          <w:rFonts w:ascii="Arial" w:eastAsia="SimSun" w:hAnsi="Arial" w:cs="Arial"/>
          <w:b/>
          <w:szCs w:val="24"/>
          <w:lang w:eastAsia="zh-CN"/>
        </w:rPr>
        <w:t>.</w:t>
      </w:r>
    </w:p>
    <w:p w:rsidR="00E75EA6" w:rsidRPr="00E75EA6" w:rsidRDefault="00E75EA6" w:rsidP="00E75EA6">
      <w:pPr>
        <w:suppressAutoHyphens/>
        <w:autoSpaceDN w:val="0"/>
        <w:spacing w:before="120" w:after="0" w:line="480" w:lineRule="auto"/>
        <w:jc w:val="both"/>
        <w:textAlignment w:val="baseline"/>
        <w:rPr>
          <w:rFonts w:ascii="Arial" w:eastAsia="SimSun" w:hAnsi="Arial" w:cs="Arial"/>
          <w:szCs w:val="24"/>
          <w:lang w:eastAsia="zh-CN"/>
        </w:rPr>
      </w:pPr>
      <w:r w:rsidRPr="00E75EA6">
        <w:rPr>
          <w:rFonts w:ascii="Arial" w:eastAsia="SimSun" w:hAnsi="Arial" w:cs="Arial"/>
          <w:szCs w:val="24"/>
          <w:lang w:eastAsia="zh-CN"/>
        </w:rPr>
        <w:t>5. Repeat step 4 for tubes #3-7 to serially dilute the LDH standards. Do not add any LDH to tube #8, which serves as the blank.</w:t>
      </w:r>
    </w:p>
    <w:p w:rsidR="00E75EA6" w:rsidRPr="00E75EA6" w:rsidRDefault="00E75EA6" w:rsidP="00E75EA6">
      <w:pPr>
        <w:suppressAutoHyphens/>
        <w:autoSpaceDN w:val="0"/>
        <w:spacing w:before="120" w:after="0" w:line="480" w:lineRule="auto"/>
        <w:jc w:val="both"/>
        <w:textAlignment w:val="baseline"/>
        <w:rPr>
          <w:rFonts w:ascii="Arial" w:eastAsia="SimSun" w:hAnsi="Arial" w:cs="Arial"/>
          <w:szCs w:val="24"/>
          <w:lang w:eastAsia="zh-CN"/>
        </w:rPr>
      </w:pPr>
      <w:r w:rsidRPr="00E75EA6">
        <w:rPr>
          <w:rFonts w:ascii="Arial" w:eastAsia="SimSun" w:hAnsi="Arial" w:cs="Arial"/>
          <w:szCs w:val="24"/>
          <w:lang w:eastAsia="zh-CN"/>
        </w:rPr>
        <w:t xml:space="preserve">6. Obtain a 96-well test </w:t>
      </w:r>
      <w:r w:rsidR="00F00EA7" w:rsidRPr="00E75EA6">
        <w:rPr>
          <w:rFonts w:ascii="Arial" w:eastAsia="SimSun" w:hAnsi="Arial" w:cs="Arial"/>
          <w:szCs w:val="24"/>
          <w:lang w:eastAsia="zh-CN"/>
        </w:rPr>
        <w:t>plate;</w:t>
      </w:r>
      <w:r w:rsidRPr="00E75EA6">
        <w:rPr>
          <w:rFonts w:ascii="Arial" w:eastAsia="SimSun" w:hAnsi="Arial" w:cs="Arial"/>
          <w:szCs w:val="24"/>
          <w:lang w:eastAsia="zh-CN"/>
        </w:rPr>
        <w:t xml:space="preserve"> prepare 3 replicates (A, B, C) of each LDH standard by aliquoting 150 μl/well of each LDH standard into triplicate wells of the 96-well test plate.</w:t>
      </w:r>
    </w:p>
    <w:p w:rsidR="00E75EA6" w:rsidRPr="00E75EA6" w:rsidRDefault="00E75EA6" w:rsidP="000C6B69">
      <w:pPr>
        <w:pStyle w:val="Heading4"/>
        <w:spacing w:line="480" w:lineRule="auto"/>
        <w:rPr>
          <w:lang w:eastAsia="zh-CN"/>
        </w:rPr>
      </w:pPr>
      <w:r w:rsidRPr="00E75EA6">
        <w:rPr>
          <w:lang w:eastAsia="zh-CN"/>
        </w:rPr>
        <w:t xml:space="preserve"> Preparation of test samples and +/-controls</w:t>
      </w:r>
    </w:p>
    <w:p w:rsidR="00E75EA6" w:rsidRPr="00E75EA6" w:rsidRDefault="00E75EA6" w:rsidP="000C6B69">
      <w:pPr>
        <w:suppressAutoHyphens/>
        <w:autoSpaceDN w:val="0"/>
        <w:spacing w:before="120" w:after="0" w:line="480" w:lineRule="auto"/>
        <w:jc w:val="both"/>
        <w:textAlignment w:val="baseline"/>
        <w:rPr>
          <w:rFonts w:ascii="Arial" w:eastAsia="SimSun" w:hAnsi="Arial" w:cs="Arial"/>
          <w:szCs w:val="24"/>
          <w:lang w:eastAsia="zh-CN"/>
        </w:rPr>
      </w:pPr>
      <w:r w:rsidRPr="00E75EA6">
        <w:rPr>
          <w:rFonts w:ascii="Arial" w:eastAsia="SimSun" w:hAnsi="Arial" w:cs="Arial"/>
          <w:szCs w:val="24"/>
          <w:lang w:eastAsia="zh-CN"/>
        </w:rPr>
        <w:t>1. Centrifuge the 96-well culture plate at 400 g for 5 min and transfer 150 μl of supernatant from each well (test, positive and negative control wells) to the corresponding well of the 96-well test plate.</w:t>
      </w:r>
    </w:p>
    <w:p w:rsidR="000821A5" w:rsidRDefault="000821A5">
      <w:pPr>
        <w:rPr>
          <w:rFonts w:eastAsiaTheme="majorEastAsia" w:cstheme="majorBidi"/>
          <w:b/>
          <w:bCs/>
          <w:iCs/>
          <w:lang w:eastAsia="zh-CN"/>
        </w:rPr>
      </w:pPr>
      <w:r>
        <w:rPr>
          <w:lang w:eastAsia="zh-CN"/>
        </w:rPr>
        <w:br w:type="page"/>
      </w:r>
    </w:p>
    <w:p w:rsidR="000C6B69" w:rsidRDefault="00E75EA6" w:rsidP="000821A5">
      <w:pPr>
        <w:pStyle w:val="Heading4"/>
        <w:spacing w:line="480" w:lineRule="auto"/>
        <w:rPr>
          <w:lang w:eastAsia="zh-CN"/>
        </w:rPr>
      </w:pPr>
      <w:r w:rsidRPr="00E75EA6">
        <w:rPr>
          <w:lang w:eastAsia="zh-CN"/>
        </w:rPr>
        <w:lastRenderedPageBreak/>
        <w:t xml:space="preserve">Measurements </w:t>
      </w:r>
    </w:p>
    <w:p w:rsidR="00E75EA6" w:rsidRPr="000C6B69" w:rsidRDefault="00E75EA6" w:rsidP="000821A5">
      <w:pPr>
        <w:spacing w:line="480" w:lineRule="auto"/>
        <w:rPr>
          <w:lang w:eastAsia="zh-CN"/>
        </w:rPr>
      </w:pPr>
      <w:r w:rsidRPr="000C6B69">
        <w:t xml:space="preserve">To make 60 μl of working reaction mixture for each well of 96-well plate, add 2 μl of sodium lactate, 2 μl of INT and 20 μl of substrate mix to 36 μl of PBS. </w:t>
      </w:r>
    </w:p>
    <w:p w:rsidR="00E75EA6" w:rsidRPr="00E75EA6" w:rsidRDefault="00E75EA6" w:rsidP="000821A5">
      <w:pPr>
        <w:suppressAutoHyphens/>
        <w:autoSpaceDE w:val="0"/>
        <w:autoSpaceDN w:val="0"/>
        <w:spacing w:after="136" w:line="480" w:lineRule="auto"/>
        <w:jc w:val="both"/>
        <w:textAlignment w:val="baseline"/>
        <w:rPr>
          <w:rFonts w:ascii="Arial" w:eastAsia="SimSun" w:hAnsi="Arial" w:cs="Arial"/>
          <w:szCs w:val="24"/>
          <w:lang w:eastAsia="zh-CN"/>
        </w:rPr>
      </w:pPr>
      <w:r w:rsidRPr="00E75EA6">
        <w:rPr>
          <w:rFonts w:ascii="Arial" w:eastAsia="SimSun" w:hAnsi="Arial" w:cs="Arial"/>
          <w:szCs w:val="24"/>
          <w:lang w:eastAsia="zh-CN"/>
        </w:rPr>
        <w:t xml:space="preserve">2. Add 60 μl of working reaction mixture into each well of the 96-well test plate containing LDH standard, test samples, or controls. Incubate for 30 minutes at room temperature in dark. </w:t>
      </w:r>
    </w:p>
    <w:p w:rsidR="00E75EA6" w:rsidRPr="00E75EA6" w:rsidRDefault="00E75EA6" w:rsidP="000821A5">
      <w:pPr>
        <w:suppressAutoHyphens/>
        <w:autoSpaceDE w:val="0"/>
        <w:autoSpaceDN w:val="0"/>
        <w:spacing w:after="136" w:line="480" w:lineRule="auto"/>
        <w:jc w:val="both"/>
        <w:textAlignment w:val="baseline"/>
        <w:rPr>
          <w:rFonts w:ascii="Arial" w:eastAsia="SimSun" w:hAnsi="Arial" w:cs="Arial"/>
          <w:szCs w:val="24"/>
          <w:lang w:eastAsia="zh-CN"/>
        </w:rPr>
      </w:pPr>
      <w:r w:rsidRPr="00E75EA6">
        <w:rPr>
          <w:rFonts w:ascii="Arial" w:eastAsia="SimSun" w:hAnsi="Arial" w:cs="Arial"/>
          <w:szCs w:val="24"/>
          <w:lang w:eastAsia="zh-CN"/>
        </w:rPr>
        <w:t xml:space="preserve">3. Stop the reaction with 20 μl of sodium oxymate solution per well of 96-well plate. </w:t>
      </w:r>
    </w:p>
    <w:p w:rsidR="00E75EA6" w:rsidRPr="00261231" w:rsidRDefault="00E75EA6" w:rsidP="000821A5">
      <w:pPr>
        <w:suppressAutoHyphens/>
        <w:autoSpaceDE w:val="0"/>
        <w:autoSpaceDN w:val="0"/>
        <w:spacing w:after="0" w:line="480" w:lineRule="auto"/>
        <w:jc w:val="both"/>
        <w:textAlignment w:val="baseline"/>
        <w:rPr>
          <w:rFonts w:ascii="Arial" w:eastAsia="Times New Roman" w:hAnsi="Arial" w:cs="Arial"/>
          <w:szCs w:val="24"/>
          <w:lang w:eastAsia="zh-CN"/>
        </w:rPr>
      </w:pPr>
      <w:r w:rsidRPr="00E75EA6">
        <w:rPr>
          <w:rFonts w:ascii="Arial" w:eastAsia="SimSun" w:hAnsi="Arial" w:cs="Arial"/>
          <w:szCs w:val="24"/>
          <w:lang w:eastAsia="zh-CN"/>
        </w:rPr>
        <w:t>4. Read the absorbance at 490 nm with an</w:t>
      </w:r>
      <w:r w:rsidRPr="00E75EA6">
        <w:rPr>
          <w:rFonts w:ascii="Arial" w:eastAsia="Calibri" w:hAnsi="Arial" w:cs="Arial"/>
          <w:color w:val="000000"/>
          <w:szCs w:val="24"/>
        </w:rPr>
        <w:t xml:space="preserve"> MRX Microplate Reader</w:t>
      </w:r>
      <w:r w:rsidRPr="00E75EA6">
        <w:rPr>
          <w:rFonts w:ascii="Arial" w:eastAsia="SimSun" w:hAnsi="Arial" w:cs="Arial"/>
          <w:szCs w:val="24"/>
          <w:lang w:eastAsia="zh-CN"/>
        </w:rPr>
        <w:t xml:space="preserve"> </w:t>
      </w:r>
      <w:r w:rsidR="00F00EA7" w:rsidRPr="00261231">
        <w:rPr>
          <w:rFonts w:ascii="Arial" w:eastAsia="SimSun" w:hAnsi="Arial" w:cs="Arial"/>
          <w:szCs w:val="24"/>
          <w:lang w:eastAsia="zh-CN"/>
        </w:rPr>
        <w:t>(</w:t>
      </w:r>
      <w:r w:rsidR="00F00EA7" w:rsidRPr="00261231">
        <w:rPr>
          <w:rFonts w:ascii="Arial" w:eastAsia="SimSun" w:hAnsi="Arial" w:cs="Arial"/>
          <w:szCs w:val="24"/>
          <w:lang w:eastAsia="zh-CN"/>
        </w:rPr>
        <w:fldChar w:fldCharType="begin"/>
      </w:r>
      <w:r w:rsidR="00F00EA7" w:rsidRPr="00261231">
        <w:rPr>
          <w:rFonts w:ascii="Arial" w:eastAsia="SimSun" w:hAnsi="Arial" w:cs="Arial"/>
          <w:szCs w:val="24"/>
          <w:lang w:eastAsia="zh-CN"/>
        </w:rPr>
        <w:instrText xml:space="preserve"> REF _Ref361134450 \h </w:instrText>
      </w:r>
      <w:r w:rsidR="00261231" w:rsidRPr="00261231">
        <w:rPr>
          <w:rFonts w:ascii="Arial" w:eastAsia="SimSun" w:hAnsi="Arial" w:cs="Arial"/>
          <w:szCs w:val="24"/>
          <w:lang w:eastAsia="zh-CN"/>
        </w:rPr>
        <w:instrText xml:space="preserve"> \* MERGEFORMAT </w:instrText>
      </w:r>
      <w:r w:rsidR="00F00EA7" w:rsidRPr="00261231">
        <w:rPr>
          <w:rFonts w:ascii="Arial" w:eastAsia="SimSun" w:hAnsi="Arial" w:cs="Arial"/>
          <w:szCs w:val="24"/>
          <w:lang w:eastAsia="zh-CN"/>
        </w:rPr>
      </w:r>
      <w:r w:rsidR="00F00EA7" w:rsidRPr="00261231">
        <w:rPr>
          <w:rFonts w:ascii="Arial" w:eastAsia="SimSun" w:hAnsi="Arial" w:cs="Arial"/>
          <w:szCs w:val="24"/>
          <w:lang w:eastAsia="zh-CN"/>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b/>
          <w:bCs/>
          <w:noProof/>
          <w:sz w:val="20"/>
          <w:szCs w:val="20"/>
        </w:rPr>
        <w:t>4.8</w:t>
      </w:r>
      <w:r w:rsidR="00F00EA7" w:rsidRPr="00261231">
        <w:rPr>
          <w:rFonts w:ascii="Arial" w:eastAsia="SimSun" w:hAnsi="Arial" w:cs="Arial"/>
          <w:szCs w:val="24"/>
          <w:lang w:eastAsia="zh-CN"/>
        </w:rPr>
        <w:fldChar w:fldCharType="end"/>
      </w:r>
      <w:r w:rsidR="00F00EA7" w:rsidRPr="00261231">
        <w:rPr>
          <w:rFonts w:ascii="Arial" w:eastAsia="SimSun" w:hAnsi="Arial" w:cs="Arial"/>
          <w:szCs w:val="24"/>
          <w:lang w:eastAsia="zh-CN"/>
        </w:rPr>
        <w:t>)</w:t>
      </w:r>
    </w:p>
    <w:p w:rsidR="00E75EA6" w:rsidRPr="00E75EA6" w:rsidRDefault="00E75EA6" w:rsidP="000821A5">
      <w:pPr>
        <w:keepNext/>
        <w:keepLines/>
        <w:suppressAutoHyphens/>
        <w:autoSpaceDN w:val="0"/>
        <w:spacing w:before="200" w:after="0" w:line="480" w:lineRule="auto"/>
        <w:ind w:left="864" w:hanging="864"/>
        <w:textAlignment w:val="baseline"/>
        <w:rPr>
          <w:rFonts w:ascii="Arial" w:eastAsia="SimSun" w:hAnsi="Arial" w:cs="Times New Roman"/>
          <w:b/>
          <w:bCs/>
          <w:iCs/>
          <w:lang w:eastAsia="en-GB"/>
        </w:rPr>
      </w:pPr>
      <w:r w:rsidRPr="00E75EA6">
        <w:rPr>
          <w:rFonts w:ascii="Arial" w:eastAsia="SimSun" w:hAnsi="Arial" w:cs="Times New Roman"/>
          <w:b/>
          <w:bCs/>
          <w:iCs/>
          <w:lang w:eastAsia="en-GB"/>
        </w:rPr>
        <w:t>Calculation</w:t>
      </w:r>
    </w:p>
    <w:p w:rsidR="00261231" w:rsidRDefault="00261231" w:rsidP="00261231">
      <w:pPr>
        <w:suppressAutoHyphens/>
        <w:autoSpaceDN w:val="0"/>
        <w:spacing w:after="0" w:line="480" w:lineRule="auto"/>
        <w:textAlignment w:val="baseline"/>
        <w:rPr>
          <w:rFonts w:eastAsia="Times New Roman" w:cs="Arial"/>
          <w:szCs w:val="24"/>
          <w:lang w:eastAsia="en-GB"/>
        </w:rPr>
      </w:pPr>
      <w:r>
        <w:rPr>
          <w:rFonts w:eastAsia="Times New Roman" w:cs="Arial"/>
          <w:szCs w:val="24"/>
          <w:lang w:eastAsia="en-GB"/>
        </w:rPr>
        <w:t>The measurements were calculated using the following formula</w:t>
      </w:r>
    </w:p>
    <w:p w:rsidR="00261231" w:rsidRDefault="00261231" w:rsidP="00261231">
      <w:pPr>
        <w:suppressAutoHyphens/>
        <w:autoSpaceDN w:val="0"/>
        <w:spacing w:after="0" w:line="480" w:lineRule="auto"/>
        <w:textAlignment w:val="baseline"/>
        <w:rPr>
          <w:rFonts w:eastAsia="Times New Roman" w:cs="Arial"/>
          <w:szCs w:val="24"/>
          <w:lang w:eastAsia="en-GB"/>
        </w:rPr>
      </w:pPr>
    </w:p>
    <w:p w:rsidR="00E75EA6" w:rsidRPr="00261231" w:rsidRDefault="00E75EA6" w:rsidP="00261231">
      <w:pPr>
        <w:suppressAutoHyphens/>
        <w:autoSpaceDN w:val="0"/>
        <w:spacing w:after="0" w:line="480" w:lineRule="auto"/>
        <w:textAlignment w:val="baseline"/>
        <w:rPr>
          <w:rFonts w:ascii="Arial" w:eastAsia="Times New Roman" w:hAnsi="Arial" w:cs="Arial"/>
          <w:szCs w:val="24"/>
          <w:lang w:eastAsia="zh-CN"/>
        </w:rPr>
      </w:pPr>
      <m:oMathPara>
        <m:oMathParaPr>
          <m:jc m:val="left"/>
        </m:oMathParaPr>
        <m:oMath>
          <m:r>
            <w:rPr>
              <w:rFonts w:ascii="Cambria Math" w:eastAsia="Times New Roman" w:hAnsi="Cambria Math" w:cs="Arial"/>
              <w:szCs w:val="24"/>
              <w:lang w:eastAsia="zh-CN"/>
            </w:rPr>
            <m:t>% Cytoxicity =</m:t>
          </m:r>
          <m:f>
            <m:fPr>
              <m:ctrlPr>
                <w:rPr>
                  <w:rFonts w:ascii="Cambria Math" w:eastAsia="Times New Roman" w:hAnsi="Cambria Math" w:cs="Arial"/>
                  <w:szCs w:val="24"/>
                  <w:lang w:eastAsia="zh-CN"/>
                </w:rPr>
              </m:ctrlPr>
            </m:fPr>
            <m:num>
              <m:r>
                <w:rPr>
                  <w:rFonts w:ascii="Cambria Math" w:eastAsia="Times New Roman" w:hAnsi="Cambria Math" w:cs="Arial"/>
                  <w:szCs w:val="24"/>
                  <w:lang w:eastAsia="zh-CN"/>
                </w:rPr>
                <m:t>Experimental LDH release (OD490)</m:t>
              </m:r>
            </m:num>
            <m:den>
              <m:r>
                <w:rPr>
                  <w:rFonts w:ascii="Cambria Math" w:eastAsia="Times New Roman" w:hAnsi="Cambria Math" w:cs="Arial"/>
                  <w:szCs w:val="24"/>
                  <w:lang w:eastAsia="zh-CN"/>
                </w:rPr>
                <m:t>Maximum LDH release (OD490)</m:t>
              </m:r>
            </m:den>
          </m:f>
        </m:oMath>
      </m:oMathPara>
    </w:p>
    <w:p w:rsidR="00E75EA6" w:rsidRPr="00E75EA6" w:rsidRDefault="00E75EA6" w:rsidP="00E75EA6">
      <w:pPr>
        <w:pageBreakBefore/>
        <w:suppressAutoHyphens/>
        <w:autoSpaceDN w:val="0"/>
        <w:spacing w:after="0" w:line="240" w:lineRule="auto"/>
        <w:textAlignment w:val="baseline"/>
        <w:rPr>
          <w:rFonts w:ascii="Arial" w:eastAsia="Times New Roman" w:hAnsi="Arial" w:cs="Arial"/>
        </w:rPr>
      </w:pPr>
    </w:p>
    <w:p w:rsidR="00E75EA6" w:rsidRPr="00E75EA6" w:rsidRDefault="00E75EA6" w:rsidP="00E75EA6">
      <w:pPr>
        <w:suppressAutoHyphens/>
        <w:autoSpaceDN w:val="0"/>
        <w:spacing w:after="0" w:line="480" w:lineRule="auto"/>
        <w:textAlignment w:val="baseline"/>
        <w:rPr>
          <w:rFonts w:ascii="Arial" w:eastAsia="Calibri" w:hAnsi="Arial"/>
        </w:rPr>
      </w:pPr>
    </w:p>
    <w:p w:rsidR="00E75EA6" w:rsidRPr="00E75EA6" w:rsidRDefault="00E75EA6" w:rsidP="00E75EA6">
      <w:pPr>
        <w:suppressAutoHyphens/>
        <w:autoSpaceDN w:val="0"/>
        <w:spacing w:after="0" w:line="480" w:lineRule="auto"/>
        <w:textAlignment w:val="baseline"/>
        <w:rPr>
          <w:rFonts w:ascii="Arial" w:eastAsia="Times New Roman" w:hAnsi="Arial" w:cs="Arial"/>
          <w:szCs w:val="24"/>
          <w:lang w:eastAsia="zh-CN"/>
        </w:rPr>
      </w:pPr>
      <w:r w:rsidRPr="00E75EA6">
        <w:rPr>
          <w:rFonts w:ascii="Arial" w:eastAsia="SimSun" w:hAnsi="Arial" w:cs="Arial"/>
          <w:noProof/>
          <w:szCs w:val="24"/>
          <w:lang w:eastAsia="en-GB"/>
        </w:rPr>
        <w:drawing>
          <wp:anchor distT="0" distB="0" distL="114300" distR="114300" simplePos="0" relativeHeight="251786240" behindDoc="0" locked="0" layoutInCell="1" allowOverlap="1" wp14:anchorId="67CA4C7F" wp14:editId="56E59CFF">
            <wp:simplePos x="0" y="0"/>
            <wp:positionH relativeFrom="column">
              <wp:posOffset>390525</wp:posOffset>
            </wp:positionH>
            <wp:positionV relativeFrom="paragraph">
              <wp:posOffset>-5715</wp:posOffset>
            </wp:positionV>
            <wp:extent cx="4000500" cy="2713990"/>
            <wp:effectExtent l="0" t="0" r="0" b="0"/>
            <wp:wrapSquare wrapText="bothSides"/>
            <wp:docPr id="294"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rcRect/>
                    <a:stretch>
                      <a:fillRect/>
                    </a:stretch>
                  </pic:blipFill>
                  <pic:spPr>
                    <a:xfrm>
                      <a:off x="0" y="0"/>
                      <a:ext cx="4000500" cy="2713990"/>
                    </a:xfrm>
                    <a:prstGeom prst="rect">
                      <a:avLst/>
                    </a:prstGeom>
                    <a:noFill/>
                    <a:ln>
                      <a:noFill/>
                      <a:prstDash/>
                    </a:ln>
                  </pic:spPr>
                </pic:pic>
              </a:graphicData>
            </a:graphic>
          </wp:anchor>
        </w:drawing>
      </w:r>
      <w:r>
        <w:rPr>
          <w:noProof/>
          <w:lang w:eastAsia="en-GB"/>
        </w:rPr>
        <mc:AlternateContent>
          <mc:Choice Requires="wps">
            <w:drawing>
              <wp:anchor distT="0" distB="0" distL="114300" distR="114300" simplePos="0" relativeHeight="251803648" behindDoc="0" locked="0" layoutInCell="1" allowOverlap="1" wp14:anchorId="41C4BBF4" wp14:editId="336B46E6">
                <wp:simplePos x="0" y="0"/>
                <wp:positionH relativeFrom="column">
                  <wp:posOffset>-290830</wp:posOffset>
                </wp:positionH>
                <wp:positionV relativeFrom="paragraph">
                  <wp:posOffset>-642620</wp:posOffset>
                </wp:positionV>
                <wp:extent cx="5400675" cy="457200"/>
                <wp:effectExtent l="0" t="0" r="0" b="0"/>
                <wp:wrapSquare wrapText="bothSides"/>
                <wp:docPr id="297" name="Text Box 297"/>
                <wp:cNvGraphicFramePr/>
                <a:graphic xmlns:a="http://schemas.openxmlformats.org/drawingml/2006/main">
                  <a:graphicData uri="http://schemas.microsoft.com/office/word/2010/wordprocessingShape">
                    <wps:wsp>
                      <wps:cNvSpPr txBox="1"/>
                      <wps:spPr>
                        <a:xfrm>
                          <a:off x="0" y="0"/>
                          <a:ext cx="5400675" cy="457200"/>
                        </a:xfrm>
                        <a:prstGeom prst="rect">
                          <a:avLst/>
                        </a:prstGeom>
                        <a:solidFill>
                          <a:prstClr val="white"/>
                        </a:solidFill>
                        <a:ln>
                          <a:noFill/>
                        </a:ln>
                        <a:effectLst/>
                      </wps:spPr>
                      <wps:txbx>
                        <w:txbxContent>
                          <w:p w:rsidR="003208E6" w:rsidRPr="00E75EA6" w:rsidRDefault="003208E6" w:rsidP="00E75EA6">
                            <w:pPr>
                              <w:spacing w:before="120" w:after="0" w:line="240" w:lineRule="auto"/>
                              <w:rPr>
                                <w:rFonts w:cstheme="minorBidi"/>
                                <w:b/>
                                <w:bCs/>
                                <w:sz w:val="20"/>
                                <w:szCs w:val="20"/>
                              </w:rPr>
                            </w:pPr>
                            <w:bookmarkStart w:id="709" w:name="_Ref361134355"/>
                            <w:bookmarkStart w:id="710" w:name="_Toc361733640"/>
                            <w:bookmarkStart w:id="711" w:name="_Toc361734283"/>
                            <w:bookmarkStart w:id="712" w:name="_Toc370511679"/>
                            <w:r w:rsidRPr="00E75EA6">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7</w:t>
                            </w:r>
                            <w:r>
                              <w:rPr>
                                <w:rFonts w:cstheme="minorBidi"/>
                                <w:b/>
                                <w:bCs/>
                                <w:sz w:val="20"/>
                                <w:szCs w:val="20"/>
                              </w:rPr>
                              <w:fldChar w:fldCharType="end"/>
                            </w:r>
                            <w:bookmarkEnd w:id="709"/>
                            <w:r w:rsidRPr="00E75EA6">
                              <w:rPr>
                                <w:rFonts w:eastAsia="SimSun" w:cstheme="minorBidi"/>
                                <w:b/>
                                <w:bCs/>
                                <w:sz w:val="20"/>
                                <w:szCs w:val="20"/>
                              </w:rPr>
                              <w:t xml:space="preserve"> Shows Lactate dehydrogenase (LDH) used to clarify the effect of the antibiotics used individually or in combination on pulp stem cells after 24 of application</w:t>
                            </w:r>
                            <w:bookmarkEnd w:id="710"/>
                            <w:bookmarkEnd w:id="711"/>
                            <w:bookmarkEnd w:id="712"/>
                          </w:p>
                          <w:p w:rsidR="003208E6" w:rsidRPr="001E72EF" w:rsidRDefault="003208E6" w:rsidP="001D3F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297" o:spid="_x0000_s1055" type="#_x0000_t202" style="position:absolute;margin-left:-22.9pt;margin-top:-50.6pt;width:425.25pt;height:36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" stroked="f">
                <v:textbox inset="0,0,0,0">
                  <w:txbxContent>
                    <w:p w:rsidR="003208E6" w:rsidRPr="00E75EA6" w:rsidRDefault="003208E6" w:rsidP="00E75EA6">
                      <w:pPr>
                        <w:spacing w:before="120" w:after="0" w:line="240" w:lineRule="auto"/>
                        <w:rPr>
                          <w:rFonts w:cstheme="minorBidi"/>
                          <w:b/>
                          <w:bCs/>
                          <w:sz w:val="20"/>
                          <w:szCs w:val="20"/>
                        </w:rPr>
                      </w:pPr>
                      <w:bookmarkStart w:id="781" w:name="_Ref361134355"/>
                      <w:bookmarkStart w:id="782" w:name="_Toc361733640"/>
                      <w:bookmarkStart w:id="783" w:name="_Toc361734283"/>
                      <w:bookmarkStart w:id="784" w:name="_Toc370511679"/>
                      <w:r w:rsidRPr="00E75EA6">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7</w:t>
                      </w:r>
                      <w:r>
                        <w:rPr>
                          <w:rFonts w:cstheme="minorBidi"/>
                          <w:b/>
                          <w:bCs/>
                          <w:sz w:val="20"/>
                          <w:szCs w:val="20"/>
                        </w:rPr>
                        <w:fldChar w:fldCharType="end"/>
                      </w:r>
                      <w:bookmarkEnd w:id="781"/>
                      <w:r w:rsidRPr="00E75EA6">
                        <w:rPr>
                          <w:rFonts w:eastAsia="SimSun" w:cstheme="minorBidi"/>
                          <w:b/>
                          <w:bCs/>
                          <w:sz w:val="20"/>
                          <w:szCs w:val="20"/>
                        </w:rPr>
                        <w:t xml:space="preserve"> Shows Lactate dehydrogenase (LDH) used to clarify the effect of the antibiotics used individually or in combination on pulp stem cells after 24 of application</w:t>
                      </w:r>
                      <w:bookmarkEnd w:id="782"/>
                      <w:bookmarkEnd w:id="783"/>
                      <w:bookmarkEnd w:id="784"/>
                    </w:p>
                    <w:p w:rsidR="003208E6" w:rsidRPr="001E72EF" w:rsidRDefault="003208E6" w:rsidP="001D3F19"/>
                  </w:txbxContent>
                </v:textbox>
                <w10:wrap type="square"/>
              </v:shape>
            </w:pict>
          </mc:Fallback>
        </mc:AlternateContent>
      </w:r>
    </w:p>
    <w:p w:rsidR="00E75EA6" w:rsidRPr="00E75EA6" w:rsidRDefault="00E75EA6" w:rsidP="00E75EA6">
      <w:pPr>
        <w:suppressAutoHyphens/>
        <w:autoSpaceDN w:val="0"/>
        <w:spacing w:after="0" w:line="480" w:lineRule="auto"/>
        <w:textAlignment w:val="baseline"/>
        <w:rPr>
          <w:rFonts w:ascii="Arial" w:eastAsia="Calibri" w:hAnsi="Arial"/>
        </w:rPr>
      </w:pPr>
    </w:p>
    <w:p w:rsidR="00E75EA6" w:rsidRPr="00E75EA6" w:rsidRDefault="00E75EA6" w:rsidP="00E75EA6">
      <w:pPr>
        <w:suppressAutoHyphens/>
        <w:autoSpaceDN w:val="0"/>
        <w:spacing w:after="0" w:line="480" w:lineRule="auto"/>
        <w:textAlignment w:val="baseline"/>
        <w:rPr>
          <w:rFonts w:ascii="Arial" w:eastAsia="Calibri" w:hAnsi="Arial"/>
        </w:rPr>
      </w:pPr>
    </w:p>
    <w:p w:rsidR="00E75EA6" w:rsidRPr="00E75EA6" w:rsidRDefault="00E75EA6" w:rsidP="00E75EA6">
      <w:pPr>
        <w:suppressAutoHyphens/>
        <w:autoSpaceDN w:val="0"/>
        <w:spacing w:after="0" w:line="480" w:lineRule="auto"/>
        <w:textAlignment w:val="baseline"/>
        <w:rPr>
          <w:rFonts w:ascii="Arial" w:eastAsia="Calibri" w:hAnsi="Arial"/>
        </w:rPr>
      </w:pPr>
    </w:p>
    <w:p w:rsidR="00E75EA6" w:rsidRPr="00E75EA6" w:rsidRDefault="00E75EA6" w:rsidP="00E75EA6">
      <w:pPr>
        <w:suppressAutoHyphens/>
        <w:autoSpaceDN w:val="0"/>
        <w:spacing w:after="0" w:line="480" w:lineRule="auto"/>
        <w:textAlignment w:val="baseline"/>
        <w:rPr>
          <w:rFonts w:ascii="Arial" w:eastAsia="Calibri" w:hAnsi="Arial"/>
        </w:rPr>
      </w:pPr>
    </w:p>
    <w:p w:rsidR="00E75EA6" w:rsidRPr="00E75EA6" w:rsidRDefault="00E75EA6" w:rsidP="00E75EA6">
      <w:pPr>
        <w:suppressAutoHyphens/>
        <w:autoSpaceDN w:val="0"/>
        <w:spacing w:after="0" w:line="480" w:lineRule="auto"/>
        <w:textAlignment w:val="baseline"/>
        <w:rPr>
          <w:rFonts w:ascii="Arial" w:eastAsia="Calibri" w:hAnsi="Arial"/>
        </w:rPr>
      </w:pPr>
    </w:p>
    <w:p w:rsidR="00E75EA6" w:rsidRPr="00E75EA6" w:rsidRDefault="00E75EA6" w:rsidP="00E75EA6">
      <w:pPr>
        <w:suppressAutoHyphens/>
        <w:autoSpaceDN w:val="0"/>
        <w:spacing w:after="0" w:line="480" w:lineRule="auto"/>
        <w:textAlignment w:val="baseline"/>
        <w:rPr>
          <w:rFonts w:ascii="Arial" w:eastAsia="Calibri" w:hAnsi="Arial"/>
        </w:rPr>
      </w:pPr>
    </w:p>
    <w:p w:rsidR="00E75EA6" w:rsidRPr="00E75EA6" w:rsidRDefault="00E75EA6" w:rsidP="00E75EA6">
      <w:pPr>
        <w:suppressAutoHyphens/>
        <w:autoSpaceDN w:val="0"/>
        <w:spacing w:after="0" w:line="240" w:lineRule="auto"/>
        <w:textAlignment w:val="baseline"/>
        <w:rPr>
          <w:rFonts w:ascii="Arial" w:eastAsia="Times New Roman" w:hAnsi="Arial" w:cs="Arial"/>
          <w:szCs w:val="24"/>
          <w:lang w:eastAsia="zh-CN"/>
        </w:rPr>
      </w:pPr>
      <w:r w:rsidRPr="00E75EA6">
        <w:rPr>
          <w:rFonts w:ascii="Arial" w:eastAsia="SimSun" w:hAnsi="Arial" w:cs="Arial"/>
          <w:noProof/>
          <w:szCs w:val="24"/>
          <w:lang w:eastAsia="en-GB"/>
        </w:rPr>
        <w:drawing>
          <wp:anchor distT="0" distB="0" distL="114300" distR="114300" simplePos="0" relativeHeight="251787264" behindDoc="0" locked="0" layoutInCell="1" allowOverlap="1" wp14:anchorId="358BB56E" wp14:editId="4BBC0890">
            <wp:simplePos x="0" y="0"/>
            <wp:positionH relativeFrom="column">
              <wp:posOffset>123828</wp:posOffset>
            </wp:positionH>
            <wp:positionV relativeFrom="paragraph">
              <wp:posOffset>1395090</wp:posOffset>
            </wp:positionV>
            <wp:extent cx="4267203" cy="3209928"/>
            <wp:effectExtent l="0" t="0" r="0" b="9522"/>
            <wp:wrapSquare wrapText="bothSides"/>
            <wp:docPr id="295"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rcRect/>
                    <a:stretch>
                      <a:fillRect/>
                    </a:stretch>
                  </pic:blipFill>
                  <pic:spPr>
                    <a:xfrm>
                      <a:off x="0" y="0"/>
                      <a:ext cx="4267203" cy="3209928"/>
                    </a:xfrm>
                    <a:prstGeom prst="rect">
                      <a:avLst/>
                    </a:prstGeom>
                    <a:noFill/>
                    <a:ln>
                      <a:noFill/>
                      <a:prstDash/>
                    </a:ln>
                  </pic:spPr>
                </pic:pic>
              </a:graphicData>
            </a:graphic>
          </wp:anchor>
        </w:drawing>
      </w:r>
    </w:p>
    <w:p w:rsidR="00E75EA6" w:rsidRDefault="00E75EA6">
      <w:pPr>
        <w:rPr>
          <w:rFonts w:eastAsiaTheme="majorEastAsia"/>
          <w:b/>
          <w:bCs/>
          <w:sz w:val="28"/>
          <w:lang w:eastAsia="zh-CN"/>
        </w:rPr>
      </w:pPr>
      <w:r>
        <w:rPr>
          <w:noProof/>
          <w:lang w:eastAsia="en-GB"/>
        </w:rPr>
        <mc:AlternateContent>
          <mc:Choice Requires="wps">
            <w:drawing>
              <wp:anchor distT="0" distB="0" distL="114300" distR="114300" simplePos="0" relativeHeight="251805696" behindDoc="0" locked="0" layoutInCell="1" allowOverlap="1" wp14:anchorId="07A160B8" wp14:editId="5508359B">
                <wp:simplePos x="0" y="0"/>
                <wp:positionH relativeFrom="column">
                  <wp:posOffset>-38100</wp:posOffset>
                </wp:positionH>
                <wp:positionV relativeFrom="paragraph">
                  <wp:posOffset>630555</wp:posOffset>
                </wp:positionV>
                <wp:extent cx="4867275" cy="457200"/>
                <wp:effectExtent l="0" t="0" r="9525" b="0"/>
                <wp:wrapSquare wrapText="bothSides"/>
                <wp:docPr id="298" name="Text Box 298"/>
                <wp:cNvGraphicFramePr/>
                <a:graphic xmlns:a="http://schemas.openxmlformats.org/drawingml/2006/main">
                  <a:graphicData uri="http://schemas.microsoft.com/office/word/2010/wordprocessingShape">
                    <wps:wsp>
                      <wps:cNvSpPr txBox="1"/>
                      <wps:spPr>
                        <a:xfrm>
                          <a:off x="0" y="0"/>
                          <a:ext cx="4867275" cy="457200"/>
                        </a:xfrm>
                        <a:prstGeom prst="rect">
                          <a:avLst/>
                        </a:prstGeom>
                        <a:solidFill>
                          <a:prstClr val="white"/>
                        </a:solidFill>
                        <a:ln>
                          <a:noFill/>
                        </a:ln>
                        <a:effectLst/>
                      </wps:spPr>
                      <wps:txbx>
                        <w:txbxContent>
                          <w:p w:rsidR="003208E6" w:rsidRPr="00261231" w:rsidRDefault="003208E6" w:rsidP="001D3F19">
                            <w:pPr>
                              <w:rPr>
                                <w:rFonts w:cstheme="minorBidi"/>
                                <w:b/>
                                <w:bCs/>
                                <w:sz w:val="20"/>
                                <w:szCs w:val="20"/>
                              </w:rPr>
                            </w:pPr>
                            <w:bookmarkStart w:id="713" w:name="_Ref361134450"/>
                            <w:bookmarkStart w:id="714" w:name="_Toc361733641"/>
                            <w:bookmarkStart w:id="715" w:name="_Toc361734284"/>
                            <w:bookmarkStart w:id="716" w:name="_Toc370511680"/>
                            <w:r w:rsidRPr="00261231">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8</w:t>
                            </w:r>
                            <w:r>
                              <w:rPr>
                                <w:rFonts w:cstheme="minorBidi"/>
                                <w:b/>
                                <w:bCs/>
                                <w:sz w:val="20"/>
                                <w:szCs w:val="20"/>
                              </w:rPr>
                              <w:fldChar w:fldCharType="end"/>
                            </w:r>
                            <w:bookmarkEnd w:id="713"/>
                            <w:r w:rsidRPr="00261231">
                              <w:rPr>
                                <w:rFonts w:cstheme="minorBidi"/>
                                <w:b/>
                                <w:bCs/>
                                <w:sz w:val="20"/>
                                <w:szCs w:val="20"/>
                              </w:rPr>
                              <w:t xml:space="preserve"> Shows</w:t>
                            </w:r>
                            <w:r w:rsidRPr="00261231">
                              <w:rPr>
                                <w:rFonts w:eastAsia="SimSun" w:cstheme="minorBidi"/>
                                <w:b/>
                                <w:bCs/>
                                <w:sz w:val="20"/>
                                <w:szCs w:val="20"/>
                              </w:rPr>
                              <w:t xml:space="preserve"> </w:t>
                            </w:r>
                            <w:r w:rsidRPr="00261231">
                              <w:rPr>
                                <w:rFonts w:cstheme="minorBidi"/>
                                <w:b/>
                                <w:bCs/>
                                <w:sz w:val="20"/>
                                <w:szCs w:val="20"/>
                              </w:rPr>
                              <w:t>MRX Microplate Reader used to measure the pulp stem cells cytotoxicity</w:t>
                            </w:r>
                            <w:bookmarkEnd w:id="714"/>
                            <w:bookmarkEnd w:id="715"/>
                            <w:bookmarkEnd w:id="716"/>
                          </w:p>
                          <w:p w:rsidR="003208E6" w:rsidRPr="005C115B" w:rsidRDefault="003208E6" w:rsidP="001D3F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298" o:spid="_x0000_s1056" type="#_x0000_t202" style="position:absolute;margin-left:-3pt;margin-top:49.65pt;width:383.25pt;height:36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" stroked="f">
                <v:textbox inset="0,0,0,0">
                  <w:txbxContent>
                    <w:p w:rsidR="003208E6" w:rsidRPr="00261231" w:rsidRDefault="003208E6" w:rsidP="001D3F19">
                      <w:pPr>
                        <w:rPr>
                          <w:rFonts w:cstheme="minorBidi"/>
                          <w:b/>
                          <w:bCs/>
                          <w:sz w:val="20"/>
                          <w:szCs w:val="20"/>
                        </w:rPr>
                      </w:pPr>
                      <w:bookmarkStart w:id="789" w:name="_Ref361134450"/>
                      <w:bookmarkStart w:id="790" w:name="_Toc361733641"/>
                      <w:bookmarkStart w:id="791" w:name="_Toc361734284"/>
                      <w:bookmarkStart w:id="792" w:name="_Toc370511680"/>
                      <w:r w:rsidRPr="00261231">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8</w:t>
                      </w:r>
                      <w:r>
                        <w:rPr>
                          <w:rFonts w:cstheme="minorBidi"/>
                          <w:b/>
                          <w:bCs/>
                          <w:sz w:val="20"/>
                          <w:szCs w:val="20"/>
                        </w:rPr>
                        <w:fldChar w:fldCharType="end"/>
                      </w:r>
                      <w:bookmarkEnd w:id="789"/>
                      <w:r w:rsidRPr="00261231">
                        <w:rPr>
                          <w:rFonts w:cstheme="minorBidi"/>
                          <w:b/>
                          <w:bCs/>
                          <w:sz w:val="20"/>
                          <w:szCs w:val="20"/>
                        </w:rPr>
                        <w:t xml:space="preserve"> Shows</w:t>
                      </w:r>
                      <w:r w:rsidRPr="00261231">
                        <w:rPr>
                          <w:rFonts w:eastAsia="SimSun" w:cstheme="minorBidi"/>
                          <w:b/>
                          <w:bCs/>
                          <w:sz w:val="20"/>
                          <w:szCs w:val="20"/>
                        </w:rPr>
                        <w:t xml:space="preserve"> </w:t>
                      </w:r>
                      <w:r w:rsidRPr="00261231">
                        <w:rPr>
                          <w:rFonts w:cstheme="minorBidi"/>
                          <w:b/>
                          <w:bCs/>
                          <w:sz w:val="20"/>
                          <w:szCs w:val="20"/>
                        </w:rPr>
                        <w:t>MRX Microplate Reader used to measure the pulp stem cells cytotoxicity</w:t>
                      </w:r>
                      <w:bookmarkEnd w:id="790"/>
                      <w:bookmarkEnd w:id="791"/>
                      <w:bookmarkEnd w:id="792"/>
                    </w:p>
                    <w:p w:rsidR="003208E6" w:rsidRPr="005C115B" w:rsidRDefault="003208E6" w:rsidP="001D3F19"/>
                  </w:txbxContent>
                </v:textbox>
                <w10:wrap type="square"/>
              </v:shape>
            </w:pict>
          </mc:Fallback>
        </mc:AlternateContent>
      </w:r>
      <w:r>
        <w:rPr>
          <w:lang w:eastAsia="zh-CN"/>
        </w:rPr>
        <w:br w:type="page"/>
      </w:r>
    </w:p>
    <w:p w:rsidR="00E75EA6" w:rsidRPr="00E75EA6" w:rsidRDefault="00E75EA6" w:rsidP="006B460D">
      <w:pPr>
        <w:pStyle w:val="Heading3"/>
        <w:spacing w:line="480" w:lineRule="auto"/>
        <w:rPr>
          <w:lang w:eastAsia="zh-CN"/>
        </w:rPr>
      </w:pPr>
      <w:r w:rsidRPr="00E75EA6">
        <w:rPr>
          <w:lang w:eastAsia="zh-CN"/>
        </w:rPr>
        <w:lastRenderedPageBreak/>
        <w:t xml:space="preserve"> </w:t>
      </w:r>
      <w:bookmarkStart w:id="717" w:name="_Toc370819331"/>
      <w:r w:rsidRPr="00E75EA6">
        <w:rPr>
          <w:lang w:eastAsia="zh-CN"/>
        </w:rPr>
        <w:t>Flow cytometry</w:t>
      </w:r>
      <w:bookmarkEnd w:id="717"/>
    </w:p>
    <w:p w:rsidR="00E75EA6" w:rsidRPr="00E75EA6" w:rsidRDefault="00E75EA6" w:rsidP="006B460D">
      <w:pPr>
        <w:suppressAutoHyphens/>
        <w:autoSpaceDN w:val="0"/>
        <w:spacing w:after="0" w:line="480" w:lineRule="auto"/>
        <w:jc w:val="both"/>
        <w:textAlignment w:val="baseline"/>
        <w:rPr>
          <w:rFonts w:ascii="Arial" w:eastAsia="Times New Roman" w:hAnsi="Arial" w:cs="Arial"/>
          <w:szCs w:val="24"/>
          <w:lang w:eastAsia="zh-CN"/>
        </w:rPr>
      </w:pPr>
      <w:r w:rsidRPr="00E75EA6">
        <w:rPr>
          <w:rFonts w:ascii="Arial" w:eastAsia="Times New Roman" w:hAnsi="Arial" w:cs="Arial"/>
          <w:szCs w:val="24"/>
          <w:lang w:eastAsia="en-GB"/>
        </w:rPr>
        <w:t>Dental pulp cells at a concentration of 1 x 10</w:t>
      </w:r>
      <w:r w:rsidRPr="00E75EA6">
        <w:rPr>
          <w:rFonts w:ascii="Arial" w:eastAsia="Times New Roman" w:hAnsi="Arial" w:cs="Arial"/>
          <w:szCs w:val="24"/>
          <w:vertAlign w:val="superscript"/>
          <w:lang w:eastAsia="en-GB"/>
        </w:rPr>
        <w:t>6</w:t>
      </w:r>
      <w:r w:rsidRPr="00E75EA6">
        <w:rPr>
          <w:rFonts w:ascii="Arial" w:eastAsia="Times New Roman" w:hAnsi="Arial" w:cs="Arial"/>
          <w:szCs w:val="24"/>
          <w:lang w:eastAsia="en-GB"/>
        </w:rPr>
        <w:t xml:space="preserve"> cells / mL were either incubated in a water bath at 60°C for 30 minutes to induce cell death or UV irradiated for 30 minutes to induce apoptosis.  Following this treatment cells heated to 60°C were stained with 1 µg / mL propidium iodide (PI) (Miltenyi Biotec GmbH, Bergisch Gladbach, Germany) in PBS (10 µL of PI solution to 1 mL of cell suspension).  UV irradiated cells were washed with PBS and resuspended in 1 mL of Annexin V Binding Buffer (BioLegend, San Diego, CA), of which 100 µL was transferred to a fresh microtube before the addition of 5 µL Alexa Fluor® 647 conjugated Annexin V (BioLegend, San Diego, CA).  In addition 100 µL of UV irradiated cell suspension was dual labelled with both Annexin V and PI.  Samples were incubated in the dark at room temperature for 15 minutes prior to washing and resuspension in PBS or Annexin V Binding Buffer.  These samples, in addition to an unlabelled negative control, were analysed using a BD Biosciences LSRFortessa flow cytometer and BD CellQuest Pro Software (BD Biosciences, San Jose, CA).  Unlabelled, single labelled and dual labelled samples were used to set acquisition parameters to reduce the acquiring of autofluorescent signals and any potential channel crossover.</w:t>
      </w:r>
    </w:p>
    <w:p w:rsidR="00E75EA6" w:rsidRPr="00E75EA6" w:rsidRDefault="00E75EA6" w:rsidP="00E75EA6">
      <w:pPr>
        <w:suppressAutoHyphens/>
        <w:autoSpaceDN w:val="0"/>
        <w:spacing w:after="0" w:line="480" w:lineRule="auto"/>
        <w:jc w:val="both"/>
        <w:textAlignment w:val="baseline"/>
        <w:rPr>
          <w:rFonts w:ascii="Arial" w:eastAsia="Times New Roman" w:hAnsi="Arial" w:cs="Arial"/>
          <w:szCs w:val="24"/>
          <w:lang w:eastAsia="en-GB"/>
        </w:rPr>
      </w:pPr>
    </w:p>
    <w:p w:rsidR="00E75EA6" w:rsidRPr="00261231" w:rsidRDefault="00E75EA6" w:rsidP="00E75EA6">
      <w:pPr>
        <w:suppressAutoHyphens/>
        <w:autoSpaceDN w:val="0"/>
        <w:spacing w:after="0" w:line="480" w:lineRule="auto"/>
        <w:jc w:val="both"/>
        <w:textAlignment w:val="baseline"/>
        <w:rPr>
          <w:rFonts w:ascii="Arial" w:eastAsia="Times New Roman" w:hAnsi="Arial" w:cs="Arial"/>
          <w:szCs w:val="24"/>
          <w:lang w:eastAsia="zh-CN"/>
        </w:rPr>
      </w:pPr>
      <w:r w:rsidRPr="00E75EA6">
        <w:rPr>
          <w:rFonts w:ascii="Arial" w:eastAsia="Times New Roman" w:hAnsi="Arial" w:cs="Arial"/>
          <w:szCs w:val="24"/>
          <w:lang w:eastAsia="en-GB"/>
        </w:rPr>
        <w:t xml:space="preserve">Antibiotic treated samples were removed from tissue culture plastic using 0.25% trypsin 0.02% EDTA (Sigma-Aldrich, Poole, UK).  Samples were centrifuged at 200 x </w:t>
      </w:r>
      <w:r w:rsidRPr="00E75EA6">
        <w:rPr>
          <w:rFonts w:ascii="Arial" w:eastAsia="Times New Roman" w:hAnsi="Arial" w:cs="Arial"/>
          <w:i/>
          <w:szCs w:val="24"/>
          <w:lang w:eastAsia="en-GB"/>
        </w:rPr>
        <w:t>g</w:t>
      </w:r>
      <w:r w:rsidRPr="00E75EA6">
        <w:rPr>
          <w:rFonts w:ascii="Arial" w:eastAsia="Times New Roman" w:hAnsi="Arial" w:cs="Arial"/>
          <w:szCs w:val="24"/>
          <w:lang w:eastAsia="en-GB"/>
        </w:rPr>
        <w:t xml:space="preserve"> for 5 minutes, washed with PBS, centrifuged again at 200 x </w:t>
      </w:r>
      <w:r w:rsidRPr="00E75EA6">
        <w:rPr>
          <w:rFonts w:ascii="Arial" w:eastAsia="Times New Roman" w:hAnsi="Arial" w:cs="Arial"/>
          <w:i/>
          <w:szCs w:val="24"/>
          <w:lang w:eastAsia="en-GB"/>
        </w:rPr>
        <w:t>g</w:t>
      </w:r>
      <w:r w:rsidRPr="00E75EA6">
        <w:rPr>
          <w:rFonts w:ascii="Arial" w:eastAsia="Times New Roman" w:hAnsi="Arial" w:cs="Arial"/>
          <w:szCs w:val="24"/>
          <w:lang w:eastAsia="en-GB"/>
        </w:rPr>
        <w:t xml:space="preserve"> for 5 minutes and resuspended in 1 mL Annexin V Binding Buffer to which 10 µL of PI was added.  100 µL of cell suspension was transferred to a fresh microtube to which 5 µL of Alexa Fluor® 647 conjugated Annexin V was </w:t>
      </w:r>
      <w:r w:rsidRPr="00E75EA6">
        <w:rPr>
          <w:rFonts w:ascii="Arial" w:eastAsia="Times New Roman" w:hAnsi="Arial" w:cs="Arial"/>
          <w:szCs w:val="24"/>
          <w:lang w:eastAsia="en-GB"/>
        </w:rPr>
        <w:lastRenderedPageBreak/>
        <w:t xml:space="preserve">added.  Samples </w:t>
      </w:r>
      <w:r w:rsidRPr="00DC463B">
        <w:rPr>
          <w:rFonts w:ascii="Arial" w:eastAsia="Times New Roman" w:hAnsi="Arial" w:cs="Arial"/>
          <w:szCs w:val="24"/>
          <w:lang w:eastAsia="en-GB"/>
        </w:rPr>
        <w:t xml:space="preserve">were incubated in the dark at room temperature for 15 minutes before the addition of 400 µL of Annexin V Binding Buffer.  Samples were then centrifuged at 300 x </w:t>
      </w:r>
      <w:r w:rsidRPr="00DC463B">
        <w:rPr>
          <w:rFonts w:ascii="Arial" w:eastAsia="Times New Roman" w:hAnsi="Arial" w:cs="Arial"/>
          <w:i/>
          <w:szCs w:val="24"/>
          <w:lang w:eastAsia="en-GB"/>
        </w:rPr>
        <w:t>g</w:t>
      </w:r>
      <w:r w:rsidRPr="00DC463B">
        <w:rPr>
          <w:rFonts w:ascii="Arial" w:eastAsia="Times New Roman" w:hAnsi="Arial" w:cs="Arial"/>
          <w:szCs w:val="24"/>
          <w:lang w:eastAsia="en-GB"/>
        </w:rPr>
        <w:t xml:space="preserve"> for 5 minutes before resuspension in 500 µL of Annexin V Binding Buffer prior to analysis.  Samples were gated based on forward scatter and side scatter to exclude cellular debris from the analysis and were analysed for expression of PI and Alexa Fluor® 647</w:t>
      </w:r>
      <w:r w:rsidR="00261231" w:rsidRPr="00DC463B">
        <w:rPr>
          <w:rFonts w:ascii="Arial" w:eastAsia="Times New Roman" w:hAnsi="Arial" w:cs="Arial"/>
          <w:szCs w:val="24"/>
          <w:lang w:eastAsia="en-GB"/>
        </w:rPr>
        <w:t>. (</w:t>
      </w:r>
      <w:r w:rsidR="00083903" w:rsidRPr="00DC463B">
        <w:rPr>
          <w:rFonts w:ascii="Arial" w:eastAsia="Times New Roman" w:hAnsi="Arial" w:cs="Arial"/>
          <w:szCs w:val="24"/>
          <w:lang w:eastAsia="en-GB"/>
        </w:rPr>
        <w:fldChar w:fldCharType="begin"/>
      </w:r>
      <w:r w:rsidR="00083903" w:rsidRPr="00DC463B">
        <w:rPr>
          <w:rFonts w:ascii="Arial" w:eastAsia="Times New Roman" w:hAnsi="Arial" w:cs="Arial"/>
          <w:szCs w:val="24"/>
          <w:lang w:eastAsia="en-GB"/>
        </w:rPr>
        <w:instrText xml:space="preserve"> REF _Ref361134569 \h </w:instrText>
      </w:r>
      <w:r w:rsidR="00261231" w:rsidRPr="00DC463B">
        <w:rPr>
          <w:rFonts w:ascii="Arial" w:eastAsia="Times New Roman" w:hAnsi="Arial" w:cs="Arial"/>
          <w:szCs w:val="24"/>
          <w:lang w:eastAsia="en-GB"/>
        </w:rPr>
        <w:instrText xml:space="preserve"> \* MERGEFORMAT </w:instrText>
      </w:r>
      <w:r w:rsidR="00083903" w:rsidRPr="00DC463B">
        <w:rPr>
          <w:rFonts w:ascii="Arial" w:eastAsia="Times New Roman" w:hAnsi="Arial" w:cs="Arial"/>
          <w:szCs w:val="24"/>
          <w:lang w:eastAsia="en-GB"/>
        </w:rPr>
      </w:r>
      <w:r w:rsidR="00083903" w:rsidRPr="00DC463B">
        <w:rPr>
          <w:rFonts w:ascii="Arial" w:eastAsia="Times New Roman" w:hAnsi="Arial" w:cs="Arial"/>
          <w:szCs w:val="24"/>
          <w:lang w:eastAsia="en-GB"/>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b/>
          <w:bCs/>
          <w:noProof/>
          <w:sz w:val="20"/>
          <w:szCs w:val="20"/>
        </w:rPr>
        <w:t>4.9</w:t>
      </w:r>
      <w:r w:rsidR="00083903" w:rsidRPr="00DC463B">
        <w:rPr>
          <w:rFonts w:ascii="Arial" w:eastAsia="Times New Roman" w:hAnsi="Arial" w:cs="Arial"/>
          <w:szCs w:val="24"/>
          <w:lang w:eastAsia="en-GB"/>
        </w:rPr>
        <w:fldChar w:fldCharType="end"/>
      </w:r>
      <w:r w:rsidR="00083903" w:rsidRPr="00DC463B">
        <w:rPr>
          <w:rFonts w:ascii="Arial" w:eastAsia="Times New Roman" w:hAnsi="Arial" w:cs="Arial"/>
          <w:szCs w:val="24"/>
          <w:lang w:eastAsia="en-GB"/>
        </w:rPr>
        <w:t>)</w:t>
      </w:r>
    </w:p>
    <w:p w:rsidR="00E75EA6" w:rsidRPr="00E75EA6" w:rsidRDefault="00261231" w:rsidP="00E75EA6">
      <w:pPr>
        <w:suppressAutoHyphens/>
        <w:autoSpaceDN w:val="0"/>
        <w:spacing w:after="0" w:line="480" w:lineRule="auto"/>
        <w:textAlignment w:val="baseline"/>
        <w:rPr>
          <w:rFonts w:ascii="Arial" w:eastAsia="Times New Roman" w:hAnsi="Arial" w:cs="Arial"/>
          <w:b/>
          <w:bCs/>
          <w:szCs w:val="24"/>
          <w:lang w:eastAsia="en-GB"/>
        </w:rPr>
      </w:pPr>
      <w:r>
        <w:rPr>
          <w:noProof/>
          <w:lang w:eastAsia="en-GB"/>
        </w:rPr>
        <mc:AlternateContent>
          <mc:Choice Requires="wps">
            <w:drawing>
              <wp:anchor distT="0" distB="0" distL="114300" distR="114300" simplePos="0" relativeHeight="251832320" behindDoc="0" locked="0" layoutInCell="1" allowOverlap="1" wp14:anchorId="36FD4F14" wp14:editId="2ECF8EF4">
                <wp:simplePos x="0" y="0"/>
                <wp:positionH relativeFrom="column">
                  <wp:posOffset>179070</wp:posOffset>
                </wp:positionH>
                <wp:positionV relativeFrom="paragraph">
                  <wp:posOffset>410210</wp:posOffset>
                </wp:positionV>
                <wp:extent cx="5191125" cy="457200"/>
                <wp:effectExtent l="0" t="0" r="9525" b="0"/>
                <wp:wrapSquare wrapText="bothSides"/>
                <wp:docPr id="33" name="Text Box 33"/>
                <wp:cNvGraphicFramePr/>
                <a:graphic xmlns:a="http://schemas.openxmlformats.org/drawingml/2006/main">
                  <a:graphicData uri="http://schemas.microsoft.com/office/word/2010/wordprocessingShape">
                    <wps:wsp>
                      <wps:cNvSpPr txBox="1"/>
                      <wps:spPr>
                        <a:xfrm>
                          <a:off x="0" y="0"/>
                          <a:ext cx="5191125" cy="457200"/>
                        </a:xfrm>
                        <a:prstGeom prst="rect">
                          <a:avLst/>
                        </a:prstGeom>
                        <a:solidFill>
                          <a:prstClr val="white"/>
                        </a:solidFill>
                        <a:ln>
                          <a:noFill/>
                        </a:ln>
                        <a:effectLst/>
                      </wps:spPr>
                      <wps:txbx>
                        <w:txbxContent>
                          <w:p w:rsidR="003208E6" w:rsidRPr="00261231" w:rsidRDefault="003208E6" w:rsidP="001D3F19">
                            <w:pPr>
                              <w:rPr>
                                <w:rFonts w:eastAsia="SimSun" w:cstheme="minorBidi"/>
                                <w:b/>
                                <w:bCs/>
                                <w:sz w:val="20"/>
                                <w:szCs w:val="20"/>
                              </w:rPr>
                            </w:pPr>
                            <w:bookmarkStart w:id="718" w:name="_Ref361134569"/>
                            <w:bookmarkStart w:id="719" w:name="_Toc361733642"/>
                            <w:bookmarkStart w:id="720" w:name="_Toc361734285"/>
                            <w:bookmarkStart w:id="721" w:name="_Toc370511681"/>
                            <w:r w:rsidRPr="00261231">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9</w:t>
                            </w:r>
                            <w:r>
                              <w:rPr>
                                <w:rFonts w:cstheme="minorBidi"/>
                                <w:b/>
                                <w:bCs/>
                                <w:sz w:val="20"/>
                                <w:szCs w:val="20"/>
                              </w:rPr>
                              <w:fldChar w:fldCharType="end"/>
                            </w:r>
                            <w:bookmarkEnd w:id="718"/>
                            <w:r w:rsidRPr="00261231">
                              <w:rPr>
                                <w:rFonts w:cstheme="minorBidi"/>
                                <w:b/>
                                <w:bCs/>
                                <w:sz w:val="20"/>
                                <w:szCs w:val="20"/>
                              </w:rPr>
                              <w:t xml:space="preserve"> Shows a Flow cytometry used to test pulp cells cytotoxicity after antibiotics application.</w:t>
                            </w:r>
                            <w:bookmarkEnd w:id="719"/>
                            <w:bookmarkEnd w:id="720"/>
                            <w:bookmarkEnd w:id="7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57" type="#_x0000_t202" style="position:absolute;margin-left:14.1pt;margin-top:32.3pt;width:408.75pt;height:36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" stroked="f">
                <v:textbox inset="0,0,0,0">
                  <w:txbxContent>
                    <w:p w:rsidR="003208E6" w:rsidRPr="00261231" w:rsidRDefault="003208E6" w:rsidP="001D3F19">
                      <w:pPr>
                        <w:rPr>
                          <w:rFonts w:eastAsia="SimSun" w:cstheme="minorBidi"/>
                          <w:b/>
                          <w:bCs/>
                          <w:sz w:val="20"/>
                          <w:szCs w:val="20"/>
                        </w:rPr>
                      </w:pPr>
                      <w:bookmarkStart w:id="798" w:name="_Ref361134569"/>
                      <w:bookmarkStart w:id="799" w:name="_Toc361733642"/>
                      <w:bookmarkStart w:id="800" w:name="_Toc361734285"/>
                      <w:bookmarkStart w:id="801" w:name="_Toc370511681"/>
                      <w:r w:rsidRPr="00261231">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9</w:t>
                      </w:r>
                      <w:r>
                        <w:rPr>
                          <w:rFonts w:cstheme="minorBidi"/>
                          <w:b/>
                          <w:bCs/>
                          <w:sz w:val="20"/>
                          <w:szCs w:val="20"/>
                        </w:rPr>
                        <w:fldChar w:fldCharType="end"/>
                      </w:r>
                      <w:bookmarkEnd w:id="798"/>
                      <w:r w:rsidRPr="00261231">
                        <w:rPr>
                          <w:rFonts w:cstheme="minorBidi"/>
                          <w:b/>
                          <w:bCs/>
                          <w:sz w:val="20"/>
                          <w:szCs w:val="20"/>
                        </w:rPr>
                        <w:t xml:space="preserve"> Shows a Flow cytometry used to test pulp cells cytotoxicity after antibiotics application.</w:t>
                      </w:r>
                      <w:bookmarkEnd w:id="799"/>
                      <w:bookmarkEnd w:id="800"/>
                      <w:bookmarkEnd w:id="801"/>
                    </w:p>
                  </w:txbxContent>
                </v:textbox>
                <w10:wrap type="square"/>
              </v:shape>
            </w:pict>
          </mc:Fallback>
        </mc:AlternateContent>
      </w:r>
    </w:p>
    <w:p w:rsidR="00E75EA6" w:rsidRPr="00E75EA6" w:rsidRDefault="00DC463B" w:rsidP="00E75EA6">
      <w:pPr>
        <w:suppressAutoHyphens/>
        <w:autoSpaceDN w:val="0"/>
        <w:spacing w:after="0" w:line="480" w:lineRule="auto"/>
        <w:textAlignment w:val="baseline"/>
        <w:rPr>
          <w:rFonts w:ascii="Arial" w:eastAsia="Times New Roman" w:hAnsi="Arial" w:cs="Arial"/>
          <w:b/>
          <w:bCs/>
          <w:szCs w:val="24"/>
          <w:lang w:eastAsia="en-GB"/>
        </w:rPr>
      </w:pPr>
      <w:r w:rsidRPr="00E75EA6">
        <w:rPr>
          <w:rFonts w:ascii="Arial" w:eastAsia="SimSun" w:hAnsi="Arial" w:cs="Arial"/>
          <w:noProof/>
          <w:szCs w:val="24"/>
          <w:lang w:eastAsia="en-GB"/>
        </w:rPr>
        <w:drawing>
          <wp:anchor distT="0" distB="0" distL="114300" distR="114300" simplePos="0" relativeHeight="251793408" behindDoc="0" locked="0" layoutInCell="1" allowOverlap="1" wp14:anchorId="6BABF490" wp14:editId="3ED234EB">
            <wp:simplePos x="0" y="0"/>
            <wp:positionH relativeFrom="column">
              <wp:posOffset>585470</wp:posOffset>
            </wp:positionH>
            <wp:positionV relativeFrom="paragraph">
              <wp:posOffset>681355</wp:posOffset>
            </wp:positionV>
            <wp:extent cx="3960000" cy="3132000"/>
            <wp:effectExtent l="0" t="0" r="2540" b="0"/>
            <wp:wrapSquare wrapText="bothSides"/>
            <wp:docPr id="296"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rcRect/>
                    <a:stretch>
                      <a:fillRect/>
                    </a:stretch>
                  </pic:blipFill>
                  <pic:spPr>
                    <a:xfrm>
                      <a:off x="0" y="0"/>
                      <a:ext cx="3960000" cy="3132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E75EA6" w:rsidRPr="00E75EA6" w:rsidRDefault="000815F5" w:rsidP="00E75EA6">
      <w:pPr>
        <w:suppressAutoHyphens/>
        <w:autoSpaceDN w:val="0"/>
        <w:spacing w:after="0" w:line="480" w:lineRule="auto"/>
        <w:textAlignment w:val="baseline"/>
        <w:rPr>
          <w:rFonts w:ascii="Arial" w:eastAsia="Times New Roman" w:hAnsi="Arial" w:cs="Arial"/>
          <w:b/>
          <w:bCs/>
          <w:szCs w:val="24"/>
          <w:lang w:eastAsia="en-GB"/>
        </w:rPr>
      </w:pPr>
      <w:r>
        <w:rPr>
          <w:noProof/>
          <w:lang w:eastAsia="en-GB"/>
        </w:rPr>
        <w:drawing>
          <wp:anchor distT="0" distB="0" distL="114300" distR="114300" simplePos="0" relativeHeight="251846656" behindDoc="0" locked="0" layoutInCell="1" allowOverlap="1" wp14:anchorId="2144F7E9" wp14:editId="6DE765A1">
            <wp:simplePos x="0" y="0"/>
            <wp:positionH relativeFrom="column">
              <wp:posOffset>3274695</wp:posOffset>
            </wp:positionH>
            <wp:positionV relativeFrom="paragraph">
              <wp:posOffset>50165</wp:posOffset>
            </wp:positionV>
            <wp:extent cx="1276350" cy="1056640"/>
            <wp:effectExtent l="0" t="0" r="0" b="0"/>
            <wp:wrapSquare wrapText="bothSides"/>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b="7471"/>
                    <a:stretch/>
                  </pic:blipFill>
                  <pic:spPr bwMode="auto">
                    <a:xfrm>
                      <a:off x="0" y="0"/>
                      <a:ext cx="1276350" cy="105664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5EA6" w:rsidRPr="00E75EA6" w:rsidRDefault="00E75EA6" w:rsidP="00E75EA6">
      <w:pPr>
        <w:suppressAutoHyphens/>
        <w:autoSpaceDN w:val="0"/>
        <w:spacing w:after="0" w:line="480" w:lineRule="auto"/>
        <w:textAlignment w:val="baseline"/>
        <w:rPr>
          <w:rFonts w:ascii="Arial" w:eastAsia="Times New Roman" w:hAnsi="Arial" w:cs="Arial"/>
          <w:b/>
          <w:bCs/>
          <w:szCs w:val="24"/>
          <w:lang w:eastAsia="en-GB"/>
        </w:rPr>
      </w:pPr>
    </w:p>
    <w:p w:rsidR="00E75EA6" w:rsidRPr="00E75EA6" w:rsidRDefault="000815F5" w:rsidP="00E75EA6">
      <w:pPr>
        <w:suppressAutoHyphens/>
        <w:autoSpaceDN w:val="0"/>
        <w:spacing w:after="0" w:line="480" w:lineRule="auto"/>
        <w:textAlignment w:val="baseline"/>
        <w:rPr>
          <w:rFonts w:ascii="Arial" w:eastAsia="Times New Roman" w:hAnsi="Arial" w:cs="Arial"/>
          <w:b/>
          <w:bCs/>
          <w:szCs w:val="24"/>
          <w:lang w:eastAsia="en-GB"/>
        </w:rPr>
      </w:pPr>
      <w:r>
        <w:rPr>
          <w:rFonts w:ascii="Arial" w:eastAsia="Times New Roman" w:hAnsi="Arial" w:cs="Arial"/>
          <w:b/>
          <w:bCs/>
          <w:noProof/>
          <w:szCs w:val="24"/>
          <w:lang w:eastAsia="en-GB"/>
        </w:rPr>
        <mc:AlternateContent>
          <mc:Choice Requires="wps">
            <w:drawing>
              <wp:anchor distT="0" distB="0" distL="114300" distR="114300" simplePos="0" relativeHeight="251847680" behindDoc="0" locked="0" layoutInCell="1" allowOverlap="1" wp14:anchorId="6132D656" wp14:editId="76557D07">
                <wp:simplePos x="0" y="0"/>
                <wp:positionH relativeFrom="column">
                  <wp:posOffset>4131945</wp:posOffset>
                </wp:positionH>
                <wp:positionV relativeFrom="paragraph">
                  <wp:posOffset>245110</wp:posOffset>
                </wp:positionV>
                <wp:extent cx="0" cy="513715"/>
                <wp:effectExtent l="57150" t="38100" r="57150" b="635"/>
                <wp:wrapNone/>
                <wp:docPr id="264" name="Straight Arrow Connector 264"/>
                <wp:cNvGraphicFramePr/>
                <a:graphic xmlns:a="http://schemas.openxmlformats.org/drawingml/2006/main">
                  <a:graphicData uri="http://schemas.microsoft.com/office/word/2010/wordprocessingShape">
                    <wps:wsp>
                      <wps:cNvCnPr/>
                      <wps:spPr>
                        <a:xfrm flipV="1">
                          <a:off x="0" y="0"/>
                          <a:ext cx="0" cy="5137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4" o:spid="_x0000_s1026" type="#_x0000_t32" style="position:absolute;margin-left:325.35pt;margin-top:19.3pt;width:0;height:40.4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" strokecolor="black [3213]" strokeweight="2.25pt">
                <v:stroke endarrow="open"/>
              </v:shape>
            </w:pict>
          </mc:Fallback>
        </mc:AlternateContent>
      </w:r>
    </w:p>
    <w:p w:rsidR="00E75EA6" w:rsidRPr="00E75EA6" w:rsidRDefault="00E75EA6" w:rsidP="00E75EA6">
      <w:pPr>
        <w:suppressAutoHyphens/>
        <w:autoSpaceDN w:val="0"/>
        <w:spacing w:after="0" w:line="480" w:lineRule="auto"/>
        <w:textAlignment w:val="baseline"/>
        <w:rPr>
          <w:rFonts w:ascii="Arial" w:eastAsia="Times New Roman" w:hAnsi="Arial" w:cs="Arial"/>
          <w:b/>
          <w:bCs/>
          <w:szCs w:val="24"/>
          <w:lang w:eastAsia="en-GB"/>
        </w:rPr>
      </w:pPr>
    </w:p>
    <w:p w:rsidR="00E75EA6" w:rsidRPr="00E75EA6" w:rsidRDefault="00E75EA6" w:rsidP="00E75EA6">
      <w:pPr>
        <w:pageBreakBefore/>
        <w:suppressAutoHyphens/>
        <w:autoSpaceDN w:val="0"/>
        <w:textAlignment w:val="baseline"/>
        <w:rPr>
          <w:rFonts w:ascii="Arial" w:eastAsia="Calibri" w:hAnsi="Arial"/>
        </w:rPr>
      </w:pPr>
    </w:p>
    <w:p w:rsidR="00E75EA6" w:rsidRPr="00E75EA6" w:rsidRDefault="00E75EA6" w:rsidP="00E75EA6">
      <w:pPr>
        <w:keepLines/>
        <w:tabs>
          <w:tab w:val="left" w:pos="360"/>
        </w:tabs>
        <w:suppressAutoHyphens/>
        <w:autoSpaceDN w:val="0"/>
        <w:spacing w:before="200" w:line="480" w:lineRule="auto"/>
        <w:ind w:left="576" w:hanging="576"/>
        <w:textAlignment w:val="baseline"/>
        <w:rPr>
          <w:rFonts w:ascii="Arial" w:eastAsia="SimSun" w:hAnsi="Arial"/>
          <w:b/>
          <w:bCs/>
          <w:sz w:val="32"/>
          <w:szCs w:val="26"/>
          <w:lang w:eastAsia="en-GB"/>
        </w:rPr>
      </w:pPr>
      <w:r w:rsidRPr="00E75EA6">
        <w:rPr>
          <w:rFonts w:ascii="Arial" w:eastAsia="SimSun" w:hAnsi="Arial"/>
          <w:b/>
          <w:bCs/>
          <w:sz w:val="32"/>
          <w:szCs w:val="26"/>
          <w:lang w:eastAsia="en-GB"/>
        </w:rPr>
        <w:t xml:space="preserve">Statistics </w:t>
      </w:r>
    </w:p>
    <w:p w:rsidR="00261231" w:rsidRPr="00261231" w:rsidRDefault="00261231" w:rsidP="00261231">
      <w:pPr>
        <w:suppressAutoHyphens/>
        <w:autoSpaceDN w:val="0"/>
        <w:spacing w:after="0" w:line="480" w:lineRule="auto"/>
        <w:jc w:val="both"/>
        <w:textAlignment w:val="baseline"/>
        <w:rPr>
          <w:rFonts w:ascii="Arial" w:eastAsia="Calibri" w:hAnsi="Arial"/>
        </w:rPr>
      </w:pPr>
      <w:r w:rsidRPr="00261231">
        <w:rPr>
          <w:rFonts w:ascii="Arial" w:eastAsia="Times New Roman" w:hAnsi="Arial" w:cs="Arial"/>
          <w:bCs/>
          <w:szCs w:val="24"/>
          <w:lang w:eastAsia="en-GB"/>
        </w:rPr>
        <w:t xml:space="preserve">Statistical analysis was undertaken on statistical package of social sciences version 20 (SPSS 20). The distributions of pulp death of cells were determined by first checking the normality of the data using the </w:t>
      </w:r>
      <w:r w:rsidRPr="00261231">
        <w:rPr>
          <w:rFonts w:ascii="Arial" w:eastAsia="Times New Roman" w:hAnsi="Arial" w:cs="Arial"/>
          <w:color w:val="000000"/>
          <w:szCs w:val="24"/>
          <w:lang w:eastAsia="zh-CN"/>
        </w:rPr>
        <w:t xml:space="preserve">Shapiro-Wilk test.  As the data was found to be normally distributed further analysis was performed using ANOVA for the trypan blue test and LDH. However, the data was not normally distributed for the flow cytometry tested group, so non-parametric </w:t>
      </w:r>
      <w:r w:rsidRPr="00261231">
        <w:rPr>
          <w:rFonts w:ascii="Arial" w:eastAsia="Calibri" w:hAnsi="Arial"/>
          <w:bCs/>
          <w:szCs w:val="24"/>
        </w:rPr>
        <w:t>Kruskal-Wallis tests were used.</w:t>
      </w:r>
    </w:p>
    <w:p w:rsidR="00E75EA6" w:rsidRDefault="00E75EA6">
      <w:pPr>
        <w:rPr>
          <w:rFonts w:eastAsiaTheme="majorEastAsia"/>
          <w:b/>
          <w:bCs/>
          <w:sz w:val="32"/>
          <w:szCs w:val="26"/>
          <w:lang w:eastAsia="en-GB"/>
        </w:rPr>
      </w:pPr>
      <w:r>
        <w:rPr>
          <w:lang w:eastAsia="en-GB"/>
        </w:rPr>
        <w:br w:type="page"/>
      </w:r>
    </w:p>
    <w:p w:rsidR="00294F6F" w:rsidRPr="00B013ED" w:rsidRDefault="00294F6F" w:rsidP="002B54A2">
      <w:pPr>
        <w:pStyle w:val="Heading2"/>
      </w:pPr>
      <w:bookmarkStart w:id="722" w:name="_Toc370819332"/>
      <w:r w:rsidRPr="00B013ED">
        <w:lastRenderedPageBreak/>
        <w:t>Results</w:t>
      </w:r>
      <w:bookmarkEnd w:id="722"/>
    </w:p>
    <w:p w:rsidR="00294F6F" w:rsidRPr="00B013ED" w:rsidRDefault="00294F6F" w:rsidP="002B54A2">
      <w:pPr>
        <w:pStyle w:val="Heading2"/>
      </w:pPr>
      <w:bookmarkStart w:id="723" w:name="_Toc370819333"/>
      <w:r w:rsidRPr="00B013ED">
        <w:t>Cytotoxicity testing</w:t>
      </w:r>
      <w:bookmarkEnd w:id="723"/>
    </w:p>
    <w:p w:rsidR="00294F6F" w:rsidRPr="00B013ED" w:rsidRDefault="00294F6F" w:rsidP="001E2B8B">
      <w:pPr>
        <w:spacing w:after="120" w:line="480" w:lineRule="auto"/>
        <w:jc w:val="both"/>
        <w:rPr>
          <w:rFonts w:ascii="Arial" w:eastAsia="Times New Roman" w:hAnsi="Arial" w:cs="Arial"/>
          <w:b/>
          <w:bCs/>
          <w:szCs w:val="24"/>
          <w:lang w:eastAsia="en-GB"/>
        </w:rPr>
      </w:pPr>
      <w:r w:rsidRPr="00B013ED">
        <w:rPr>
          <w:rFonts w:ascii="Arial" w:eastAsia="Times New Roman" w:hAnsi="Arial" w:cs="Arial"/>
          <w:b/>
          <w:bCs/>
          <w:szCs w:val="24"/>
          <w:lang w:eastAsia="en-GB"/>
        </w:rPr>
        <w:t>Cytotoxicity was investigated using 3 methods:</w:t>
      </w:r>
    </w:p>
    <w:p w:rsidR="00294F6F" w:rsidRPr="00B013ED" w:rsidRDefault="00294F6F" w:rsidP="006E23B4">
      <w:pPr>
        <w:numPr>
          <w:ilvl w:val="1"/>
          <w:numId w:val="77"/>
        </w:numPr>
        <w:spacing w:before="120" w:after="120" w:line="480" w:lineRule="auto"/>
        <w:contextualSpacing/>
        <w:jc w:val="both"/>
        <w:rPr>
          <w:rFonts w:ascii="Arial" w:eastAsia="Times New Roman" w:hAnsi="Arial" w:cs="Arial"/>
          <w:b/>
          <w:bCs/>
          <w:szCs w:val="22"/>
          <w:lang w:eastAsia="en-GB"/>
        </w:rPr>
      </w:pPr>
      <w:r w:rsidRPr="00B013ED">
        <w:rPr>
          <w:rFonts w:ascii="Arial" w:eastAsia="Times New Roman" w:hAnsi="Arial" w:cs="Arial"/>
          <w:b/>
          <w:bCs/>
          <w:szCs w:val="22"/>
          <w:lang w:eastAsia="en-GB"/>
        </w:rPr>
        <w:t>Cell counting using Trypan Blue:</w:t>
      </w:r>
    </w:p>
    <w:p w:rsidR="00294F6F" w:rsidRPr="00B013ED" w:rsidRDefault="00294F6F" w:rsidP="006E23B4">
      <w:pPr>
        <w:numPr>
          <w:ilvl w:val="1"/>
          <w:numId w:val="77"/>
        </w:numPr>
        <w:spacing w:before="120" w:after="120" w:line="480" w:lineRule="auto"/>
        <w:contextualSpacing/>
        <w:jc w:val="both"/>
        <w:rPr>
          <w:rFonts w:ascii="Arial" w:eastAsia="Times New Roman" w:hAnsi="Arial" w:cs="Arial"/>
          <w:b/>
          <w:bCs/>
          <w:szCs w:val="22"/>
          <w:lang w:eastAsia="en-GB"/>
        </w:rPr>
      </w:pPr>
      <w:r w:rsidRPr="00B013ED">
        <w:rPr>
          <w:rFonts w:ascii="Arial" w:eastAsia="Times New Roman" w:hAnsi="Arial" w:cs="Arial"/>
          <w:b/>
          <w:bCs/>
          <w:szCs w:val="22"/>
          <w:lang w:eastAsia="en-GB"/>
        </w:rPr>
        <w:t>LDH</w:t>
      </w:r>
    </w:p>
    <w:p w:rsidR="00294F6F" w:rsidRPr="00B013ED" w:rsidRDefault="00294F6F" w:rsidP="006E23B4">
      <w:pPr>
        <w:numPr>
          <w:ilvl w:val="1"/>
          <w:numId w:val="77"/>
        </w:numPr>
        <w:spacing w:before="120" w:after="120" w:line="480" w:lineRule="auto"/>
        <w:contextualSpacing/>
        <w:jc w:val="both"/>
        <w:rPr>
          <w:rFonts w:ascii="Arial" w:eastAsia="Times New Roman" w:hAnsi="Arial" w:cs="Arial"/>
          <w:b/>
          <w:bCs/>
          <w:szCs w:val="22"/>
          <w:lang w:eastAsia="en-GB"/>
        </w:rPr>
      </w:pPr>
      <w:r w:rsidRPr="00B013ED">
        <w:rPr>
          <w:rFonts w:ascii="Arial" w:eastAsia="Times New Roman" w:hAnsi="Arial" w:cs="Arial"/>
          <w:b/>
          <w:bCs/>
          <w:szCs w:val="22"/>
          <w:lang w:eastAsia="en-GB"/>
        </w:rPr>
        <w:t>Flow cytometry</w:t>
      </w:r>
    </w:p>
    <w:p w:rsidR="00294F6F" w:rsidRPr="00B013ED" w:rsidRDefault="00294F6F" w:rsidP="00294F6F">
      <w:pPr>
        <w:spacing w:after="120" w:line="360" w:lineRule="auto"/>
        <w:jc w:val="both"/>
        <w:rPr>
          <w:rFonts w:ascii="Arial" w:eastAsia="Times New Roman" w:hAnsi="Arial" w:cs="Arial"/>
          <w:b/>
          <w:bCs/>
          <w:szCs w:val="24"/>
          <w:lang w:eastAsia="en-GB"/>
        </w:rPr>
      </w:pPr>
    </w:p>
    <w:p w:rsidR="00294F6F" w:rsidRDefault="00294F6F" w:rsidP="00F177FE">
      <w:pPr>
        <w:pStyle w:val="Heading3"/>
        <w:rPr>
          <w:lang w:eastAsia="en-GB"/>
        </w:rPr>
      </w:pPr>
      <w:bookmarkStart w:id="724" w:name="_Toc370819334"/>
      <w:r w:rsidRPr="00B013ED">
        <w:rPr>
          <w:rFonts w:eastAsia="Times New Roman"/>
          <w:lang w:eastAsia="en-GB"/>
        </w:rPr>
        <w:t xml:space="preserve">Percentages </w:t>
      </w:r>
      <w:r w:rsidR="00261231" w:rsidRPr="00261231">
        <w:rPr>
          <w:lang w:eastAsia="en-GB"/>
        </w:rPr>
        <w:t xml:space="preserve">of cell viability were calculated and grouped according to the criteria of Dalh </w:t>
      </w:r>
      <w:r w:rsidR="00261231" w:rsidRPr="009C7DD9">
        <w:rPr>
          <w:i/>
          <w:iCs/>
          <w:lang w:eastAsia="en-GB"/>
        </w:rPr>
        <w:t>et al</w:t>
      </w:r>
      <w:r w:rsidR="00261231" w:rsidRPr="00261231">
        <w:rPr>
          <w:lang w:eastAsia="en-GB"/>
        </w:rPr>
        <w:t xml:space="preserve"> (2006) as follows:</w:t>
      </w:r>
      <w:bookmarkEnd w:id="724"/>
    </w:p>
    <w:p w:rsidR="00261231" w:rsidRPr="00261231" w:rsidRDefault="00261231" w:rsidP="00261231">
      <w:pPr>
        <w:rPr>
          <w:lang w:eastAsia="en-GB"/>
        </w:rPr>
      </w:pPr>
    </w:p>
    <w:p w:rsidR="00261231" w:rsidRPr="00261231" w:rsidRDefault="00261231" w:rsidP="00261231">
      <w:pPr>
        <w:rPr>
          <w:lang w:eastAsia="en-GB"/>
        </w:rPr>
      </w:pPr>
    </w:p>
    <w:p w:rsidR="00294F6F" w:rsidRPr="00B013ED" w:rsidRDefault="00294F6F" w:rsidP="00294F6F">
      <w:pPr>
        <w:spacing w:after="0" w:line="480" w:lineRule="auto"/>
        <w:rPr>
          <w:rFonts w:ascii="Arial" w:eastAsia="Times New Roman" w:hAnsi="Arial" w:cs="Arial"/>
          <w:szCs w:val="24"/>
          <w:lang w:eastAsia="en-GB"/>
        </w:rPr>
      </w:pPr>
      <w:r w:rsidRPr="00B013ED">
        <w:rPr>
          <w:rFonts w:ascii="Arial" w:eastAsia="Times New Roman" w:hAnsi="Arial" w:cs="Arial"/>
          <w:szCs w:val="24"/>
          <w:lang w:eastAsia="en-GB"/>
        </w:rPr>
        <w:t>1. &lt;30% cell viability = severe cytotoxicity</w:t>
      </w:r>
    </w:p>
    <w:p w:rsidR="00294F6F" w:rsidRPr="00B013ED" w:rsidRDefault="00294F6F" w:rsidP="00294F6F">
      <w:pPr>
        <w:spacing w:after="0" w:line="480" w:lineRule="auto"/>
        <w:rPr>
          <w:rFonts w:ascii="Arial" w:eastAsia="Times New Roman" w:hAnsi="Arial" w:cs="Arial"/>
          <w:szCs w:val="24"/>
          <w:lang w:eastAsia="en-GB"/>
        </w:rPr>
      </w:pPr>
      <w:r w:rsidRPr="00B013ED">
        <w:rPr>
          <w:rFonts w:ascii="Arial" w:eastAsia="Times New Roman" w:hAnsi="Arial" w:cs="Arial"/>
          <w:szCs w:val="24"/>
          <w:lang w:eastAsia="en-GB"/>
        </w:rPr>
        <w:t>2. 30%–60% cell viability = moderate cytotoxicity</w:t>
      </w:r>
    </w:p>
    <w:p w:rsidR="00294F6F" w:rsidRPr="00B013ED" w:rsidRDefault="00294F6F" w:rsidP="00294F6F">
      <w:pPr>
        <w:spacing w:after="0" w:line="480" w:lineRule="auto"/>
        <w:rPr>
          <w:rFonts w:ascii="Arial" w:eastAsia="Times New Roman" w:hAnsi="Arial" w:cs="Arial"/>
          <w:szCs w:val="24"/>
          <w:lang w:eastAsia="en-GB"/>
        </w:rPr>
      </w:pPr>
      <w:r w:rsidRPr="00B013ED">
        <w:rPr>
          <w:rFonts w:ascii="Arial" w:eastAsia="Times New Roman" w:hAnsi="Arial" w:cs="Arial"/>
          <w:szCs w:val="24"/>
          <w:lang w:eastAsia="en-GB"/>
        </w:rPr>
        <w:t>3. 60%–90% cell viability = slight cytotoxicity</w:t>
      </w:r>
    </w:p>
    <w:p w:rsidR="00294F6F" w:rsidRPr="00B013ED" w:rsidRDefault="00294F6F" w:rsidP="00294F6F">
      <w:pPr>
        <w:spacing w:after="0" w:line="480" w:lineRule="auto"/>
        <w:rPr>
          <w:rFonts w:ascii="Arial" w:eastAsia="Times New Roman" w:hAnsi="Arial" w:cs="Arial"/>
          <w:szCs w:val="24"/>
          <w:lang w:eastAsia="en-GB"/>
        </w:rPr>
      </w:pPr>
      <w:r w:rsidRPr="00B013ED">
        <w:rPr>
          <w:rFonts w:ascii="Arial" w:eastAsia="Times New Roman" w:hAnsi="Arial" w:cs="Arial"/>
          <w:szCs w:val="24"/>
          <w:lang w:eastAsia="en-GB"/>
        </w:rPr>
        <w:t>4. &gt;90% cell viability = noncytotoxicity</w:t>
      </w:r>
    </w:p>
    <w:p w:rsidR="00294F6F" w:rsidRPr="00B013ED" w:rsidRDefault="00294F6F" w:rsidP="00294F6F">
      <w:pPr>
        <w:spacing w:before="120" w:after="120"/>
        <w:rPr>
          <w:rFonts w:ascii="Arial" w:eastAsia="Times New Roman" w:hAnsi="Arial" w:cs="Arial"/>
          <w:b/>
          <w:bCs/>
          <w:szCs w:val="24"/>
          <w:lang w:eastAsia="en-GB"/>
        </w:rPr>
      </w:pPr>
    </w:p>
    <w:p w:rsidR="00294F6F" w:rsidRPr="00B013ED" w:rsidRDefault="00294F6F" w:rsidP="00294F6F">
      <w:pPr>
        <w:rPr>
          <w:rFonts w:ascii="Arial" w:eastAsia="Times New Roman" w:hAnsi="Arial" w:cs="Arial"/>
          <w:b/>
          <w:bCs/>
          <w:szCs w:val="24"/>
          <w:lang w:eastAsia="en-GB"/>
        </w:rPr>
      </w:pPr>
      <w:r w:rsidRPr="00B013ED">
        <w:rPr>
          <w:rFonts w:ascii="Arial" w:eastAsia="Times New Roman" w:hAnsi="Arial" w:cs="Arial"/>
          <w:b/>
          <w:bCs/>
          <w:szCs w:val="24"/>
          <w:lang w:eastAsia="en-GB"/>
        </w:rPr>
        <w:br w:type="page"/>
      </w:r>
    </w:p>
    <w:p w:rsidR="00294F6F" w:rsidRPr="00F177FE" w:rsidRDefault="00294F6F" w:rsidP="00F177FE">
      <w:pPr>
        <w:pStyle w:val="Heading3"/>
        <w:spacing w:line="480" w:lineRule="auto"/>
        <w:rPr>
          <w:szCs w:val="26"/>
          <w:lang w:eastAsia="en-GB"/>
        </w:rPr>
      </w:pPr>
      <w:bookmarkStart w:id="725" w:name="_Toc370819335"/>
      <w:r w:rsidRPr="00B013ED">
        <w:rPr>
          <w:lang w:eastAsia="en-GB"/>
        </w:rPr>
        <w:lastRenderedPageBreak/>
        <w:t>Cell counting using Trypan Blue:</w:t>
      </w:r>
      <w:bookmarkEnd w:id="725"/>
    </w:p>
    <w:p w:rsidR="00261231" w:rsidRPr="00261231" w:rsidRDefault="00F177FE" w:rsidP="00261231">
      <w:pPr>
        <w:suppressAutoHyphens/>
        <w:autoSpaceDN w:val="0"/>
        <w:spacing w:before="120" w:after="120" w:line="480" w:lineRule="auto"/>
        <w:jc w:val="both"/>
        <w:textAlignment w:val="baseline"/>
        <w:rPr>
          <w:rFonts w:ascii="Arial" w:eastAsia="Times New Roman" w:hAnsi="Arial" w:cs="Arial"/>
          <w:bCs/>
          <w:szCs w:val="24"/>
          <w:lang w:eastAsia="en-GB"/>
        </w:rPr>
      </w:pPr>
      <w:r>
        <w:rPr>
          <w:rFonts w:ascii="Arial" w:eastAsia="Times New Roman" w:hAnsi="Arial" w:cs="Arial"/>
          <w:bCs/>
          <w:szCs w:val="24"/>
          <w:lang w:eastAsia="en-GB"/>
        </w:rPr>
        <w:t>T</w:t>
      </w:r>
      <w:r w:rsidR="001C289C">
        <w:rPr>
          <w:rFonts w:ascii="Arial" w:eastAsia="Times New Roman" w:hAnsi="Arial" w:cs="Arial"/>
          <w:bCs/>
          <w:szCs w:val="24"/>
          <w:lang w:eastAsia="en-GB"/>
        </w:rPr>
        <w:t>h</w:t>
      </w:r>
      <w:r w:rsidR="00261231" w:rsidRPr="00261231">
        <w:rPr>
          <w:rFonts w:ascii="Arial" w:eastAsia="Times New Roman" w:hAnsi="Arial" w:cs="Arial"/>
          <w:bCs/>
          <w:szCs w:val="24"/>
          <w:lang w:eastAsia="en-GB"/>
        </w:rPr>
        <w:t xml:space="preserve">e number of live and dead cells for each test and control groups were counted and the averages were calculated using the following methods: </w:t>
      </w:r>
    </w:p>
    <w:p w:rsidR="00294F6F" w:rsidRPr="00B013ED" w:rsidRDefault="00294F6F" w:rsidP="00294F6F">
      <w:pPr>
        <w:pBdr>
          <w:bar w:val="single" w:sz="4" w:color="auto"/>
        </w:pBdr>
        <w:spacing w:after="0" w:line="240" w:lineRule="auto"/>
        <w:rPr>
          <w:rFonts w:ascii="Arial" w:eastAsia="Times New Roman" w:hAnsi="Arial" w:cs="Arial"/>
          <w:sz w:val="20"/>
          <w:szCs w:val="20"/>
          <w:lang w:eastAsia="en-GB"/>
        </w:rPr>
      </w:pPr>
    </w:p>
    <w:p w:rsidR="00294F6F" w:rsidRPr="00B013ED" w:rsidRDefault="00294F6F" w:rsidP="00F177FE">
      <w:pPr>
        <w:pStyle w:val="Heading4"/>
        <w:spacing w:line="480" w:lineRule="auto"/>
        <w:rPr>
          <w:lang w:eastAsia="en-GB"/>
        </w:rPr>
      </w:pPr>
      <w:r w:rsidRPr="00B013ED">
        <w:rPr>
          <w:lang w:eastAsia="en-GB"/>
        </w:rPr>
        <w:t>Counting:</w:t>
      </w:r>
    </w:p>
    <w:p w:rsidR="00294F6F" w:rsidRPr="00B013ED" w:rsidRDefault="00294F6F" w:rsidP="00294F6F">
      <w:pPr>
        <w:spacing w:after="0" w:line="480" w:lineRule="auto"/>
        <w:rPr>
          <w:rFonts w:ascii="Arial" w:eastAsia="Times New Roman" w:hAnsi="Arial" w:cs="Arial"/>
          <w:szCs w:val="24"/>
          <w:lang w:eastAsia="en-GB"/>
        </w:rPr>
      </w:pPr>
      <w:r w:rsidRPr="00B013ED">
        <w:rPr>
          <w:rFonts w:ascii="Arial" w:eastAsia="Times New Roman" w:hAnsi="Arial" w:cs="Arial"/>
          <w:szCs w:val="24"/>
          <w:lang w:eastAsia="en-GB"/>
        </w:rPr>
        <w:t xml:space="preserve">Cell counting = number of cells*10000*2* (number of cells per millimetre)  </w:t>
      </w:r>
    </w:p>
    <w:p w:rsidR="00294F6F" w:rsidRPr="00B013ED" w:rsidRDefault="00294F6F" w:rsidP="00294F6F">
      <w:pPr>
        <w:spacing w:after="0" w:line="480" w:lineRule="auto"/>
        <w:rPr>
          <w:rFonts w:ascii="Arial" w:eastAsia="Times New Roman" w:hAnsi="Arial" w:cs="Arial"/>
          <w:szCs w:val="24"/>
          <w:lang w:eastAsia="en-GB"/>
        </w:rPr>
      </w:pPr>
      <w:r w:rsidRPr="00B013ED">
        <w:rPr>
          <w:rFonts w:ascii="Arial" w:eastAsia="Times New Roman" w:hAnsi="Arial" w:cs="Arial"/>
          <w:szCs w:val="24"/>
          <w:lang w:eastAsia="en-GB"/>
        </w:rPr>
        <w:t xml:space="preserve">For exam if number of cells are 3 </w:t>
      </w:r>
    </w:p>
    <w:p w:rsidR="00294F6F" w:rsidRPr="00B013ED" w:rsidRDefault="00294F6F" w:rsidP="00294F6F">
      <w:pPr>
        <w:spacing w:after="0" w:line="480" w:lineRule="auto"/>
        <w:rPr>
          <w:rFonts w:ascii="Arial" w:eastAsia="Times New Roman" w:hAnsi="Arial" w:cs="Arial"/>
          <w:szCs w:val="24"/>
          <w:lang w:eastAsia="en-GB"/>
        </w:rPr>
      </w:pPr>
      <w:r w:rsidRPr="00B013ED">
        <w:rPr>
          <w:rFonts w:ascii="Arial" w:eastAsia="Times New Roman" w:hAnsi="Arial" w:cs="Arial"/>
          <w:szCs w:val="24"/>
          <w:lang w:eastAsia="en-GB"/>
        </w:rPr>
        <w:t>3*10000*2= 60000 cell/ml</w:t>
      </w:r>
    </w:p>
    <w:p w:rsidR="00294F6F" w:rsidRDefault="00294F6F" w:rsidP="00294F6F">
      <w:pPr>
        <w:spacing w:after="0" w:line="480" w:lineRule="auto"/>
        <w:rPr>
          <w:rFonts w:ascii="Arial" w:eastAsia="Times New Roman" w:hAnsi="Arial" w:cs="Arial"/>
          <w:szCs w:val="24"/>
          <w:lang w:eastAsia="en-GB"/>
        </w:rPr>
      </w:pPr>
      <w:r w:rsidRPr="00B013ED">
        <w:rPr>
          <w:rFonts w:ascii="Arial" w:eastAsia="Times New Roman" w:hAnsi="Arial" w:cs="Arial"/>
          <w:szCs w:val="24"/>
          <w:lang w:eastAsia="en-GB"/>
        </w:rPr>
        <w:t>The total number = number of cells per millilitre X total Volume (ml)</w:t>
      </w:r>
    </w:p>
    <w:p w:rsidR="00687C88" w:rsidRPr="00B013ED" w:rsidRDefault="00687C88" w:rsidP="00294F6F">
      <w:pPr>
        <w:spacing w:after="0" w:line="480" w:lineRule="auto"/>
        <w:rPr>
          <w:rFonts w:ascii="Arial" w:eastAsia="Times New Roman" w:hAnsi="Arial" w:cs="Arial"/>
          <w:szCs w:val="24"/>
          <w:lang w:eastAsia="en-GB"/>
        </w:rPr>
      </w:pPr>
    </w:p>
    <w:p w:rsidR="00294F6F" w:rsidRPr="00B013ED" w:rsidRDefault="00F177FE" w:rsidP="00294F6F">
      <w:pPr>
        <w:spacing w:after="0" w:line="480" w:lineRule="auto"/>
        <w:rPr>
          <w:rFonts w:ascii="Arial" w:eastAsia="Times New Roman" w:hAnsi="Arial" w:cs="Arial"/>
          <w:szCs w:val="24"/>
          <w:lang w:eastAsia="en-GB"/>
        </w:rPr>
      </w:pPr>
      <w:r w:rsidRPr="00B013ED">
        <w:rPr>
          <w:rFonts w:ascii="Arial" w:eastAsia="SimSun" w:hAnsi="Arial" w:cs="Arial"/>
          <w:noProof/>
          <w:szCs w:val="24"/>
          <w:lang w:eastAsia="en-GB"/>
        </w:rPr>
        <mc:AlternateContent>
          <mc:Choice Requires="wps">
            <w:drawing>
              <wp:anchor distT="0" distB="0" distL="114300" distR="114300" simplePos="0" relativeHeight="251685888" behindDoc="0" locked="0" layoutInCell="1" allowOverlap="1" wp14:anchorId="48AA62F0" wp14:editId="4BA27285">
                <wp:simplePos x="0" y="0"/>
                <wp:positionH relativeFrom="column">
                  <wp:posOffset>626746</wp:posOffset>
                </wp:positionH>
                <wp:positionV relativeFrom="paragraph">
                  <wp:posOffset>255270</wp:posOffset>
                </wp:positionV>
                <wp:extent cx="2028824" cy="1"/>
                <wp:effectExtent l="0" t="0" r="1016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882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49.35pt;margin-top:20.1pt;width:159.7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"/>
            </w:pict>
          </mc:Fallback>
        </mc:AlternateContent>
      </w:r>
      <w:r w:rsidR="00294F6F" w:rsidRPr="00B013ED">
        <w:rPr>
          <w:rFonts w:ascii="Arial" w:eastAsia="Times New Roman" w:hAnsi="Arial" w:cs="Arial"/>
          <w:szCs w:val="24"/>
          <w:lang w:eastAsia="en-GB"/>
        </w:rPr>
        <w:t xml:space="preserve">Cells %=         death cells                        </w:t>
      </w:r>
    </w:p>
    <w:p w:rsidR="00294F6F" w:rsidRPr="00B013ED" w:rsidRDefault="00294F6F" w:rsidP="00294F6F">
      <w:pPr>
        <w:spacing w:after="0" w:line="480" w:lineRule="auto"/>
        <w:rPr>
          <w:rFonts w:ascii="Arial" w:eastAsia="Times New Roman" w:hAnsi="Arial" w:cs="Arial"/>
          <w:szCs w:val="24"/>
          <w:lang w:eastAsia="en-GB"/>
        </w:rPr>
      </w:pPr>
      <w:r w:rsidRPr="00B013ED">
        <w:rPr>
          <w:rFonts w:ascii="Arial" w:eastAsia="Times New Roman" w:hAnsi="Arial" w:cs="Arial"/>
          <w:szCs w:val="24"/>
          <w:lang w:eastAsia="en-GB"/>
        </w:rPr>
        <w:t xml:space="preserve">            </w:t>
      </w:r>
      <w:r w:rsidR="001C289C">
        <w:rPr>
          <w:rFonts w:ascii="Arial" w:eastAsia="Times New Roman" w:hAnsi="Arial" w:cs="Arial"/>
          <w:szCs w:val="24"/>
          <w:lang w:eastAsia="en-GB"/>
        </w:rPr>
        <w:t xml:space="preserve">     Death cells + alive </w:t>
      </w:r>
      <w:proofErr w:type="gramStart"/>
      <w:r w:rsidR="001C289C">
        <w:rPr>
          <w:rFonts w:ascii="Arial" w:eastAsia="Times New Roman" w:hAnsi="Arial" w:cs="Arial"/>
          <w:szCs w:val="24"/>
          <w:lang w:eastAsia="en-GB"/>
        </w:rPr>
        <w:t xml:space="preserve">cells </w:t>
      </w:r>
      <w:r w:rsidR="00DC463B">
        <w:rPr>
          <w:rFonts w:ascii="Arial" w:eastAsia="Times New Roman" w:hAnsi="Arial" w:cs="Arial"/>
          <w:szCs w:val="24"/>
          <w:lang w:eastAsia="en-GB"/>
        </w:rPr>
        <w:t xml:space="preserve"> </w:t>
      </w:r>
      <w:r w:rsidRPr="00B013ED">
        <w:rPr>
          <w:rFonts w:ascii="Arial" w:eastAsia="Times New Roman" w:hAnsi="Arial" w:cs="Arial"/>
          <w:szCs w:val="24"/>
          <w:lang w:eastAsia="en-GB"/>
        </w:rPr>
        <w:t>X</w:t>
      </w:r>
      <w:proofErr w:type="gramEnd"/>
      <w:r w:rsidRPr="00B013ED">
        <w:rPr>
          <w:rFonts w:ascii="Arial" w:eastAsia="Times New Roman" w:hAnsi="Arial" w:cs="Arial"/>
          <w:szCs w:val="24"/>
          <w:lang w:eastAsia="en-GB"/>
        </w:rPr>
        <w:t xml:space="preserve"> 100 =</w:t>
      </w:r>
    </w:p>
    <w:p w:rsidR="00294F6F" w:rsidRPr="00B013ED" w:rsidRDefault="00294F6F" w:rsidP="00294F6F">
      <w:pPr>
        <w:spacing w:after="0" w:line="480" w:lineRule="auto"/>
        <w:rPr>
          <w:rFonts w:ascii="Arial" w:eastAsia="Times New Roman" w:hAnsi="Arial" w:cs="Arial"/>
          <w:szCs w:val="24"/>
          <w:lang w:eastAsia="en-GB"/>
        </w:rPr>
      </w:pPr>
    </w:p>
    <w:p w:rsidR="00F177FE" w:rsidRPr="001C289C" w:rsidRDefault="00294F6F" w:rsidP="001C289C">
      <w:pPr>
        <w:pStyle w:val="table"/>
        <w:jc w:val="both"/>
        <w:rPr>
          <w:szCs w:val="24"/>
        </w:rPr>
      </w:pPr>
      <w:r w:rsidRPr="001C289C">
        <w:rPr>
          <w:rFonts w:ascii="Arial" w:hAnsi="Arial"/>
          <w:szCs w:val="24"/>
        </w:rPr>
        <w:t xml:space="preserve">The </w:t>
      </w:r>
      <w:r w:rsidR="007461E7" w:rsidRPr="001C289C">
        <w:rPr>
          <w:rFonts w:ascii="Arial" w:hAnsi="Arial"/>
          <w:szCs w:val="24"/>
        </w:rPr>
        <w:fldChar w:fldCharType="begin"/>
      </w:r>
      <w:r w:rsidR="007461E7" w:rsidRPr="001C289C">
        <w:rPr>
          <w:rFonts w:ascii="Arial" w:hAnsi="Arial"/>
          <w:szCs w:val="24"/>
        </w:rPr>
        <w:instrText xml:space="preserve"> REF _Ref361134699 \h </w:instrText>
      </w:r>
      <w:r w:rsidR="001C289C" w:rsidRPr="001C289C">
        <w:rPr>
          <w:rFonts w:ascii="Arial" w:hAnsi="Arial"/>
          <w:szCs w:val="24"/>
        </w:rPr>
        <w:instrText xml:space="preserve"> \* MERGEFORMAT </w:instrText>
      </w:r>
      <w:r w:rsidR="007461E7" w:rsidRPr="001C289C">
        <w:rPr>
          <w:rFonts w:ascii="Arial" w:hAnsi="Arial"/>
          <w:szCs w:val="24"/>
        </w:rPr>
      </w:r>
      <w:r w:rsidR="007461E7" w:rsidRPr="001C289C">
        <w:rPr>
          <w:rFonts w:ascii="Arial" w:hAnsi="Arial"/>
          <w:szCs w:val="24"/>
        </w:rPr>
        <w:fldChar w:fldCharType="separate"/>
      </w:r>
      <w:r w:rsidR="00374B77" w:rsidRPr="00374B77">
        <w:rPr>
          <w:rFonts w:cstheme="minorBidi"/>
          <w:szCs w:val="24"/>
        </w:rPr>
        <w:t xml:space="preserve">Table </w:t>
      </w:r>
      <w:r w:rsidR="00374B77" w:rsidRPr="00374B77">
        <w:rPr>
          <w:rFonts w:cstheme="minorBidi"/>
          <w:noProof/>
          <w:szCs w:val="24"/>
          <w:cs/>
        </w:rPr>
        <w:t>‎</w:t>
      </w:r>
      <w:r w:rsidR="00374B77">
        <w:rPr>
          <w:rFonts w:cstheme="minorBidi"/>
          <w:b/>
          <w:bCs w:val="0"/>
          <w:noProof/>
          <w:sz w:val="20"/>
          <w:szCs w:val="20"/>
        </w:rPr>
        <w:t>4.1</w:t>
      </w:r>
      <w:r w:rsidR="007461E7" w:rsidRPr="001C289C">
        <w:rPr>
          <w:rFonts w:ascii="Arial" w:hAnsi="Arial"/>
          <w:szCs w:val="24"/>
        </w:rPr>
        <w:fldChar w:fldCharType="end"/>
      </w:r>
      <w:r w:rsidR="007461E7" w:rsidRPr="001C289C">
        <w:rPr>
          <w:rFonts w:ascii="Arial" w:hAnsi="Arial"/>
          <w:szCs w:val="24"/>
        </w:rPr>
        <w:t xml:space="preserve">and </w:t>
      </w:r>
      <w:r w:rsidR="007461E7" w:rsidRPr="001C289C">
        <w:rPr>
          <w:rFonts w:ascii="Arial" w:hAnsi="Arial"/>
          <w:szCs w:val="24"/>
        </w:rPr>
        <w:fldChar w:fldCharType="begin"/>
      </w:r>
      <w:r w:rsidR="007461E7" w:rsidRPr="001C289C">
        <w:rPr>
          <w:rFonts w:ascii="Arial" w:hAnsi="Arial"/>
          <w:szCs w:val="24"/>
        </w:rPr>
        <w:instrText xml:space="preserve"> REF _Ref361134828 \h </w:instrText>
      </w:r>
      <w:r w:rsidR="001C289C" w:rsidRPr="001C289C">
        <w:rPr>
          <w:rFonts w:ascii="Arial" w:hAnsi="Arial"/>
          <w:szCs w:val="24"/>
        </w:rPr>
        <w:instrText xml:space="preserve"> \* MERGEFORMAT </w:instrText>
      </w:r>
      <w:r w:rsidR="007461E7" w:rsidRPr="001C289C">
        <w:rPr>
          <w:rFonts w:ascii="Arial" w:hAnsi="Arial"/>
          <w:szCs w:val="24"/>
        </w:rPr>
      </w:r>
      <w:r w:rsidR="007461E7" w:rsidRPr="001C289C">
        <w:rPr>
          <w:rFonts w:ascii="Arial" w:hAnsi="Arial"/>
          <w:szCs w:val="24"/>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b/>
          <w:bCs w:val="0"/>
          <w:noProof/>
          <w:sz w:val="20"/>
          <w:szCs w:val="20"/>
        </w:rPr>
        <w:t>4.10</w:t>
      </w:r>
      <w:r w:rsidR="007461E7" w:rsidRPr="001C289C">
        <w:rPr>
          <w:rFonts w:ascii="Arial" w:hAnsi="Arial"/>
          <w:szCs w:val="24"/>
        </w:rPr>
        <w:fldChar w:fldCharType="end"/>
      </w:r>
      <w:r w:rsidR="007461E7" w:rsidRPr="001C289C">
        <w:rPr>
          <w:rFonts w:ascii="Arial" w:hAnsi="Arial"/>
          <w:szCs w:val="24"/>
        </w:rPr>
        <w:t xml:space="preserve"> </w:t>
      </w:r>
      <w:r w:rsidR="00F177FE" w:rsidRPr="001C289C">
        <w:rPr>
          <w:szCs w:val="24"/>
        </w:rPr>
        <w:t xml:space="preserve">show </w:t>
      </w:r>
      <w:r w:rsidR="008C0C23">
        <w:rPr>
          <w:szCs w:val="24"/>
        </w:rPr>
        <w:t xml:space="preserve">that </w:t>
      </w:r>
      <w:r w:rsidR="00F177FE" w:rsidRPr="001C289C">
        <w:rPr>
          <w:szCs w:val="24"/>
        </w:rPr>
        <w:t>the viability rate of pulp cells for the control group was high (93.5%) but was lower than metronidazole which was 94.9%. Ciprofloxacin had the worse effect on cell survivability which was statistically significant compared to the control group (p=0.0</w:t>
      </w:r>
      <w:r w:rsidR="003F6BC8" w:rsidRPr="001C289C">
        <w:rPr>
          <w:szCs w:val="24"/>
        </w:rPr>
        <w:t>0</w:t>
      </w:r>
      <w:r w:rsidR="00F177FE" w:rsidRPr="001C289C">
        <w:rPr>
          <w:szCs w:val="24"/>
        </w:rPr>
        <w:t>), followed by minocycline (79.0%) although this difference was not significant. The combination of two or three antibiotics had almost the same effect, with slightly higher cell viability in Met+Cip group but this was not statistically significant.</w:t>
      </w:r>
    </w:p>
    <w:p w:rsidR="00F177FE" w:rsidRDefault="00F177FE">
      <w:pPr>
        <w:rPr>
          <w:rFonts w:eastAsia="Times New Roman" w:cs="Arial"/>
          <w:bCs/>
          <w:szCs w:val="24"/>
          <w:lang w:eastAsia="en-GB"/>
        </w:rPr>
      </w:pPr>
      <w:r>
        <w:rPr>
          <w:rFonts w:eastAsia="Times New Roman" w:cs="Arial"/>
          <w:bCs/>
          <w:szCs w:val="24"/>
          <w:lang w:eastAsia="en-GB"/>
        </w:rPr>
        <w:br w:type="page"/>
      </w:r>
    </w:p>
    <w:p w:rsidR="00294F6F" w:rsidRPr="00B013ED" w:rsidRDefault="00294F6F" w:rsidP="00F177FE">
      <w:pPr>
        <w:spacing w:after="120" w:line="480" w:lineRule="auto"/>
        <w:jc w:val="both"/>
        <w:rPr>
          <w:rFonts w:ascii="Arial" w:eastAsia="Times New Roman" w:hAnsi="Arial" w:cs="Arial"/>
          <w:bCs/>
          <w:szCs w:val="24"/>
          <w:lang w:eastAsia="en-GB"/>
        </w:rPr>
      </w:pPr>
    </w:p>
    <w:p w:rsidR="00294F6F" w:rsidRPr="00B013ED" w:rsidRDefault="00294F6F" w:rsidP="00294F6F">
      <w:pPr>
        <w:spacing w:after="0" w:line="240" w:lineRule="auto"/>
        <w:rPr>
          <w:rFonts w:ascii="Arial" w:eastAsia="Times New Roman" w:hAnsi="Arial" w:cs="Arial"/>
          <w:szCs w:val="24"/>
          <w:lang w:eastAsia="en-GB"/>
        </w:rPr>
      </w:pPr>
    </w:p>
    <w:p w:rsidR="0075712D" w:rsidRPr="00F177FE" w:rsidRDefault="0075712D" w:rsidP="001D3F19">
      <w:pPr>
        <w:rPr>
          <w:rFonts w:cstheme="minorBidi"/>
          <w:b/>
          <w:bCs/>
          <w:sz w:val="20"/>
          <w:szCs w:val="20"/>
        </w:rPr>
      </w:pPr>
      <w:bookmarkStart w:id="726" w:name="_Ref361134699"/>
      <w:bookmarkStart w:id="727" w:name="_Toc370511756"/>
      <w:proofErr w:type="gramStart"/>
      <w:r w:rsidRPr="00F177FE">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4</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1</w:t>
      </w:r>
      <w:r w:rsidR="00E7089D">
        <w:rPr>
          <w:rFonts w:cstheme="minorBidi"/>
          <w:b/>
          <w:bCs/>
          <w:sz w:val="20"/>
          <w:szCs w:val="20"/>
        </w:rPr>
        <w:fldChar w:fldCharType="end"/>
      </w:r>
      <w:bookmarkEnd w:id="726"/>
      <w:r w:rsidRPr="00F177FE">
        <w:rPr>
          <w:rFonts w:cstheme="minorBidi"/>
          <w:b/>
          <w:bCs/>
          <w:sz w:val="20"/>
          <w:szCs w:val="20"/>
        </w:rPr>
        <w:t xml:space="preserve"> This table Shows the a live cells count and death cells also the percentage of survival pulp cells after 24 hours incubated with antibiotics</w:t>
      </w:r>
      <w:bookmarkEnd w:id="727"/>
      <w:r w:rsidR="00F177FE" w:rsidRPr="00F177FE">
        <w:rPr>
          <w:rFonts w:cstheme="minorBidi"/>
          <w:b/>
          <w:bCs/>
          <w:sz w:val="20"/>
          <w:szCs w:val="20"/>
        </w:rPr>
        <w:t xml:space="preserve"> </w:t>
      </w:r>
    </w:p>
    <w:tbl>
      <w:tblPr>
        <w:tblStyle w:val="TableGrid1"/>
        <w:tblW w:w="5000" w:type="pct"/>
        <w:tblLook w:val="04A0" w:firstRow="1" w:lastRow="0" w:firstColumn="1" w:lastColumn="0" w:noHBand="0" w:noVBand="1"/>
      </w:tblPr>
      <w:tblGrid>
        <w:gridCol w:w="1893"/>
        <w:gridCol w:w="1634"/>
        <w:gridCol w:w="1542"/>
        <w:gridCol w:w="1682"/>
        <w:gridCol w:w="1805"/>
      </w:tblGrid>
      <w:tr w:rsidR="00B04392" w:rsidRPr="00B04392" w:rsidTr="0075712D">
        <w:trPr>
          <w:trHeight w:val="582"/>
        </w:trPr>
        <w:tc>
          <w:tcPr>
            <w:tcW w:w="1106" w:type="pct"/>
            <w:shd w:val="clear" w:color="auto" w:fill="17365D" w:themeFill="text2" w:themeFillShade="BF"/>
            <w:noWrap/>
            <w:hideMark/>
          </w:tcPr>
          <w:p w:rsidR="00B04392" w:rsidRPr="00B04392" w:rsidRDefault="00B04392" w:rsidP="00294F6F">
            <w:pPr>
              <w:jc w:val="center"/>
              <w:rPr>
                <w:rFonts w:ascii="Arial" w:eastAsia="Times New Roman" w:hAnsi="Arial"/>
                <w:b/>
                <w:bCs/>
                <w:sz w:val="20"/>
                <w:szCs w:val="20"/>
                <w:lang w:eastAsia="en-GB"/>
              </w:rPr>
            </w:pPr>
          </w:p>
        </w:tc>
        <w:tc>
          <w:tcPr>
            <w:tcW w:w="955" w:type="pct"/>
            <w:shd w:val="clear" w:color="auto" w:fill="17365D" w:themeFill="text2" w:themeFillShade="BF"/>
            <w:noWrap/>
            <w:hideMark/>
          </w:tcPr>
          <w:p w:rsidR="00B04392" w:rsidRPr="00B04392" w:rsidRDefault="00B04392"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cell counts</w:t>
            </w:r>
          </w:p>
        </w:tc>
        <w:tc>
          <w:tcPr>
            <w:tcW w:w="901" w:type="pct"/>
            <w:shd w:val="clear" w:color="auto" w:fill="17365D" w:themeFill="text2" w:themeFillShade="BF"/>
            <w:noWrap/>
            <w:hideMark/>
          </w:tcPr>
          <w:p w:rsidR="00B04392" w:rsidRPr="00B04392" w:rsidRDefault="00B04392" w:rsidP="00294F6F">
            <w:pPr>
              <w:jc w:val="center"/>
              <w:rPr>
                <w:rFonts w:ascii="Arial" w:eastAsia="Times New Roman" w:hAnsi="Arial"/>
                <w:b/>
                <w:bCs/>
                <w:sz w:val="20"/>
                <w:szCs w:val="20"/>
                <w:lang w:eastAsia="en-GB"/>
              </w:rPr>
            </w:pPr>
          </w:p>
        </w:tc>
        <w:tc>
          <w:tcPr>
            <w:tcW w:w="983" w:type="pct"/>
            <w:shd w:val="clear" w:color="auto" w:fill="17365D" w:themeFill="text2" w:themeFillShade="BF"/>
            <w:noWrap/>
            <w:hideMark/>
          </w:tcPr>
          <w:p w:rsidR="00B04392" w:rsidRPr="00B04392" w:rsidRDefault="00B04392" w:rsidP="00294F6F">
            <w:pPr>
              <w:jc w:val="center"/>
              <w:rPr>
                <w:rFonts w:ascii="Arial" w:eastAsia="Times New Roman" w:hAnsi="Arial"/>
                <w:b/>
                <w:bCs/>
                <w:sz w:val="20"/>
                <w:szCs w:val="20"/>
                <w:lang w:eastAsia="en-GB"/>
              </w:rPr>
            </w:pPr>
          </w:p>
        </w:tc>
        <w:tc>
          <w:tcPr>
            <w:tcW w:w="1055" w:type="pct"/>
            <w:shd w:val="clear" w:color="auto" w:fill="17365D" w:themeFill="text2" w:themeFillShade="BF"/>
            <w:noWrap/>
            <w:hideMark/>
          </w:tcPr>
          <w:p w:rsidR="00B04392" w:rsidRPr="00B04392" w:rsidRDefault="00B04392" w:rsidP="00294F6F">
            <w:pPr>
              <w:rPr>
                <w:rFonts w:ascii="Arial" w:eastAsia="Times New Roman" w:hAnsi="Arial"/>
                <w:b/>
                <w:bCs/>
                <w:sz w:val="20"/>
                <w:szCs w:val="20"/>
                <w:lang w:eastAsia="en-GB"/>
              </w:rPr>
            </w:pPr>
            <w:r w:rsidRPr="00B04392">
              <w:rPr>
                <w:rFonts w:ascii="Arial" w:eastAsia="Times New Roman" w:hAnsi="Arial"/>
                <w:b/>
                <w:bCs/>
                <w:sz w:val="20"/>
                <w:szCs w:val="20"/>
                <w:lang w:eastAsia="en-GB"/>
              </w:rPr>
              <w:t>survival cells</w:t>
            </w:r>
          </w:p>
        </w:tc>
      </w:tr>
      <w:tr w:rsidR="00B04392" w:rsidRPr="00B04392" w:rsidTr="0075712D">
        <w:trPr>
          <w:trHeight w:val="582"/>
        </w:trPr>
        <w:tc>
          <w:tcPr>
            <w:tcW w:w="1106" w:type="pct"/>
            <w:shd w:val="clear" w:color="auto" w:fill="17365D" w:themeFill="text2" w:themeFillShade="BF"/>
            <w:noWrap/>
            <w:hideMark/>
          </w:tcPr>
          <w:p w:rsidR="00B04392" w:rsidRPr="00B04392" w:rsidRDefault="00B04392"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samples</w:t>
            </w:r>
          </w:p>
        </w:tc>
        <w:tc>
          <w:tcPr>
            <w:tcW w:w="955" w:type="pct"/>
            <w:shd w:val="clear" w:color="auto" w:fill="F2F2F2" w:themeFill="background1" w:themeFillShade="F2"/>
            <w:noWrap/>
            <w:hideMark/>
          </w:tcPr>
          <w:p w:rsidR="00B04392" w:rsidRPr="00B04392" w:rsidRDefault="00B04392"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L</w:t>
            </w:r>
          </w:p>
        </w:tc>
        <w:tc>
          <w:tcPr>
            <w:tcW w:w="901" w:type="pct"/>
            <w:shd w:val="clear" w:color="auto" w:fill="F2F2F2" w:themeFill="background1" w:themeFillShade="F2"/>
            <w:noWrap/>
            <w:hideMark/>
          </w:tcPr>
          <w:p w:rsidR="00B04392" w:rsidRPr="00B04392" w:rsidRDefault="00B04392"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D</w:t>
            </w:r>
          </w:p>
        </w:tc>
        <w:tc>
          <w:tcPr>
            <w:tcW w:w="983" w:type="pct"/>
            <w:shd w:val="clear" w:color="auto" w:fill="F2DBDB" w:themeFill="accent2" w:themeFillTint="33"/>
            <w:noWrap/>
            <w:hideMark/>
          </w:tcPr>
          <w:p w:rsidR="00B04392" w:rsidRPr="00B04392" w:rsidRDefault="00B04392"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Av live %</w:t>
            </w:r>
          </w:p>
        </w:tc>
        <w:tc>
          <w:tcPr>
            <w:tcW w:w="1055" w:type="pct"/>
            <w:shd w:val="clear" w:color="auto" w:fill="FDE9D9" w:themeFill="accent6" w:themeFillTint="33"/>
            <w:noWrap/>
            <w:hideMark/>
          </w:tcPr>
          <w:p w:rsidR="00B04392" w:rsidRPr="00B04392" w:rsidRDefault="00B04392"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SD</w:t>
            </w:r>
          </w:p>
        </w:tc>
      </w:tr>
      <w:tr w:rsidR="00294F6F" w:rsidRPr="00B04392" w:rsidTr="0075712D">
        <w:trPr>
          <w:trHeight w:val="582"/>
        </w:trPr>
        <w:tc>
          <w:tcPr>
            <w:tcW w:w="1106" w:type="pct"/>
            <w:shd w:val="clear" w:color="auto" w:fill="17365D" w:themeFill="text2" w:themeFillShade="BF"/>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cont</w:t>
            </w:r>
            <w:r w:rsidR="006B5362" w:rsidRPr="00B04392">
              <w:rPr>
                <w:rFonts w:ascii="Arial" w:eastAsia="Times New Roman" w:hAnsi="Arial"/>
                <w:b/>
                <w:bCs/>
                <w:sz w:val="20"/>
                <w:szCs w:val="20"/>
                <w:lang w:eastAsia="en-GB"/>
              </w:rPr>
              <w:t>rol</w:t>
            </w:r>
          </w:p>
        </w:tc>
        <w:tc>
          <w:tcPr>
            <w:tcW w:w="955" w:type="pct"/>
            <w:shd w:val="clear" w:color="auto" w:fill="F2F2F2" w:themeFill="background1" w:themeFillShade="F2"/>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251200</w:t>
            </w:r>
          </w:p>
        </w:tc>
        <w:tc>
          <w:tcPr>
            <w:tcW w:w="901" w:type="pct"/>
            <w:shd w:val="clear" w:color="auto" w:fill="F2F2F2" w:themeFill="background1" w:themeFillShade="F2"/>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18000</w:t>
            </w:r>
          </w:p>
        </w:tc>
        <w:tc>
          <w:tcPr>
            <w:tcW w:w="983" w:type="pct"/>
            <w:shd w:val="clear" w:color="auto" w:fill="F2DBDB" w:themeFill="accent2" w:themeFillTint="33"/>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93.458</w:t>
            </w:r>
          </w:p>
        </w:tc>
        <w:tc>
          <w:tcPr>
            <w:tcW w:w="1055" w:type="pct"/>
            <w:shd w:val="clear" w:color="auto" w:fill="FDE9D9" w:themeFill="accent6" w:themeFillTint="33"/>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1.91199</w:t>
            </w:r>
          </w:p>
        </w:tc>
      </w:tr>
      <w:tr w:rsidR="00294F6F" w:rsidRPr="00B04392" w:rsidTr="0075712D">
        <w:trPr>
          <w:trHeight w:val="582"/>
        </w:trPr>
        <w:tc>
          <w:tcPr>
            <w:tcW w:w="1106" w:type="pct"/>
            <w:shd w:val="clear" w:color="auto" w:fill="17365D" w:themeFill="text2" w:themeFillShade="BF"/>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Met</w:t>
            </w:r>
          </w:p>
        </w:tc>
        <w:tc>
          <w:tcPr>
            <w:tcW w:w="955" w:type="pct"/>
            <w:shd w:val="clear" w:color="auto" w:fill="F2F2F2" w:themeFill="background1" w:themeFillShade="F2"/>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132000</w:t>
            </w:r>
          </w:p>
        </w:tc>
        <w:tc>
          <w:tcPr>
            <w:tcW w:w="901" w:type="pct"/>
            <w:shd w:val="clear" w:color="auto" w:fill="F2F2F2" w:themeFill="background1" w:themeFillShade="F2"/>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5866.7</w:t>
            </w:r>
          </w:p>
        </w:tc>
        <w:tc>
          <w:tcPr>
            <w:tcW w:w="983" w:type="pct"/>
            <w:shd w:val="clear" w:color="auto" w:fill="F2DBDB" w:themeFill="accent2" w:themeFillTint="33"/>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94.87</w:t>
            </w:r>
          </w:p>
        </w:tc>
        <w:tc>
          <w:tcPr>
            <w:tcW w:w="1055" w:type="pct"/>
            <w:shd w:val="clear" w:color="auto" w:fill="FDE9D9" w:themeFill="accent6" w:themeFillTint="33"/>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1.84279</w:t>
            </w:r>
          </w:p>
        </w:tc>
      </w:tr>
      <w:tr w:rsidR="00294F6F" w:rsidRPr="00B04392" w:rsidTr="0075712D">
        <w:trPr>
          <w:trHeight w:val="582"/>
        </w:trPr>
        <w:tc>
          <w:tcPr>
            <w:tcW w:w="1106" w:type="pct"/>
            <w:shd w:val="clear" w:color="auto" w:fill="17365D" w:themeFill="text2" w:themeFillShade="BF"/>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Cip</w:t>
            </w:r>
          </w:p>
        </w:tc>
        <w:tc>
          <w:tcPr>
            <w:tcW w:w="955" w:type="pct"/>
            <w:shd w:val="clear" w:color="auto" w:fill="F2F2F2" w:themeFill="background1" w:themeFillShade="F2"/>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91733</w:t>
            </w:r>
          </w:p>
        </w:tc>
        <w:tc>
          <w:tcPr>
            <w:tcW w:w="901" w:type="pct"/>
            <w:shd w:val="clear" w:color="auto" w:fill="F2F2F2" w:themeFill="background1" w:themeFillShade="F2"/>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45867</w:t>
            </w:r>
          </w:p>
        </w:tc>
        <w:tc>
          <w:tcPr>
            <w:tcW w:w="983" w:type="pct"/>
            <w:shd w:val="clear" w:color="auto" w:fill="F2DBDB" w:themeFill="accent2" w:themeFillTint="33"/>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73.689</w:t>
            </w:r>
          </w:p>
        </w:tc>
        <w:tc>
          <w:tcPr>
            <w:tcW w:w="1055" w:type="pct"/>
            <w:shd w:val="clear" w:color="auto" w:fill="FDE9D9" w:themeFill="accent6" w:themeFillTint="33"/>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5.54886</w:t>
            </w:r>
          </w:p>
        </w:tc>
      </w:tr>
      <w:tr w:rsidR="00294F6F" w:rsidRPr="00B04392" w:rsidTr="0075712D">
        <w:trPr>
          <w:trHeight w:val="582"/>
        </w:trPr>
        <w:tc>
          <w:tcPr>
            <w:tcW w:w="1106" w:type="pct"/>
            <w:shd w:val="clear" w:color="auto" w:fill="17365D" w:themeFill="text2" w:themeFillShade="BF"/>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Mino</w:t>
            </w:r>
          </w:p>
        </w:tc>
        <w:tc>
          <w:tcPr>
            <w:tcW w:w="955" w:type="pct"/>
            <w:shd w:val="clear" w:color="auto" w:fill="F2F2F2" w:themeFill="background1" w:themeFillShade="F2"/>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63467</w:t>
            </w:r>
          </w:p>
        </w:tc>
        <w:tc>
          <w:tcPr>
            <w:tcW w:w="901" w:type="pct"/>
            <w:shd w:val="clear" w:color="auto" w:fill="F2F2F2" w:themeFill="background1" w:themeFillShade="F2"/>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18193</w:t>
            </w:r>
          </w:p>
        </w:tc>
        <w:tc>
          <w:tcPr>
            <w:tcW w:w="983" w:type="pct"/>
            <w:shd w:val="clear" w:color="auto" w:fill="F2DBDB" w:themeFill="accent2" w:themeFillTint="33"/>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79.003</w:t>
            </w:r>
          </w:p>
        </w:tc>
        <w:tc>
          <w:tcPr>
            <w:tcW w:w="1055" w:type="pct"/>
            <w:shd w:val="clear" w:color="auto" w:fill="FDE9D9" w:themeFill="accent6" w:themeFillTint="33"/>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2.9422</w:t>
            </w:r>
          </w:p>
        </w:tc>
      </w:tr>
      <w:tr w:rsidR="00294F6F" w:rsidRPr="00B04392" w:rsidTr="0075712D">
        <w:trPr>
          <w:trHeight w:val="582"/>
        </w:trPr>
        <w:tc>
          <w:tcPr>
            <w:tcW w:w="1106" w:type="pct"/>
            <w:shd w:val="clear" w:color="auto" w:fill="17365D" w:themeFill="text2" w:themeFillShade="BF"/>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2Ab</w:t>
            </w:r>
          </w:p>
        </w:tc>
        <w:tc>
          <w:tcPr>
            <w:tcW w:w="955" w:type="pct"/>
            <w:shd w:val="clear" w:color="auto" w:fill="F2F2F2" w:themeFill="background1" w:themeFillShade="F2"/>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166400</w:t>
            </w:r>
          </w:p>
        </w:tc>
        <w:tc>
          <w:tcPr>
            <w:tcW w:w="901" w:type="pct"/>
            <w:shd w:val="clear" w:color="auto" w:fill="F2F2F2" w:themeFill="background1" w:themeFillShade="F2"/>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21333</w:t>
            </w:r>
          </w:p>
        </w:tc>
        <w:tc>
          <w:tcPr>
            <w:tcW w:w="983" w:type="pct"/>
            <w:shd w:val="clear" w:color="auto" w:fill="F2DBDB" w:themeFill="accent2" w:themeFillTint="33"/>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86.195</w:t>
            </w:r>
          </w:p>
        </w:tc>
        <w:tc>
          <w:tcPr>
            <w:tcW w:w="1055" w:type="pct"/>
            <w:shd w:val="clear" w:color="auto" w:fill="FDE9D9" w:themeFill="accent6" w:themeFillTint="33"/>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2.0748</w:t>
            </w:r>
          </w:p>
        </w:tc>
      </w:tr>
      <w:tr w:rsidR="00294F6F" w:rsidRPr="00B04392" w:rsidTr="0075712D">
        <w:trPr>
          <w:trHeight w:val="582"/>
        </w:trPr>
        <w:tc>
          <w:tcPr>
            <w:tcW w:w="1106" w:type="pct"/>
            <w:shd w:val="clear" w:color="auto" w:fill="17365D" w:themeFill="text2" w:themeFillShade="BF"/>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3Ab</w:t>
            </w:r>
          </w:p>
        </w:tc>
        <w:tc>
          <w:tcPr>
            <w:tcW w:w="955" w:type="pct"/>
            <w:shd w:val="clear" w:color="auto" w:fill="F2F2F2" w:themeFill="background1" w:themeFillShade="F2"/>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150286</w:t>
            </w:r>
          </w:p>
        </w:tc>
        <w:tc>
          <w:tcPr>
            <w:tcW w:w="901" w:type="pct"/>
            <w:shd w:val="clear" w:color="auto" w:fill="F2F2F2" w:themeFill="background1" w:themeFillShade="F2"/>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21867</w:t>
            </w:r>
          </w:p>
        </w:tc>
        <w:tc>
          <w:tcPr>
            <w:tcW w:w="983" w:type="pct"/>
            <w:shd w:val="clear" w:color="auto" w:fill="F2DBDB" w:themeFill="accent2" w:themeFillTint="33"/>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84.278</w:t>
            </w:r>
          </w:p>
        </w:tc>
        <w:tc>
          <w:tcPr>
            <w:tcW w:w="1055" w:type="pct"/>
            <w:shd w:val="clear" w:color="auto" w:fill="FDE9D9" w:themeFill="accent6" w:themeFillTint="33"/>
            <w:noWrap/>
            <w:hideMark/>
          </w:tcPr>
          <w:p w:rsidR="00294F6F" w:rsidRPr="00B04392" w:rsidRDefault="00294F6F" w:rsidP="00294F6F">
            <w:pPr>
              <w:jc w:val="center"/>
              <w:rPr>
                <w:rFonts w:ascii="Arial" w:eastAsia="Times New Roman" w:hAnsi="Arial"/>
                <w:b/>
                <w:bCs/>
                <w:sz w:val="20"/>
                <w:szCs w:val="20"/>
                <w:lang w:eastAsia="en-GB"/>
              </w:rPr>
            </w:pPr>
            <w:r w:rsidRPr="00B04392">
              <w:rPr>
                <w:rFonts w:ascii="Arial" w:eastAsia="Times New Roman" w:hAnsi="Arial"/>
                <w:b/>
                <w:bCs/>
                <w:sz w:val="20"/>
                <w:szCs w:val="20"/>
                <w:lang w:eastAsia="en-GB"/>
              </w:rPr>
              <w:t>2.34194</w:t>
            </w:r>
          </w:p>
        </w:tc>
      </w:tr>
    </w:tbl>
    <w:p w:rsidR="00294F6F" w:rsidRPr="00B013ED" w:rsidRDefault="00294F6F" w:rsidP="00294F6F">
      <w:pPr>
        <w:spacing w:after="0" w:line="240" w:lineRule="auto"/>
        <w:rPr>
          <w:rFonts w:ascii="Arial" w:eastAsia="Times New Roman" w:hAnsi="Arial" w:cs="Arial"/>
          <w:szCs w:val="24"/>
          <w:lang w:eastAsia="en-GB"/>
        </w:rPr>
      </w:pPr>
    </w:p>
    <w:p w:rsidR="00294F6F" w:rsidRPr="00B013ED" w:rsidRDefault="00294F6F" w:rsidP="00294F6F">
      <w:pPr>
        <w:spacing w:after="0" w:line="240" w:lineRule="auto"/>
        <w:rPr>
          <w:rFonts w:ascii="Arial" w:eastAsia="Times New Roman" w:hAnsi="Arial" w:cs="Arial"/>
          <w:sz w:val="20"/>
          <w:szCs w:val="20"/>
          <w:lang w:eastAsia="en-GB"/>
        </w:rPr>
      </w:pPr>
      <w:r w:rsidRPr="00B013ED">
        <w:rPr>
          <w:rFonts w:ascii="Arial" w:eastAsia="Times New Roman" w:hAnsi="Arial" w:cs="Arial"/>
          <w:sz w:val="20"/>
          <w:szCs w:val="20"/>
          <w:lang w:eastAsia="en-GB"/>
        </w:rPr>
        <w:t>L        Live cells</w:t>
      </w:r>
    </w:p>
    <w:p w:rsidR="00294F6F" w:rsidRPr="00B013ED" w:rsidRDefault="00294F6F" w:rsidP="00294F6F">
      <w:pPr>
        <w:spacing w:after="0" w:line="240" w:lineRule="auto"/>
        <w:rPr>
          <w:rFonts w:ascii="Arial" w:eastAsia="Times New Roman" w:hAnsi="Arial" w:cs="Arial"/>
          <w:sz w:val="20"/>
          <w:szCs w:val="20"/>
          <w:lang w:eastAsia="en-GB"/>
        </w:rPr>
      </w:pPr>
      <w:r w:rsidRPr="00B013ED">
        <w:rPr>
          <w:rFonts w:ascii="Arial" w:eastAsia="Times New Roman" w:hAnsi="Arial" w:cs="Arial"/>
          <w:sz w:val="20"/>
          <w:szCs w:val="20"/>
          <w:lang w:eastAsia="en-GB"/>
        </w:rPr>
        <w:t>D       Death cells</w:t>
      </w:r>
    </w:p>
    <w:p w:rsidR="00294F6F" w:rsidRPr="00B013ED" w:rsidRDefault="00294F6F" w:rsidP="00294F6F">
      <w:pPr>
        <w:spacing w:after="0" w:line="240" w:lineRule="auto"/>
        <w:rPr>
          <w:rFonts w:ascii="Arial" w:eastAsia="Times New Roman" w:hAnsi="Arial" w:cs="Arial"/>
          <w:sz w:val="20"/>
          <w:szCs w:val="20"/>
          <w:lang w:eastAsia="en-GB"/>
        </w:rPr>
      </w:pPr>
      <w:r w:rsidRPr="00B013ED">
        <w:rPr>
          <w:rFonts w:ascii="Arial" w:eastAsia="Times New Roman" w:hAnsi="Arial" w:cs="Arial"/>
          <w:sz w:val="20"/>
          <w:szCs w:val="20"/>
          <w:lang w:eastAsia="en-GB"/>
        </w:rPr>
        <w:t xml:space="preserve">Met    Metronidazole </w:t>
      </w:r>
    </w:p>
    <w:p w:rsidR="00294F6F" w:rsidRPr="00B013ED" w:rsidRDefault="00294F6F" w:rsidP="00294F6F">
      <w:pPr>
        <w:spacing w:after="0" w:line="240" w:lineRule="auto"/>
        <w:rPr>
          <w:rFonts w:ascii="Arial" w:eastAsia="Times New Roman" w:hAnsi="Arial" w:cs="Arial"/>
          <w:sz w:val="20"/>
          <w:szCs w:val="20"/>
          <w:lang w:eastAsia="en-GB"/>
        </w:rPr>
      </w:pPr>
      <w:r w:rsidRPr="00B013ED">
        <w:rPr>
          <w:rFonts w:ascii="Arial" w:eastAsia="Times New Roman" w:hAnsi="Arial" w:cs="Arial"/>
          <w:sz w:val="20"/>
          <w:szCs w:val="20"/>
          <w:lang w:eastAsia="en-GB"/>
        </w:rPr>
        <w:t>Cip    Ciprofloxicillin</w:t>
      </w:r>
    </w:p>
    <w:p w:rsidR="00294F6F" w:rsidRPr="00B013ED" w:rsidRDefault="00294F6F" w:rsidP="00294F6F">
      <w:pPr>
        <w:spacing w:after="0" w:line="240" w:lineRule="auto"/>
        <w:rPr>
          <w:rFonts w:ascii="Arial" w:eastAsia="Times New Roman" w:hAnsi="Arial" w:cs="Arial"/>
          <w:sz w:val="20"/>
          <w:szCs w:val="20"/>
          <w:lang w:eastAsia="en-GB"/>
        </w:rPr>
      </w:pPr>
      <w:proofErr w:type="gramStart"/>
      <w:r w:rsidRPr="00B013ED">
        <w:rPr>
          <w:rFonts w:ascii="Arial" w:eastAsia="Times New Roman" w:hAnsi="Arial" w:cs="Arial"/>
          <w:sz w:val="20"/>
          <w:szCs w:val="20"/>
          <w:lang w:eastAsia="en-GB"/>
        </w:rPr>
        <w:t>Mino  Minocycline</w:t>
      </w:r>
      <w:proofErr w:type="gramEnd"/>
    </w:p>
    <w:p w:rsidR="00294F6F" w:rsidRPr="00B013ED" w:rsidRDefault="00294F6F" w:rsidP="00294F6F">
      <w:pPr>
        <w:spacing w:after="0" w:line="240" w:lineRule="auto"/>
        <w:rPr>
          <w:rFonts w:ascii="Arial" w:eastAsia="Times New Roman" w:hAnsi="Arial" w:cs="Arial"/>
          <w:szCs w:val="24"/>
          <w:lang w:eastAsia="en-GB"/>
        </w:rPr>
      </w:pPr>
    </w:p>
    <w:p w:rsidR="008217E5" w:rsidRPr="00F177FE" w:rsidRDefault="00C8071C" w:rsidP="001D3F19">
      <w:pPr>
        <w:rPr>
          <w:rFonts w:cstheme="minorBidi"/>
          <w:b/>
          <w:bCs/>
          <w:sz w:val="20"/>
          <w:szCs w:val="20"/>
        </w:rPr>
      </w:pPr>
      <w:bookmarkStart w:id="728" w:name="_Ref361134828"/>
      <w:bookmarkStart w:id="729" w:name="_Toc361733643"/>
      <w:bookmarkStart w:id="730" w:name="_Toc361734286"/>
      <w:r w:rsidRPr="00B013ED">
        <w:rPr>
          <w:rFonts w:ascii="Arial" w:eastAsia="SimSun" w:hAnsi="Arial" w:cs="Arial"/>
          <w:noProof/>
          <w:szCs w:val="24"/>
          <w:lang w:eastAsia="en-GB"/>
        </w:rPr>
        <w:drawing>
          <wp:anchor distT="0" distB="0" distL="114300" distR="114300" simplePos="0" relativeHeight="251848704" behindDoc="0" locked="0" layoutInCell="1" allowOverlap="1" wp14:anchorId="32103049" wp14:editId="32191D70">
            <wp:simplePos x="0" y="0"/>
            <wp:positionH relativeFrom="column">
              <wp:posOffset>293370</wp:posOffset>
            </wp:positionH>
            <wp:positionV relativeFrom="paragraph">
              <wp:posOffset>536575</wp:posOffset>
            </wp:positionV>
            <wp:extent cx="4572000" cy="2752725"/>
            <wp:effectExtent l="0" t="0" r="0" b="0"/>
            <wp:wrapSquare wrapText="bothSides"/>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r w:rsidR="008217E5" w:rsidRPr="00F177FE">
        <w:rPr>
          <w:rFonts w:cstheme="minorBidi"/>
          <w:b/>
          <w:bCs/>
          <w:sz w:val="20"/>
          <w:szCs w:val="20"/>
        </w:rPr>
        <w:t xml:space="preserve">Figure </w:t>
      </w:r>
      <w:r w:rsidR="00DF37B0">
        <w:rPr>
          <w:rFonts w:cstheme="minorBidi"/>
          <w:b/>
          <w:bCs/>
          <w:sz w:val="20"/>
          <w:szCs w:val="20"/>
        </w:rPr>
        <w:fldChar w:fldCharType="begin"/>
      </w:r>
      <w:r w:rsidR="00DF37B0">
        <w:rPr>
          <w:rFonts w:cstheme="minorBidi"/>
          <w:b/>
          <w:bCs/>
          <w:sz w:val="20"/>
          <w:szCs w:val="20"/>
        </w:rPr>
        <w:instrText xml:space="preserve"> STYLEREF 1 \s </w:instrText>
      </w:r>
      <w:r w:rsidR="00DF37B0">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4</w:t>
      </w:r>
      <w:r w:rsidR="00DF37B0">
        <w:rPr>
          <w:rFonts w:cstheme="minorBidi"/>
          <w:b/>
          <w:bCs/>
          <w:sz w:val="20"/>
          <w:szCs w:val="20"/>
        </w:rPr>
        <w:fldChar w:fldCharType="end"/>
      </w:r>
      <w:r w:rsidR="00DF37B0">
        <w:rPr>
          <w:rFonts w:cstheme="minorBidi"/>
          <w:b/>
          <w:bCs/>
          <w:sz w:val="20"/>
          <w:szCs w:val="20"/>
        </w:rPr>
        <w:t>.</w:t>
      </w:r>
      <w:r w:rsidR="00DF37B0">
        <w:rPr>
          <w:rFonts w:cstheme="minorBidi"/>
          <w:b/>
          <w:bCs/>
          <w:sz w:val="20"/>
          <w:szCs w:val="20"/>
        </w:rPr>
        <w:fldChar w:fldCharType="begin"/>
      </w:r>
      <w:r w:rsidR="00DF37B0">
        <w:rPr>
          <w:rFonts w:cstheme="minorBidi"/>
          <w:b/>
          <w:bCs/>
          <w:sz w:val="20"/>
          <w:szCs w:val="20"/>
        </w:rPr>
        <w:instrText xml:space="preserve"> SEQ Figure \* ARABIC \s 1 </w:instrText>
      </w:r>
      <w:r w:rsidR="00DF37B0">
        <w:rPr>
          <w:rFonts w:cstheme="minorBidi"/>
          <w:b/>
          <w:bCs/>
          <w:sz w:val="20"/>
          <w:szCs w:val="20"/>
        </w:rPr>
        <w:fldChar w:fldCharType="separate"/>
      </w:r>
      <w:r w:rsidR="00374B77">
        <w:rPr>
          <w:rFonts w:cstheme="minorBidi"/>
          <w:b/>
          <w:bCs/>
          <w:noProof/>
          <w:sz w:val="20"/>
          <w:szCs w:val="20"/>
        </w:rPr>
        <w:t>10</w:t>
      </w:r>
      <w:r w:rsidR="00DF37B0">
        <w:rPr>
          <w:rFonts w:cstheme="minorBidi"/>
          <w:b/>
          <w:bCs/>
          <w:sz w:val="20"/>
          <w:szCs w:val="20"/>
        </w:rPr>
        <w:fldChar w:fldCharType="end"/>
      </w:r>
      <w:bookmarkEnd w:id="728"/>
      <w:r w:rsidR="008217E5" w:rsidRPr="00F177FE">
        <w:rPr>
          <w:rFonts w:cstheme="minorBidi"/>
          <w:b/>
          <w:bCs/>
          <w:sz w:val="20"/>
          <w:szCs w:val="20"/>
        </w:rPr>
        <w:t xml:space="preserve"> Shows the percentage of survival pulp cells after 24 hours incubated with antibiotics</w:t>
      </w:r>
      <w:bookmarkEnd w:id="56"/>
      <w:bookmarkEnd w:id="729"/>
      <w:bookmarkEnd w:id="730"/>
    </w:p>
    <w:p w:rsidR="00294F6F" w:rsidRPr="00B013ED" w:rsidRDefault="00294F6F" w:rsidP="0075712D">
      <w:pPr>
        <w:spacing w:after="0" w:line="240" w:lineRule="auto"/>
        <w:rPr>
          <w:rFonts w:ascii="Arial" w:eastAsia="Times New Roman" w:hAnsi="Arial" w:cs="Arial"/>
          <w:szCs w:val="24"/>
          <w:lang w:eastAsia="en-GB"/>
        </w:rPr>
      </w:pPr>
    </w:p>
    <w:p w:rsidR="00C8071C" w:rsidRDefault="00C8071C" w:rsidP="007461E7">
      <w:pPr>
        <w:rPr>
          <w:rFonts w:ascii="Arial" w:eastAsia="SimSun" w:hAnsi="Arial" w:cs="Arial"/>
          <w:b/>
          <w:bCs/>
          <w:color w:val="000000"/>
          <w:szCs w:val="24"/>
          <w:lang w:eastAsia="zh-CN"/>
        </w:rPr>
      </w:pPr>
    </w:p>
    <w:p w:rsidR="00C8071C" w:rsidRDefault="00C8071C" w:rsidP="007461E7">
      <w:pPr>
        <w:rPr>
          <w:rFonts w:ascii="Arial" w:eastAsia="SimSun" w:hAnsi="Arial" w:cs="Arial"/>
          <w:b/>
          <w:bCs/>
          <w:color w:val="000000"/>
          <w:szCs w:val="24"/>
          <w:lang w:eastAsia="zh-CN"/>
        </w:rPr>
      </w:pPr>
    </w:p>
    <w:p w:rsidR="00C8071C" w:rsidRDefault="00C8071C" w:rsidP="007461E7">
      <w:pPr>
        <w:rPr>
          <w:rFonts w:ascii="Arial" w:eastAsia="SimSun" w:hAnsi="Arial" w:cs="Arial"/>
          <w:b/>
          <w:bCs/>
          <w:color w:val="000000"/>
          <w:szCs w:val="24"/>
          <w:lang w:eastAsia="zh-CN"/>
        </w:rPr>
      </w:pPr>
    </w:p>
    <w:p w:rsidR="00C8071C" w:rsidRDefault="00C8071C" w:rsidP="007461E7">
      <w:pPr>
        <w:rPr>
          <w:rFonts w:ascii="Arial" w:eastAsia="SimSun" w:hAnsi="Arial" w:cs="Arial"/>
          <w:b/>
          <w:bCs/>
          <w:color w:val="000000"/>
          <w:szCs w:val="24"/>
          <w:lang w:eastAsia="zh-CN"/>
        </w:rPr>
      </w:pPr>
    </w:p>
    <w:p w:rsidR="00C8071C" w:rsidRDefault="00C8071C" w:rsidP="007461E7">
      <w:pPr>
        <w:rPr>
          <w:rFonts w:ascii="Arial" w:eastAsia="SimSun" w:hAnsi="Arial" w:cs="Arial"/>
          <w:b/>
          <w:bCs/>
          <w:color w:val="000000"/>
          <w:szCs w:val="24"/>
          <w:lang w:eastAsia="zh-CN"/>
        </w:rPr>
      </w:pPr>
    </w:p>
    <w:p w:rsidR="00C8071C" w:rsidRDefault="00C8071C" w:rsidP="007461E7">
      <w:pPr>
        <w:rPr>
          <w:rFonts w:ascii="Arial" w:eastAsia="SimSun" w:hAnsi="Arial" w:cs="Arial"/>
          <w:b/>
          <w:bCs/>
          <w:color w:val="000000"/>
          <w:szCs w:val="24"/>
          <w:lang w:eastAsia="zh-CN"/>
        </w:rPr>
      </w:pPr>
    </w:p>
    <w:p w:rsidR="00C8071C" w:rsidRDefault="00C8071C" w:rsidP="007461E7">
      <w:pPr>
        <w:rPr>
          <w:rFonts w:ascii="Arial" w:eastAsia="SimSun" w:hAnsi="Arial" w:cs="Arial"/>
          <w:b/>
          <w:bCs/>
          <w:color w:val="000000"/>
          <w:szCs w:val="24"/>
          <w:lang w:eastAsia="zh-CN"/>
        </w:rPr>
      </w:pPr>
    </w:p>
    <w:p w:rsidR="00C8071C" w:rsidRDefault="00C8071C" w:rsidP="007461E7">
      <w:pPr>
        <w:rPr>
          <w:rFonts w:ascii="Arial" w:eastAsia="SimSun" w:hAnsi="Arial" w:cs="Arial"/>
          <w:b/>
          <w:bCs/>
          <w:color w:val="000000"/>
          <w:szCs w:val="24"/>
          <w:lang w:eastAsia="zh-CN"/>
        </w:rPr>
      </w:pPr>
    </w:p>
    <w:p w:rsidR="002A5F7C" w:rsidRPr="007461E7" w:rsidRDefault="005E2730" w:rsidP="007461E7">
      <w:pPr>
        <w:rPr>
          <w:rFonts w:ascii="Arial" w:eastAsia="SimSun" w:hAnsi="Arial" w:cs="Arial"/>
          <w:b/>
          <w:bCs/>
          <w:color w:val="000000"/>
          <w:szCs w:val="24"/>
          <w:lang w:eastAsia="zh-CN"/>
        </w:rPr>
      </w:pPr>
      <w:r>
        <w:rPr>
          <w:rFonts w:ascii="Arial" w:eastAsia="SimSun" w:hAnsi="Arial" w:cs="Arial"/>
          <w:b/>
          <w:bCs/>
          <w:color w:val="000000"/>
          <w:szCs w:val="24"/>
          <w:lang w:eastAsia="zh-CN"/>
        </w:rPr>
        <w:br w:type="page"/>
      </w:r>
    </w:p>
    <w:p w:rsidR="002A5F7C" w:rsidRPr="002A5F7C" w:rsidRDefault="002A5F7C" w:rsidP="002A5F7C">
      <w:pPr>
        <w:pageBreakBefore/>
        <w:suppressAutoHyphens/>
        <w:autoSpaceDN w:val="0"/>
        <w:textAlignment w:val="baseline"/>
        <w:rPr>
          <w:rFonts w:ascii="Arial" w:eastAsia="SimSun" w:hAnsi="Arial" w:cs="Arial"/>
          <w:b/>
          <w:bCs/>
          <w:color w:val="000000"/>
          <w:szCs w:val="24"/>
          <w:lang w:eastAsia="zh-CN"/>
        </w:rPr>
      </w:pPr>
    </w:p>
    <w:p w:rsidR="002A5F7C" w:rsidRPr="002A5F7C" w:rsidRDefault="002A5F7C" w:rsidP="00687C88">
      <w:pPr>
        <w:pStyle w:val="Heading3"/>
        <w:spacing w:line="480" w:lineRule="auto"/>
        <w:rPr>
          <w:rFonts w:eastAsia="Times New Roman"/>
          <w:lang w:eastAsia="zh-CN"/>
        </w:rPr>
      </w:pPr>
      <w:bookmarkStart w:id="731" w:name="_Toc370819336"/>
      <w:r w:rsidRPr="002A5F7C">
        <w:rPr>
          <w:lang w:eastAsia="zh-CN"/>
        </w:rPr>
        <w:t>Lactate</w:t>
      </w:r>
      <w:r w:rsidRPr="002A5F7C">
        <w:rPr>
          <w:color w:val="222222"/>
          <w:lang w:eastAsia="zh-CN"/>
        </w:rPr>
        <w:t xml:space="preserve"> </w:t>
      </w:r>
      <w:r w:rsidRPr="002A5F7C">
        <w:rPr>
          <w:lang w:eastAsia="zh-CN"/>
        </w:rPr>
        <w:t>dehydrogenase</w:t>
      </w:r>
      <w:r w:rsidRPr="002A5F7C">
        <w:rPr>
          <w:color w:val="222222"/>
          <w:lang w:eastAsia="zh-CN"/>
        </w:rPr>
        <w:t xml:space="preserve"> (</w:t>
      </w:r>
      <w:r w:rsidRPr="002A5F7C">
        <w:rPr>
          <w:lang w:eastAsia="zh-CN"/>
        </w:rPr>
        <w:t>LDH</w:t>
      </w:r>
      <w:r w:rsidRPr="00687C88">
        <w:rPr>
          <w:color w:val="222222"/>
          <w:lang w:eastAsia="zh-CN"/>
        </w:rPr>
        <w:t>) assay</w:t>
      </w:r>
      <w:bookmarkEnd w:id="731"/>
    </w:p>
    <w:p w:rsidR="00046639" w:rsidRPr="006016B0" w:rsidRDefault="002A5F7C" w:rsidP="006016B0">
      <w:pPr>
        <w:pStyle w:val="table"/>
        <w:rPr>
          <w:rFonts w:ascii="Arial" w:hAnsi="Arial"/>
          <w:szCs w:val="24"/>
        </w:rPr>
      </w:pPr>
      <w:r w:rsidRPr="006016B0">
        <w:rPr>
          <w:rFonts w:ascii="Arial" w:hAnsi="Arial"/>
          <w:szCs w:val="24"/>
        </w:rPr>
        <w:t xml:space="preserve">The data showed in </w:t>
      </w:r>
      <w:r w:rsidR="00046639" w:rsidRPr="006016B0">
        <w:rPr>
          <w:rFonts w:ascii="Arial" w:hAnsi="Arial"/>
          <w:szCs w:val="24"/>
        </w:rPr>
        <w:fldChar w:fldCharType="begin"/>
      </w:r>
      <w:r w:rsidR="00046639" w:rsidRPr="006016B0">
        <w:rPr>
          <w:rFonts w:ascii="Arial" w:hAnsi="Arial"/>
          <w:szCs w:val="24"/>
        </w:rPr>
        <w:instrText xml:space="preserve"> REF _Ref361135165 \h </w:instrText>
      </w:r>
      <w:r w:rsidR="00687C88" w:rsidRPr="006016B0">
        <w:rPr>
          <w:rFonts w:ascii="Arial" w:hAnsi="Arial"/>
          <w:szCs w:val="24"/>
        </w:rPr>
        <w:instrText xml:space="preserve"> \* MERGEFORMAT </w:instrText>
      </w:r>
      <w:r w:rsidR="00046639" w:rsidRPr="006016B0">
        <w:rPr>
          <w:rFonts w:ascii="Arial" w:hAnsi="Arial"/>
          <w:szCs w:val="24"/>
        </w:rPr>
      </w:r>
      <w:r w:rsidR="00046639" w:rsidRPr="006016B0">
        <w:rPr>
          <w:rFonts w:ascii="Arial" w:hAnsi="Arial"/>
          <w:szCs w:val="24"/>
        </w:rPr>
        <w:fldChar w:fldCharType="separate"/>
      </w:r>
      <w:r w:rsidR="00374B77" w:rsidRPr="00374B77">
        <w:rPr>
          <w:rFonts w:cstheme="minorBidi"/>
          <w:szCs w:val="24"/>
        </w:rPr>
        <w:t xml:space="preserve">Table </w:t>
      </w:r>
      <w:r w:rsidR="00374B77" w:rsidRPr="00374B77">
        <w:rPr>
          <w:rFonts w:cstheme="minorBidi"/>
          <w:noProof/>
          <w:szCs w:val="24"/>
          <w:cs/>
        </w:rPr>
        <w:t>‎</w:t>
      </w:r>
      <w:r w:rsidR="00374B77">
        <w:rPr>
          <w:rFonts w:cstheme="minorBidi"/>
          <w:b/>
          <w:bCs w:val="0"/>
          <w:noProof/>
          <w:sz w:val="20"/>
          <w:szCs w:val="20"/>
        </w:rPr>
        <w:t>4.2</w:t>
      </w:r>
      <w:r w:rsidR="00046639" w:rsidRPr="006016B0">
        <w:rPr>
          <w:rFonts w:ascii="Arial" w:hAnsi="Arial"/>
          <w:szCs w:val="24"/>
        </w:rPr>
        <w:fldChar w:fldCharType="end"/>
      </w:r>
      <w:r w:rsidR="00046639" w:rsidRPr="006016B0">
        <w:rPr>
          <w:rFonts w:ascii="Arial" w:hAnsi="Arial"/>
          <w:szCs w:val="24"/>
        </w:rPr>
        <w:t xml:space="preserve"> </w:t>
      </w:r>
      <w:r w:rsidRPr="006016B0">
        <w:rPr>
          <w:rFonts w:ascii="Arial" w:hAnsi="Arial"/>
          <w:szCs w:val="24"/>
        </w:rPr>
        <w:t xml:space="preserve">and </w:t>
      </w:r>
      <w:r w:rsidR="00DF37B0" w:rsidRPr="006016B0">
        <w:rPr>
          <w:rFonts w:ascii="Arial" w:hAnsi="Arial"/>
          <w:szCs w:val="24"/>
        </w:rPr>
        <w:fldChar w:fldCharType="begin"/>
      </w:r>
      <w:r w:rsidR="00DF37B0" w:rsidRPr="006016B0">
        <w:rPr>
          <w:rFonts w:ascii="Arial" w:hAnsi="Arial"/>
          <w:szCs w:val="24"/>
        </w:rPr>
        <w:instrText xml:space="preserve"> REF _Ref361640902 \h  \* MERGEFORMAT </w:instrText>
      </w:r>
      <w:r w:rsidR="00DF37B0" w:rsidRPr="006016B0">
        <w:rPr>
          <w:rFonts w:ascii="Arial" w:hAnsi="Arial"/>
          <w:szCs w:val="24"/>
        </w:rPr>
      </w:r>
      <w:r w:rsidR="00DF37B0" w:rsidRPr="006016B0">
        <w:rPr>
          <w:rFonts w:ascii="Arial" w:hAnsi="Arial"/>
          <w:szCs w:val="24"/>
        </w:rPr>
        <w:fldChar w:fldCharType="separate"/>
      </w:r>
      <w:r w:rsidR="00374B77" w:rsidRPr="00374B77">
        <w:rPr>
          <w:rFonts w:cstheme="minorBidi"/>
          <w:szCs w:val="24"/>
        </w:rPr>
        <w:t xml:space="preserve">Figure </w:t>
      </w:r>
      <w:r w:rsidR="00374B77" w:rsidRPr="00374B77">
        <w:rPr>
          <w:rFonts w:cstheme="minorBidi"/>
          <w:noProof/>
          <w:szCs w:val="24"/>
          <w:cs/>
        </w:rPr>
        <w:t>‎</w:t>
      </w:r>
      <w:r w:rsidR="00374B77">
        <w:rPr>
          <w:rFonts w:cstheme="minorBidi"/>
          <w:b/>
          <w:bCs w:val="0"/>
          <w:noProof/>
          <w:sz w:val="20"/>
          <w:szCs w:val="20"/>
        </w:rPr>
        <w:t>4</w:t>
      </w:r>
      <w:r w:rsidR="00374B77" w:rsidRPr="006016B0">
        <w:rPr>
          <w:rFonts w:cstheme="minorBidi"/>
          <w:b/>
          <w:bCs w:val="0"/>
          <w:noProof/>
          <w:sz w:val="20"/>
          <w:szCs w:val="20"/>
        </w:rPr>
        <w:t>.</w:t>
      </w:r>
      <w:r w:rsidR="00374B77">
        <w:rPr>
          <w:rFonts w:cstheme="minorBidi"/>
          <w:b/>
          <w:bCs w:val="0"/>
          <w:noProof/>
          <w:sz w:val="20"/>
          <w:szCs w:val="20"/>
        </w:rPr>
        <w:t>11</w:t>
      </w:r>
      <w:r w:rsidR="00DF37B0" w:rsidRPr="006016B0">
        <w:rPr>
          <w:rFonts w:ascii="Arial" w:hAnsi="Arial"/>
          <w:szCs w:val="24"/>
        </w:rPr>
        <w:fldChar w:fldCharType="end"/>
      </w:r>
      <w:r w:rsidR="00DF37B0" w:rsidRPr="006016B0">
        <w:rPr>
          <w:rFonts w:ascii="Arial" w:hAnsi="Arial"/>
          <w:szCs w:val="24"/>
        </w:rPr>
        <w:t xml:space="preserve"> </w:t>
      </w:r>
      <w:r w:rsidR="00687C88" w:rsidRPr="006016B0">
        <w:rPr>
          <w:szCs w:val="24"/>
        </w:rPr>
        <w:t>represent the percentage of dead cells after incubation with antibiotics for 24 hours and assessed by LDH enzyme test.</w:t>
      </w:r>
    </w:p>
    <w:p w:rsidR="00046639" w:rsidRPr="002A5F7C" w:rsidRDefault="00046639" w:rsidP="008C0C23">
      <w:pPr>
        <w:pStyle w:val="table"/>
        <w:rPr>
          <w:rFonts w:ascii="Arial" w:hAnsi="Arial"/>
          <w:szCs w:val="24"/>
        </w:rPr>
      </w:pPr>
      <w:r w:rsidRPr="006016B0">
        <w:rPr>
          <w:rFonts w:ascii="Arial" w:hAnsi="Arial"/>
          <w:szCs w:val="24"/>
        </w:rPr>
        <w:fldChar w:fldCharType="begin"/>
      </w:r>
      <w:r w:rsidRPr="006016B0">
        <w:rPr>
          <w:rFonts w:ascii="Arial" w:hAnsi="Arial"/>
          <w:szCs w:val="24"/>
        </w:rPr>
        <w:instrText xml:space="preserve"> REF _Ref361135165 \h </w:instrText>
      </w:r>
      <w:r w:rsidR="006016B0" w:rsidRPr="006016B0">
        <w:rPr>
          <w:rFonts w:ascii="Arial" w:hAnsi="Arial"/>
          <w:szCs w:val="24"/>
        </w:rPr>
        <w:instrText xml:space="preserve"> \* MERGEFORMAT </w:instrText>
      </w:r>
      <w:r w:rsidRPr="006016B0">
        <w:rPr>
          <w:rFonts w:ascii="Arial" w:hAnsi="Arial"/>
          <w:szCs w:val="24"/>
        </w:rPr>
      </w:r>
      <w:r w:rsidRPr="006016B0">
        <w:rPr>
          <w:rFonts w:ascii="Arial" w:hAnsi="Arial"/>
          <w:szCs w:val="24"/>
        </w:rPr>
        <w:fldChar w:fldCharType="separate"/>
      </w:r>
      <w:r w:rsidR="00374B77" w:rsidRPr="00374B77">
        <w:rPr>
          <w:rFonts w:cstheme="minorBidi"/>
          <w:szCs w:val="24"/>
        </w:rPr>
        <w:t xml:space="preserve">Table </w:t>
      </w:r>
      <w:r w:rsidR="00374B77" w:rsidRPr="00374B77">
        <w:rPr>
          <w:rFonts w:cstheme="minorBidi"/>
          <w:noProof/>
          <w:szCs w:val="24"/>
          <w:cs/>
        </w:rPr>
        <w:t>‎</w:t>
      </w:r>
      <w:r w:rsidR="00374B77">
        <w:rPr>
          <w:rFonts w:cstheme="minorBidi"/>
          <w:b/>
          <w:bCs w:val="0"/>
          <w:noProof/>
          <w:sz w:val="20"/>
          <w:szCs w:val="20"/>
        </w:rPr>
        <w:t>4.2</w:t>
      </w:r>
      <w:r w:rsidRPr="006016B0">
        <w:rPr>
          <w:rFonts w:ascii="Arial" w:hAnsi="Arial"/>
          <w:szCs w:val="24"/>
        </w:rPr>
        <w:fldChar w:fldCharType="end"/>
      </w:r>
      <w:r w:rsidRPr="006016B0">
        <w:rPr>
          <w:rFonts w:ascii="Arial" w:hAnsi="Arial"/>
          <w:szCs w:val="24"/>
        </w:rPr>
        <w:t xml:space="preserve"> </w:t>
      </w:r>
      <w:r w:rsidR="00687C88" w:rsidRPr="006016B0">
        <w:rPr>
          <w:szCs w:val="24"/>
        </w:rPr>
        <w:t xml:space="preserve">shows that minocycline and </w:t>
      </w:r>
      <w:proofErr w:type="gramStart"/>
      <w:r w:rsidR="008C0C23">
        <w:rPr>
          <w:szCs w:val="24"/>
        </w:rPr>
        <w:t>c</w:t>
      </w:r>
      <w:r w:rsidR="008C0C23" w:rsidRPr="008C0C23">
        <w:rPr>
          <w:szCs w:val="24"/>
        </w:rPr>
        <w:t>iprofloxacin</w:t>
      </w:r>
      <w:r w:rsidR="008C0C23">
        <w:rPr>
          <w:szCs w:val="24"/>
        </w:rPr>
        <w:t xml:space="preserve"> </w:t>
      </w:r>
      <w:r w:rsidR="00687C88" w:rsidRPr="006016B0">
        <w:rPr>
          <w:szCs w:val="24"/>
        </w:rPr>
        <w:t xml:space="preserve"> are</w:t>
      </w:r>
      <w:proofErr w:type="gramEnd"/>
      <w:r w:rsidR="00687C88" w:rsidRPr="006016B0">
        <w:rPr>
          <w:szCs w:val="24"/>
        </w:rPr>
        <w:t xml:space="preserve"> highly cytotoxic to human dental pulp stem cells (60%). Also this test shows that a combination of Cip+Met had the lowest cytotoxicity (40%), even better than the control group. The triple antibiotics (Mion+ Cip+Met) had the same effect as the control group (45%).</w:t>
      </w:r>
    </w:p>
    <w:p w:rsidR="00046639" w:rsidRPr="005F5B1B" w:rsidRDefault="00046639" w:rsidP="005F5B1B">
      <w:pPr>
        <w:rPr>
          <w:rFonts w:cstheme="minorBidi"/>
          <w:b/>
          <w:bCs/>
          <w:sz w:val="20"/>
          <w:szCs w:val="20"/>
        </w:rPr>
      </w:pPr>
      <w:bookmarkStart w:id="732" w:name="_Ref361135165"/>
      <w:bookmarkStart w:id="733" w:name="_Toc370511757"/>
      <w:proofErr w:type="gramStart"/>
      <w:r w:rsidRPr="005F5B1B">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4</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proofErr w:type="gramStart"/>
      <w:r w:rsidR="00374B77">
        <w:rPr>
          <w:rFonts w:cstheme="minorBidi"/>
          <w:b/>
          <w:bCs/>
          <w:noProof/>
          <w:sz w:val="20"/>
          <w:szCs w:val="20"/>
        </w:rPr>
        <w:t>2</w:t>
      </w:r>
      <w:r w:rsidR="00E7089D">
        <w:rPr>
          <w:rFonts w:cstheme="minorBidi"/>
          <w:b/>
          <w:bCs/>
          <w:sz w:val="20"/>
          <w:szCs w:val="20"/>
        </w:rPr>
        <w:fldChar w:fldCharType="end"/>
      </w:r>
      <w:bookmarkEnd w:id="732"/>
      <w:r w:rsidRPr="005F5B1B">
        <w:rPr>
          <w:rFonts w:cstheme="minorBidi"/>
          <w:b/>
          <w:bCs/>
          <w:sz w:val="20"/>
          <w:szCs w:val="20"/>
        </w:rPr>
        <w:t xml:space="preserve"> </w:t>
      </w:r>
      <w:r w:rsidR="005F5B1B" w:rsidRPr="005F5B1B">
        <w:rPr>
          <w:b/>
          <w:bCs/>
          <w:sz w:val="20"/>
          <w:szCs w:val="20"/>
        </w:rPr>
        <w:t>Percentage of pulp cells death after 24 hours incubation with antibiotics</w:t>
      </w:r>
      <w:r w:rsidR="00687C88" w:rsidRPr="005F5B1B">
        <w:rPr>
          <w:rFonts w:cstheme="minorBidi"/>
          <w:b/>
          <w:bCs/>
          <w:sz w:val="20"/>
          <w:szCs w:val="20"/>
        </w:rPr>
        <w:t>.</w:t>
      </w:r>
      <w:bookmarkEnd w:id="733"/>
      <w:proofErr w:type="gramEnd"/>
    </w:p>
    <w:tbl>
      <w:tblPr>
        <w:tblW w:w="4638" w:type="pct"/>
        <w:tblLayout w:type="fixed"/>
        <w:tblCellMar>
          <w:left w:w="10" w:type="dxa"/>
          <w:right w:w="10" w:type="dxa"/>
        </w:tblCellMar>
        <w:tblLook w:val="0000" w:firstRow="0" w:lastRow="0" w:firstColumn="0" w:lastColumn="0" w:noHBand="0" w:noVBand="0"/>
      </w:tblPr>
      <w:tblGrid>
        <w:gridCol w:w="1985"/>
        <w:gridCol w:w="1984"/>
        <w:gridCol w:w="1984"/>
        <w:gridCol w:w="1984"/>
      </w:tblGrid>
      <w:tr w:rsidR="002A5F7C" w:rsidRPr="002A5F7C" w:rsidTr="00661524">
        <w:trPr>
          <w:trHeight w:val="567"/>
        </w:trPr>
        <w:tc>
          <w:tcPr>
            <w:tcW w:w="1984" w:type="dxa"/>
            <w:tcBorders>
              <w:top w:val="single" w:sz="4" w:space="0" w:color="000000"/>
              <w:left w:val="single" w:sz="4" w:space="0" w:color="000000"/>
              <w:bottom w:val="single" w:sz="4" w:space="0" w:color="000000"/>
              <w:right w:val="single" w:sz="4" w:space="0" w:color="000000"/>
            </w:tcBorders>
            <w:shd w:val="clear" w:color="auto" w:fill="17365D"/>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b/>
                <w:bCs/>
                <w:szCs w:val="24"/>
                <w:lang w:eastAsia="en-GB"/>
              </w:rPr>
            </w:pPr>
            <w:r w:rsidRPr="002A5F7C">
              <w:rPr>
                <w:rFonts w:ascii="Arial" w:eastAsia="Times New Roman" w:hAnsi="Arial" w:cs="Arial"/>
                <w:b/>
                <w:bCs/>
                <w:szCs w:val="24"/>
                <w:lang w:eastAsia="en-GB"/>
              </w:rPr>
              <w:t>Samples</w:t>
            </w:r>
          </w:p>
        </w:tc>
        <w:tc>
          <w:tcPr>
            <w:tcW w:w="1984" w:type="dxa"/>
            <w:tcBorders>
              <w:top w:val="single" w:sz="4" w:space="0" w:color="000000"/>
              <w:left w:val="single" w:sz="4" w:space="0" w:color="000000"/>
              <w:bottom w:val="single" w:sz="4" w:space="0" w:color="000000"/>
              <w:right w:val="single" w:sz="4" w:space="0" w:color="000000"/>
            </w:tcBorders>
            <w:shd w:val="clear" w:color="auto" w:fill="17365D"/>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b/>
                <w:bCs/>
                <w:szCs w:val="24"/>
                <w:lang w:eastAsia="en-GB"/>
              </w:rPr>
            </w:pPr>
            <w:r w:rsidRPr="002A5F7C">
              <w:rPr>
                <w:rFonts w:ascii="Arial" w:eastAsia="Times New Roman" w:hAnsi="Arial" w:cs="Arial"/>
                <w:b/>
                <w:bCs/>
                <w:szCs w:val="24"/>
                <w:lang w:eastAsia="en-GB"/>
              </w:rPr>
              <w:t>Cytotoxicity%</w:t>
            </w:r>
          </w:p>
        </w:tc>
        <w:tc>
          <w:tcPr>
            <w:tcW w:w="1984" w:type="dxa"/>
            <w:tcBorders>
              <w:top w:val="single" w:sz="4" w:space="0" w:color="000000"/>
              <w:left w:val="single" w:sz="4" w:space="0" w:color="000000"/>
              <w:bottom w:val="single" w:sz="4" w:space="0" w:color="000000"/>
              <w:right w:val="single" w:sz="4" w:space="0" w:color="000000"/>
            </w:tcBorders>
            <w:shd w:val="clear" w:color="auto" w:fill="17365D"/>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b/>
                <w:bCs/>
                <w:szCs w:val="24"/>
                <w:lang w:eastAsia="en-GB"/>
              </w:rPr>
            </w:pPr>
            <w:r w:rsidRPr="002A5F7C">
              <w:rPr>
                <w:rFonts w:ascii="Arial" w:eastAsia="Times New Roman" w:hAnsi="Arial" w:cs="Arial"/>
                <w:b/>
                <w:bCs/>
                <w:szCs w:val="24"/>
                <w:lang w:eastAsia="en-GB"/>
              </w:rPr>
              <w:t>SD</w:t>
            </w:r>
          </w:p>
        </w:tc>
        <w:tc>
          <w:tcPr>
            <w:tcW w:w="1984" w:type="dxa"/>
            <w:tcBorders>
              <w:top w:val="single" w:sz="4" w:space="0" w:color="000000"/>
              <w:left w:val="single" w:sz="4" w:space="0" w:color="000000"/>
              <w:bottom w:val="single" w:sz="4" w:space="0" w:color="000000"/>
              <w:right w:val="single" w:sz="4" w:space="0" w:color="000000"/>
            </w:tcBorders>
            <w:shd w:val="clear" w:color="auto" w:fill="17365D"/>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b/>
                <w:bCs/>
                <w:szCs w:val="24"/>
                <w:lang w:eastAsia="en-GB"/>
              </w:rPr>
            </w:pPr>
            <w:r w:rsidRPr="002A5F7C">
              <w:rPr>
                <w:rFonts w:ascii="Arial" w:eastAsia="Times New Roman" w:hAnsi="Arial" w:cs="Arial"/>
                <w:b/>
                <w:bCs/>
                <w:szCs w:val="24"/>
                <w:lang w:eastAsia="en-GB"/>
              </w:rPr>
              <w:t>Average</w:t>
            </w:r>
          </w:p>
        </w:tc>
      </w:tr>
      <w:tr w:rsidR="002A5F7C" w:rsidRPr="002A5F7C" w:rsidTr="00661524">
        <w:trPr>
          <w:trHeight w:val="567"/>
        </w:trPr>
        <w:tc>
          <w:tcPr>
            <w:tcW w:w="1984" w:type="dxa"/>
            <w:tcBorders>
              <w:top w:val="single" w:sz="4" w:space="0" w:color="000000"/>
              <w:left w:val="single" w:sz="4" w:space="0" w:color="000000"/>
              <w:bottom w:val="single" w:sz="4" w:space="0" w:color="000000"/>
              <w:right w:val="single" w:sz="4" w:space="0" w:color="000000"/>
            </w:tcBorders>
            <w:shd w:val="clear" w:color="auto" w:fill="17365D"/>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b/>
                <w:bCs/>
                <w:szCs w:val="24"/>
                <w:lang w:eastAsia="en-GB"/>
              </w:rPr>
            </w:pPr>
            <w:r w:rsidRPr="002A5F7C">
              <w:rPr>
                <w:rFonts w:ascii="Arial" w:eastAsia="Times New Roman" w:hAnsi="Arial" w:cs="Arial"/>
                <w:b/>
                <w:bCs/>
                <w:szCs w:val="24"/>
                <w:lang w:eastAsia="en-GB"/>
              </w:rPr>
              <w:t>Contol</w:t>
            </w:r>
          </w:p>
        </w:tc>
        <w:tc>
          <w:tcPr>
            <w:tcW w:w="1984" w:type="dxa"/>
            <w:tcBorders>
              <w:top w:val="single" w:sz="4" w:space="0" w:color="000000"/>
              <w:left w:val="single" w:sz="4" w:space="0" w:color="000000"/>
              <w:bottom w:val="single" w:sz="4" w:space="0" w:color="000000"/>
              <w:right w:val="single" w:sz="4" w:space="0" w:color="000000"/>
            </w:tcBorders>
            <w:shd w:val="clear" w:color="auto" w:fill="F2DBDB"/>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46.42857</w:t>
            </w:r>
          </w:p>
        </w:tc>
        <w:tc>
          <w:tcPr>
            <w:tcW w:w="1984" w:type="dxa"/>
            <w:tcBorders>
              <w:top w:val="single" w:sz="4" w:space="0" w:color="000000"/>
              <w:left w:val="single" w:sz="4" w:space="0" w:color="000000"/>
              <w:bottom w:val="single" w:sz="4" w:space="0" w:color="000000"/>
              <w:right w:val="single" w:sz="4" w:space="0" w:color="000000"/>
            </w:tcBorders>
            <w:shd w:val="clear" w:color="auto" w:fill="FDE9D9"/>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0.082103</w:t>
            </w:r>
          </w:p>
        </w:tc>
        <w:tc>
          <w:tcPr>
            <w:tcW w:w="1984" w:type="dxa"/>
            <w:tcBorders>
              <w:top w:val="single" w:sz="4" w:space="0" w:color="000000"/>
              <w:left w:val="single" w:sz="4" w:space="0" w:color="000000"/>
              <w:bottom w:val="single" w:sz="4" w:space="0" w:color="000000"/>
              <w:right w:val="single" w:sz="4" w:space="0" w:color="000000"/>
            </w:tcBorders>
            <w:shd w:val="clear" w:color="auto" w:fill="DDD9C3"/>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0.744667</w:t>
            </w:r>
          </w:p>
        </w:tc>
      </w:tr>
      <w:tr w:rsidR="002A5F7C" w:rsidRPr="002A5F7C" w:rsidTr="00661524">
        <w:trPr>
          <w:trHeight w:val="567"/>
        </w:trPr>
        <w:tc>
          <w:tcPr>
            <w:tcW w:w="1984" w:type="dxa"/>
            <w:tcBorders>
              <w:top w:val="single" w:sz="4" w:space="0" w:color="000000"/>
              <w:left w:val="single" w:sz="4" w:space="0" w:color="000000"/>
              <w:bottom w:val="single" w:sz="4" w:space="0" w:color="000000"/>
              <w:right w:val="single" w:sz="4" w:space="0" w:color="000000"/>
            </w:tcBorders>
            <w:shd w:val="clear" w:color="auto" w:fill="17365D"/>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b/>
                <w:bCs/>
                <w:szCs w:val="24"/>
                <w:lang w:eastAsia="en-GB"/>
              </w:rPr>
            </w:pPr>
            <w:r w:rsidRPr="002A5F7C">
              <w:rPr>
                <w:rFonts w:ascii="Arial" w:eastAsia="Times New Roman" w:hAnsi="Arial" w:cs="Arial"/>
                <w:b/>
                <w:bCs/>
                <w:szCs w:val="24"/>
                <w:lang w:eastAsia="en-GB"/>
              </w:rPr>
              <w:t>Met</w:t>
            </w:r>
          </w:p>
        </w:tc>
        <w:tc>
          <w:tcPr>
            <w:tcW w:w="1984" w:type="dxa"/>
            <w:tcBorders>
              <w:top w:val="single" w:sz="4" w:space="0" w:color="000000"/>
              <w:left w:val="single" w:sz="4" w:space="0" w:color="000000"/>
              <w:bottom w:val="single" w:sz="4" w:space="0" w:color="000000"/>
              <w:right w:val="single" w:sz="4" w:space="0" w:color="000000"/>
            </w:tcBorders>
            <w:shd w:val="clear" w:color="auto" w:fill="F2DBDB"/>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48.70536</w:t>
            </w:r>
          </w:p>
        </w:tc>
        <w:tc>
          <w:tcPr>
            <w:tcW w:w="1984" w:type="dxa"/>
            <w:tcBorders>
              <w:top w:val="single" w:sz="4" w:space="0" w:color="000000"/>
              <w:left w:val="single" w:sz="4" w:space="0" w:color="000000"/>
              <w:bottom w:val="single" w:sz="4" w:space="0" w:color="000000"/>
              <w:right w:val="single" w:sz="4" w:space="0" w:color="000000"/>
            </w:tcBorders>
            <w:shd w:val="clear" w:color="auto" w:fill="FDE9D9"/>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0.108342</w:t>
            </w:r>
          </w:p>
        </w:tc>
        <w:tc>
          <w:tcPr>
            <w:tcW w:w="1984" w:type="dxa"/>
            <w:tcBorders>
              <w:top w:val="single" w:sz="4" w:space="0" w:color="000000"/>
              <w:left w:val="single" w:sz="4" w:space="0" w:color="000000"/>
              <w:bottom w:val="single" w:sz="4" w:space="0" w:color="000000"/>
              <w:right w:val="single" w:sz="4" w:space="0" w:color="000000"/>
            </w:tcBorders>
            <w:shd w:val="clear" w:color="auto" w:fill="DDD9C3"/>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0.773333</w:t>
            </w:r>
          </w:p>
        </w:tc>
      </w:tr>
      <w:tr w:rsidR="002A5F7C" w:rsidRPr="002A5F7C" w:rsidTr="00661524">
        <w:trPr>
          <w:trHeight w:val="567"/>
        </w:trPr>
        <w:tc>
          <w:tcPr>
            <w:tcW w:w="1984" w:type="dxa"/>
            <w:tcBorders>
              <w:top w:val="single" w:sz="4" w:space="0" w:color="000000"/>
              <w:left w:val="single" w:sz="4" w:space="0" w:color="000000"/>
              <w:bottom w:val="single" w:sz="4" w:space="0" w:color="000000"/>
              <w:right w:val="single" w:sz="4" w:space="0" w:color="000000"/>
            </w:tcBorders>
            <w:shd w:val="clear" w:color="auto" w:fill="17365D"/>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b/>
                <w:bCs/>
                <w:szCs w:val="24"/>
                <w:lang w:eastAsia="en-GB"/>
              </w:rPr>
            </w:pPr>
            <w:r w:rsidRPr="002A5F7C">
              <w:rPr>
                <w:rFonts w:ascii="Arial" w:eastAsia="Times New Roman" w:hAnsi="Arial" w:cs="Arial"/>
                <w:b/>
                <w:bCs/>
                <w:szCs w:val="24"/>
                <w:lang w:eastAsia="en-GB"/>
              </w:rPr>
              <w:t>Cip</w:t>
            </w:r>
          </w:p>
        </w:tc>
        <w:tc>
          <w:tcPr>
            <w:tcW w:w="1984" w:type="dxa"/>
            <w:tcBorders>
              <w:top w:val="single" w:sz="4" w:space="0" w:color="000000"/>
              <w:left w:val="single" w:sz="4" w:space="0" w:color="000000"/>
              <w:bottom w:val="single" w:sz="4" w:space="0" w:color="000000"/>
              <w:right w:val="single" w:sz="4" w:space="0" w:color="000000"/>
            </w:tcBorders>
            <w:shd w:val="clear" w:color="auto" w:fill="F2DBDB"/>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59.86607</w:t>
            </w:r>
          </w:p>
        </w:tc>
        <w:tc>
          <w:tcPr>
            <w:tcW w:w="1984" w:type="dxa"/>
            <w:tcBorders>
              <w:top w:val="single" w:sz="4" w:space="0" w:color="000000"/>
              <w:left w:val="single" w:sz="4" w:space="0" w:color="000000"/>
              <w:bottom w:val="single" w:sz="4" w:space="0" w:color="000000"/>
              <w:right w:val="single" w:sz="4" w:space="0" w:color="000000"/>
            </w:tcBorders>
            <w:shd w:val="clear" w:color="auto" w:fill="FDE9D9"/>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0.511746</w:t>
            </w:r>
          </w:p>
        </w:tc>
        <w:tc>
          <w:tcPr>
            <w:tcW w:w="1984" w:type="dxa"/>
            <w:tcBorders>
              <w:top w:val="single" w:sz="4" w:space="0" w:color="000000"/>
              <w:left w:val="single" w:sz="4" w:space="0" w:color="000000"/>
              <w:bottom w:val="single" w:sz="4" w:space="0" w:color="000000"/>
              <w:right w:val="single" w:sz="4" w:space="0" w:color="000000"/>
            </w:tcBorders>
            <w:shd w:val="clear" w:color="auto" w:fill="DDD9C3"/>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0.954667</w:t>
            </w:r>
          </w:p>
        </w:tc>
      </w:tr>
      <w:tr w:rsidR="002A5F7C" w:rsidRPr="002A5F7C" w:rsidTr="00661524">
        <w:trPr>
          <w:trHeight w:val="567"/>
        </w:trPr>
        <w:tc>
          <w:tcPr>
            <w:tcW w:w="1984" w:type="dxa"/>
            <w:tcBorders>
              <w:top w:val="single" w:sz="4" w:space="0" w:color="000000"/>
              <w:left w:val="single" w:sz="4" w:space="0" w:color="000000"/>
              <w:bottom w:val="single" w:sz="4" w:space="0" w:color="000000"/>
              <w:right w:val="single" w:sz="4" w:space="0" w:color="000000"/>
            </w:tcBorders>
            <w:shd w:val="clear" w:color="auto" w:fill="17365D"/>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b/>
                <w:bCs/>
                <w:szCs w:val="24"/>
                <w:lang w:eastAsia="en-GB"/>
              </w:rPr>
            </w:pPr>
            <w:r w:rsidRPr="002A5F7C">
              <w:rPr>
                <w:rFonts w:ascii="Arial" w:eastAsia="Times New Roman" w:hAnsi="Arial" w:cs="Arial"/>
                <w:b/>
                <w:bCs/>
                <w:szCs w:val="24"/>
                <w:lang w:eastAsia="en-GB"/>
              </w:rPr>
              <w:t>Mino</w:t>
            </w:r>
          </w:p>
        </w:tc>
        <w:tc>
          <w:tcPr>
            <w:tcW w:w="1984" w:type="dxa"/>
            <w:tcBorders>
              <w:top w:val="single" w:sz="4" w:space="0" w:color="000000"/>
              <w:left w:val="single" w:sz="4" w:space="0" w:color="000000"/>
              <w:bottom w:val="single" w:sz="4" w:space="0" w:color="000000"/>
              <w:right w:val="single" w:sz="4" w:space="0" w:color="000000"/>
            </w:tcBorders>
            <w:shd w:val="clear" w:color="auto" w:fill="F2DBDB"/>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60.17411</w:t>
            </w:r>
          </w:p>
        </w:tc>
        <w:tc>
          <w:tcPr>
            <w:tcW w:w="1984" w:type="dxa"/>
            <w:tcBorders>
              <w:top w:val="single" w:sz="4" w:space="0" w:color="000000"/>
              <w:left w:val="single" w:sz="4" w:space="0" w:color="000000"/>
              <w:bottom w:val="single" w:sz="4" w:space="0" w:color="000000"/>
              <w:right w:val="single" w:sz="4" w:space="0" w:color="000000"/>
            </w:tcBorders>
            <w:shd w:val="clear" w:color="auto" w:fill="FDE9D9"/>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0.330641</w:t>
            </w:r>
          </w:p>
        </w:tc>
        <w:tc>
          <w:tcPr>
            <w:tcW w:w="1984" w:type="dxa"/>
            <w:tcBorders>
              <w:top w:val="single" w:sz="4" w:space="0" w:color="000000"/>
              <w:left w:val="single" w:sz="4" w:space="0" w:color="000000"/>
              <w:bottom w:val="single" w:sz="4" w:space="0" w:color="000000"/>
              <w:right w:val="single" w:sz="4" w:space="0" w:color="000000"/>
            </w:tcBorders>
            <w:shd w:val="clear" w:color="auto" w:fill="DDD9C3"/>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0.959267</w:t>
            </w:r>
          </w:p>
        </w:tc>
      </w:tr>
      <w:tr w:rsidR="002A5F7C" w:rsidRPr="002A5F7C" w:rsidTr="00661524">
        <w:trPr>
          <w:trHeight w:val="567"/>
        </w:trPr>
        <w:tc>
          <w:tcPr>
            <w:tcW w:w="1984" w:type="dxa"/>
            <w:tcBorders>
              <w:top w:val="single" w:sz="4" w:space="0" w:color="000000"/>
              <w:left w:val="single" w:sz="4" w:space="0" w:color="000000"/>
              <w:bottom w:val="single" w:sz="4" w:space="0" w:color="000000"/>
              <w:right w:val="single" w:sz="4" w:space="0" w:color="000000"/>
            </w:tcBorders>
            <w:shd w:val="clear" w:color="auto" w:fill="17365D"/>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b/>
                <w:bCs/>
                <w:szCs w:val="24"/>
                <w:lang w:eastAsia="en-GB"/>
              </w:rPr>
            </w:pPr>
            <w:r w:rsidRPr="002A5F7C">
              <w:rPr>
                <w:rFonts w:ascii="Arial" w:eastAsia="Times New Roman" w:hAnsi="Arial" w:cs="Arial"/>
                <w:b/>
                <w:bCs/>
                <w:szCs w:val="24"/>
                <w:lang w:eastAsia="en-GB"/>
              </w:rPr>
              <w:t>2Ab</w:t>
            </w:r>
          </w:p>
        </w:tc>
        <w:tc>
          <w:tcPr>
            <w:tcW w:w="1984" w:type="dxa"/>
            <w:tcBorders>
              <w:top w:val="single" w:sz="4" w:space="0" w:color="000000"/>
              <w:left w:val="single" w:sz="4" w:space="0" w:color="000000"/>
              <w:bottom w:val="single" w:sz="4" w:space="0" w:color="000000"/>
              <w:right w:val="single" w:sz="4" w:space="0" w:color="000000"/>
            </w:tcBorders>
            <w:shd w:val="clear" w:color="auto" w:fill="F2DBDB"/>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40.17857</w:t>
            </w:r>
          </w:p>
        </w:tc>
        <w:tc>
          <w:tcPr>
            <w:tcW w:w="1984" w:type="dxa"/>
            <w:tcBorders>
              <w:top w:val="single" w:sz="4" w:space="0" w:color="000000"/>
              <w:left w:val="single" w:sz="4" w:space="0" w:color="000000"/>
              <w:bottom w:val="single" w:sz="4" w:space="0" w:color="000000"/>
              <w:right w:val="single" w:sz="4" w:space="0" w:color="000000"/>
            </w:tcBorders>
            <w:shd w:val="clear" w:color="auto" w:fill="FDE9D9"/>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0.228863</w:t>
            </w:r>
          </w:p>
        </w:tc>
        <w:tc>
          <w:tcPr>
            <w:tcW w:w="1984" w:type="dxa"/>
            <w:tcBorders>
              <w:top w:val="single" w:sz="4" w:space="0" w:color="000000"/>
              <w:left w:val="single" w:sz="4" w:space="0" w:color="000000"/>
              <w:bottom w:val="single" w:sz="4" w:space="0" w:color="000000"/>
              <w:right w:val="single" w:sz="4" w:space="0" w:color="000000"/>
            </w:tcBorders>
            <w:shd w:val="clear" w:color="auto" w:fill="DDD9C3"/>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0.660667</w:t>
            </w:r>
          </w:p>
        </w:tc>
      </w:tr>
      <w:tr w:rsidR="002A5F7C" w:rsidRPr="002A5F7C" w:rsidTr="00661524">
        <w:trPr>
          <w:trHeight w:val="567"/>
        </w:trPr>
        <w:tc>
          <w:tcPr>
            <w:tcW w:w="1984" w:type="dxa"/>
            <w:tcBorders>
              <w:top w:val="single" w:sz="4" w:space="0" w:color="000000"/>
              <w:left w:val="single" w:sz="4" w:space="0" w:color="000000"/>
              <w:bottom w:val="single" w:sz="4" w:space="0" w:color="000000"/>
              <w:right w:val="single" w:sz="4" w:space="0" w:color="000000"/>
            </w:tcBorders>
            <w:shd w:val="clear" w:color="auto" w:fill="17365D"/>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b/>
                <w:bCs/>
                <w:szCs w:val="24"/>
                <w:lang w:eastAsia="en-GB"/>
              </w:rPr>
            </w:pPr>
            <w:r w:rsidRPr="002A5F7C">
              <w:rPr>
                <w:rFonts w:ascii="Arial" w:eastAsia="Times New Roman" w:hAnsi="Arial" w:cs="Arial"/>
                <w:b/>
                <w:bCs/>
                <w:szCs w:val="24"/>
                <w:lang w:eastAsia="en-GB"/>
              </w:rPr>
              <w:t>3Ab</w:t>
            </w:r>
          </w:p>
        </w:tc>
        <w:tc>
          <w:tcPr>
            <w:tcW w:w="1984" w:type="dxa"/>
            <w:tcBorders>
              <w:top w:val="single" w:sz="4" w:space="0" w:color="000000"/>
              <w:left w:val="single" w:sz="4" w:space="0" w:color="000000"/>
              <w:bottom w:val="single" w:sz="4" w:space="0" w:color="000000"/>
              <w:right w:val="single" w:sz="4" w:space="0" w:color="000000"/>
            </w:tcBorders>
            <w:shd w:val="clear" w:color="auto" w:fill="F2DBDB"/>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45.80357</w:t>
            </w:r>
          </w:p>
        </w:tc>
        <w:tc>
          <w:tcPr>
            <w:tcW w:w="1984" w:type="dxa"/>
            <w:tcBorders>
              <w:top w:val="single" w:sz="4" w:space="0" w:color="000000"/>
              <w:left w:val="single" w:sz="4" w:space="0" w:color="000000"/>
              <w:bottom w:val="single" w:sz="4" w:space="0" w:color="000000"/>
              <w:right w:val="single" w:sz="4" w:space="0" w:color="000000"/>
            </w:tcBorders>
            <w:shd w:val="clear" w:color="auto" w:fill="FDE9D9"/>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0.121212</w:t>
            </w:r>
          </w:p>
        </w:tc>
        <w:tc>
          <w:tcPr>
            <w:tcW w:w="1984" w:type="dxa"/>
            <w:tcBorders>
              <w:top w:val="single" w:sz="4" w:space="0" w:color="000000"/>
              <w:left w:val="single" w:sz="4" w:space="0" w:color="000000"/>
              <w:bottom w:val="single" w:sz="4" w:space="0" w:color="000000"/>
              <w:right w:val="single" w:sz="4" w:space="0" w:color="000000"/>
            </w:tcBorders>
            <w:shd w:val="clear" w:color="auto" w:fill="DDD9C3"/>
            <w:noWrap/>
            <w:tcMar>
              <w:top w:w="0" w:type="dxa"/>
              <w:left w:w="108" w:type="dxa"/>
              <w:bottom w:w="0" w:type="dxa"/>
              <w:right w:w="108" w:type="dxa"/>
            </w:tcMar>
          </w:tcPr>
          <w:p w:rsidR="002A5F7C" w:rsidRPr="002A5F7C" w:rsidRDefault="002A5F7C" w:rsidP="002A5F7C">
            <w:pPr>
              <w:suppressAutoHyphens/>
              <w:autoSpaceDN w:val="0"/>
              <w:spacing w:after="0" w:line="480" w:lineRule="auto"/>
              <w:jc w:val="center"/>
              <w:textAlignment w:val="baseline"/>
              <w:rPr>
                <w:rFonts w:ascii="Arial" w:eastAsia="Times New Roman" w:hAnsi="Arial" w:cs="Arial"/>
                <w:szCs w:val="24"/>
                <w:lang w:eastAsia="en-GB"/>
              </w:rPr>
            </w:pPr>
            <w:r w:rsidRPr="002A5F7C">
              <w:rPr>
                <w:rFonts w:ascii="Arial" w:eastAsia="Times New Roman" w:hAnsi="Arial" w:cs="Arial"/>
                <w:szCs w:val="24"/>
                <w:lang w:eastAsia="en-GB"/>
              </w:rPr>
              <w:t>0.742667</w:t>
            </w:r>
          </w:p>
        </w:tc>
      </w:tr>
    </w:tbl>
    <w:p w:rsidR="00046639" w:rsidRDefault="00046639" w:rsidP="002A5F7C">
      <w:pPr>
        <w:suppressAutoHyphens/>
        <w:autoSpaceDN w:val="0"/>
        <w:spacing w:line="480" w:lineRule="auto"/>
        <w:jc w:val="both"/>
        <w:textAlignment w:val="baseline"/>
        <w:rPr>
          <w:rFonts w:ascii="Arial" w:eastAsia="Times New Roman" w:hAnsi="Arial" w:cs="Arial"/>
          <w:szCs w:val="24"/>
          <w:lang w:eastAsia="en-GB"/>
        </w:rPr>
      </w:pPr>
    </w:p>
    <w:p w:rsidR="00046639" w:rsidRDefault="00046639" w:rsidP="00046639">
      <w:pPr>
        <w:rPr>
          <w:lang w:eastAsia="en-GB"/>
        </w:rPr>
      </w:pPr>
      <w:r>
        <w:rPr>
          <w:lang w:eastAsia="en-GB"/>
        </w:rPr>
        <w:br w:type="page"/>
      </w:r>
    </w:p>
    <w:p w:rsidR="002A5F7C" w:rsidRDefault="00046639" w:rsidP="002A5F7C">
      <w:pPr>
        <w:suppressAutoHyphens/>
        <w:autoSpaceDN w:val="0"/>
        <w:spacing w:line="480" w:lineRule="auto"/>
        <w:jc w:val="both"/>
        <w:textAlignment w:val="baseline"/>
        <w:rPr>
          <w:rFonts w:ascii="Arial" w:eastAsia="Times New Roman" w:hAnsi="Arial" w:cs="Arial"/>
          <w:szCs w:val="24"/>
          <w:lang w:eastAsia="en-GB"/>
        </w:rPr>
      </w:pPr>
      <w:r>
        <w:rPr>
          <w:rFonts w:ascii="Arial" w:eastAsia="Times New Roman" w:hAnsi="Arial" w:cs="Arial"/>
          <w:szCs w:val="24"/>
          <w:lang w:eastAsia="en-GB"/>
        </w:rPr>
        <w:lastRenderedPageBreak/>
        <w:t xml:space="preserve"> </w:t>
      </w:r>
    </w:p>
    <w:p w:rsidR="00046639" w:rsidRDefault="00DF37B0" w:rsidP="002A5F7C">
      <w:pPr>
        <w:suppressAutoHyphens/>
        <w:autoSpaceDN w:val="0"/>
        <w:spacing w:line="480" w:lineRule="auto"/>
        <w:jc w:val="both"/>
        <w:textAlignment w:val="baseline"/>
        <w:rPr>
          <w:rFonts w:ascii="Arial" w:eastAsia="Times New Roman" w:hAnsi="Arial" w:cs="Arial"/>
          <w:szCs w:val="24"/>
          <w:lang w:eastAsia="en-GB"/>
        </w:rPr>
      </w:pPr>
      <w:r>
        <w:rPr>
          <w:noProof/>
          <w:lang w:eastAsia="en-GB"/>
        </w:rPr>
        <mc:AlternateContent>
          <mc:Choice Requires="wps">
            <w:drawing>
              <wp:anchor distT="0" distB="0" distL="114300" distR="114300" simplePos="0" relativeHeight="251845632" behindDoc="0" locked="0" layoutInCell="1" allowOverlap="1" wp14:anchorId="354406DD" wp14:editId="0DC80F20">
                <wp:simplePos x="0" y="0"/>
                <wp:positionH relativeFrom="column">
                  <wp:posOffset>378460</wp:posOffset>
                </wp:positionH>
                <wp:positionV relativeFrom="paragraph">
                  <wp:posOffset>8255</wp:posOffset>
                </wp:positionV>
                <wp:extent cx="4676775" cy="457200"/>
                <wp:effectExtent l="0" t="0" r="9525" b="0"/>
                <wp:wrapSquare wrapText="bothSides"/>
                <wp:docPr id="38" name="Text Box 38"/>
                <wp:cNvGraphicFramePr/>
                <a:graphic xmlns:a="http://schemas.openxmlformats.org/drawingml/2006/main">
                  <a:graphicData uri="http://schemas.microsoft.com/office/word/2010/wordprocessingShape">
                    <wps:wsp>
                      <wps:cNvSpPr txBox="1"/>
                      <wps:spPr>
                        <a:xfrm>
                          <a:off x="0" y="0"/>
                          <a:ext cx="4676775" cy="457200"/>
                        </a:xfrm>
                        <a:prstGeom prst="rect">
                          <a:avLst/>
                        </a:prstGeom>
                        <a:solidFill>
                          <a:prstClr val="white"/>
                        </a:solidFill>
                        <a:ln>
                          <a:noFill/>
                        </a:ln>
                        <a:effectLst/>
                      </wps:spPr>
                      <wps:txbx>
                        <w:txbxContent>
                          <w:p w:rsidR="003208E6" w:rsidRPr="006016B0" w:rsidRDefault="003208E6" w:rsidP="006016B0">
                            <w:pPr>
                              <w:pStyle w:val="Caption"/>
                              <w:spacing w:line="240" w:lineRule="auto"/>
                              <w:rPr>
                                <w:rFonts w:cstheme="minorBidi"/>
                                <w:b/>
                                <w:bCs w:val="0"/>
                                <w:noProof/>
                                <w:sz w:val="20"/>
                                <w:szCs w:val="20"/>
                              </w:rPr>
                            </w:pPr>
                            <w:bookmarkStart w:id="734" w:name="_Ref361640902"/>
                            <w:bookmarkStart w:id="735" w:name="_Toc361733644"/>
                            <w:bookmarkStart w:id="736" w:name="_Toc361734287"/>
                            <w:r w:rsidRPr="006016B0">
                              <w:rPr>
                                <w:rFonts w:cstheme="minorBidi"/>
                                <w:b/>
                                <w:bCs w:val="0"/>
                                <w:sz w:val="20"/>
                                <w:szCs w:val="20"/>
                              </w:rPr>
                              <w:t xml:space="preserve">Figure </w:t>
                            </w:r>
                            <w:r w:rsidRPr="006016B0">
                              <w:rPr>
                                <w:rFonts w:cstheme="minorBidi"/>
                                <w:b/>
                                <w:bCs w:val="0"/>
                                <w:sz w:val="20"/>
                                <w:szCs w:val="20"/>
                              </w:rPr>
                              <w:fldChar w:fldCharType="begin"/>
                            </w:r>
                            <w:r w:rsidRPr="006016B0">
                              <w:rPr>
                                <w:rFonts w:cstheme="minorBidi"/>
                                <w:b/>
                                <w:bCs w:val="0"/>
                                <w:sz w:val="20"/>
                                <w:szCs w:val="20"/>
                              </w:rPr>
                              <w:instrText xml:space="preserve"> STYLEREF 1 \s </w:instrText>
                            </w:r>
                            <w:r w:rsidRPr="006016B0">
                              <w:rPr>
                                <w:rFonts w:cstheme="minorBidi"/>
                                <w:b/>
                                <w:bCs w:val="0"/>
                                <w:sz w:val="20"/>
                                <w:szCs w:val="20"/>
                              </w:rPr>
                              <w:fldChar w:fldCharType="separate"/>
                            </w:r>
                            <w:r>
                              <w:rPr>
                                <w:rFonts w:cstheme="minorBidi"/>
                                <w:b/>
                                <w:bCs w:val="0"/>
                                <w:noProof/>
                                <w:sz w:val="20"/>
                                <w:szCs w:val="20"/>
                                <w:cs/>
                              </w:rPr>
                              <w:t>‎</w:t>
                            </w:r>
                            <w:r>
                              <w:rPr>
                                <w:rFonts w:cstheme="minorBidi"/>
                                <w:b/>
                                <w:bCs w:val="0"/>
                                <w:noProof/>
                                <w:sz w:val="20"/>
                                <w:szCs w:val="20"/>
                              </w:rPr>
                              <w:t>4</w:t>
                            </w:r>
                            <w:r w:rsidRPr="006016B0">
                              <w:rPr>
                                <w:rFonts w:cstheme="minorBidi"/>
                                <w:b/>
                                <w:bCs w:val="0"/>
                                <w:sz w:val="20"/>
                                <w:szCs w:val="20"/>
                              </w:rPr>
                              <w:fldChar w:fldCharType="end"/>
                            </w:r>
                            <w:r w:rsidRPr="006016B0">
                              <w:rPr>
                                <w:rFonts w:cstheme="minorBidi"/>
                                <w:b/>
                                <w:bCs w:val="0"/>
                                <w:sz w:val="20"/>
                                <w:szCs w:val="20"/>
                              </w:rPr>
                              <w:t>.</w:t>
                            </w:r>
                            <w:r w:rsidRPr="006016B0">
                              <w:rPr>
                                <w:rFonts w:cstheme="minorBidi"/>
                                <w:b/>
                                <w:bCs w:val="0"/>
                                <w:sz w:val="20"/>
                                <w:szCs w:val="20"/>
                              </w:rPr>
                              <w:fldChar w:fldCharType="begin"/>
                            </w:r>
                            <w:r w:rsidRPr="006016B0">
                              <w:rPr>
                                <w:rFonts w:cstheme="minorBidi"/>
                                <w:b/>
                                <w:bCs w:val="0"/>
                                <w:sz w:val="20"/>
                                <w:szCs w:val="20"/>
                              </w:rPr>
                              <w:instrText xml:space="preserve"> SEQ Figure \* ARABIC \s 1 </w:instrText>
                            </w:r>
                            <w:r w:rsidRPr="006016B0">
                              <w:rPr>
                                <w:rFonts w:cstheme="minorBidi"/>
                                <w:b/>
                                <w:bCs w:val="0"/>
                                <w:sz w:val="20"/>
                                <w:szCs w:val="20"/>
                              </w:rPr>
                              <w:fldChar w:fldCharType="separate"/>
                            </w:r>
                            <w:r>
                              <w:rPr>
                                <w:rFonts w:cstheme="minorBidi"/>
                                <w:b/>
                                <w:bCs w:val="0"/>
                                <w:noProof/>
                                <w:sz w:val="20"/>
                                <w:szCs w:val="20"/>
                              </w:rPr>
                              <w:t>11</w:t>
                            </w:r>
                            <w:r w:rsidRPr="006016B0">
                              <w:rPr>
                                <w:rFonts w:cstheme="minorBidi"/>
                                <w:b/>
                                <w:bCs w:val="0"/>
                                <w:sz w:val="20"/>
                                <w:szCs w:val="20"/>
                              </w:rPr>
                              <w:fldChar w:fldCharType="end"/>
                            </w:r>
                            <w:bookmarkEnd w:id="734"/>
                            <w:r w:rsidRPr="006016B0">
                              <w:rPr>
                                <w:rFonts w:cstheme="minorBidi"/>
                                <w:b/>
                                <w:bCs w:val="0"/>
                                <w:sz w:val="20"/>
                                <w:szCs w:val="20"/>
                              </w:rPr>
                              <w:t xml:space="preserve"> Live cell count, dead cells </w:t>
                            </w:r>
                            <w:proofErr w:type="gramStart"/>
                            <w:r w:rsidRPr="006016B0">
                              <w:rPr>
                                <w:rFonts w:cstheme="minorBidi"/>
                                <w:b/>
                                <w:bCs w:val="0"/>
                                <w:sz w:val="20"/>
                                <w:szCs w:val="20"/>
                              </w:rPr>
                              <w:t>and  percentage</w:t>
                            </w:r>
                            <w:proofErr w:type="gramEnd"/>
                            <w:r w:rsidRPr="006016B0">
                              <w:rPr>
                                <w:rFonts w:cstheme="minorBidi"/>
                                <w:b/>
                                <w:bCs w:val="0"/>
                                <w:sz w:val="20"/>
                                <w:szCs w:val="20"/>
                              </w:rPr>
                              <w:t xml:space="preserve"> of pulp cell survival after 24 hours incubation  with antibiotics</w:t>
                            </w:r>
                            <w:bookmarkEnd w:id="735"/>
                            <w:bookmarkEnd w:id="7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8" o:spid="_x0000_s1058" type="#_x0000_t202" style="position:absolute;left:0;text-align:left;margin-left:29.8pt;margin-top:.65pt;width:368.25pt;height:36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" stroked="f">
                <v:textbox inset="0,0,0,0">
                  <w:txbxContent>
                    <w:p w:rsidR="003208E6" w:rsidRPr="006016B0" w:rsidRDefault="003208E6" w:rsidP="006016B0">
                      <w:pPr>
                        <w:pStyle w:val="Caption"/>
                        <w:spacing w:line="240" w:lineRule="auto"/>
                        <w:rPr>
                          <w:rFonts w:cstheme="minorBidi"/>
                          <w:b/>
                          <w:bCs w:val="0"/>
                          <w:noProof/>
                          <w:sz w:val="20"/>
                          <w:szCs w:val="20"/>
                        </w:rPr>
                      </w:pPr>
                      <w:bookmarkStart w:id="817" w:name="_Ref361640902"/>
                      <w:bookmarkStart w:id="818" w:name="_Toc361733644"/>
                      <w:bookmarkStart w:id="819" w:name="_Toc361734287"/>
                      <w:r w:rsidRPr="006016B0">
                        <w:rPr>
                          <w:rFonts w:cstheme="minorBidi"/>
                          <w:b/>
                          <w:bCs w:val="0"/>
                          <w:sz w:val="20"/>
                          <w:szCs w:val="20"/>
                        </w:rPr>
                        <w:t xml:space="preserve">Figure </w:t>
                      </w:r>
                      <w:r w:rsidRPr="006016B0">
                        <w:rPr>
                          <w:rFonts w:cstheme="minorBidi"/>
                          <w:b/>
                          <w:bCs w:val="0"/>
                          <w:sz w:val="20"/>
                          <w:szCs w:val="20"/>
                        </w:rPr>
                        <w:fldChar w:fldCharType="begin"/>
                      </w:r>
                      <w:r w:rsidRPr="006016B0">
                        <w:rPr>
                          <w:rFonts w:cstheme="minorBidi"/>
                          <w:b/>
                          <w:bCs w:val="0"/>
                          <w:sz w:val="20"/>
                          <w:szCs w:val="20"/>
                        </w:rPr>
                        <w:instrText xml:space="preserve"> STYLEREF 1 \s </w:instrText>
                      </w:r>
                      <w:r w:rsidRPr="006016B0">
                        <w:rPr>
                          <w:rFonts w:cstheme="minorBidi"/>
                          <w:b/>
                          <w:bCs w:val="0"/>
                          <w:sz w:val="20"/>
                          <w:szCs w:val="20"/>
                        </w:rPr>
                        <w:fldChar w:fldCharType="separate"/>
                      </w:r>
                      <w:r>
                        <w:rPr>
                          <w:rFonts w:cstheme="minorBidi"/>
                          <w:b/>
                          <w:bCs w:val="0"/>
                          <w:noProof/>
                          <w:sz w:val="20"/>
                          <w:szCs w:val="20"/>
                          <w:cs/>
                        </w:rPr>
                        <w:t>‎</w:t>
                      </w:r>
                      <w:r>
                        <w:rPr>
                          <w:rFonts w:cstheme="minorBidi"/>
                          <w:b/>
                          <w:bCs w:val="0"/>
                          <w:noProof/>
                          <w:sz w:val="20"/>
                          <w:szCs w:val="20"/>
                        </w:rPr>
                        <w:t>4</w:t>
                      </w:r>
                      <w:r w:rsidRPr="006016B0">
                        <w:rPr>
                          <w:rFonts w:cstheme="minorBidi"/>
                          <w:b/>
                          <w:bCs w:val="0"/>
                          <w:sz w:val="20"/>
                          <w:szCs w:val="20"/>
                        </w:rPr>
                        <w:fldChar w:fldCharType="end"/>
                      </w:r>
                      <w:r w:rsidRPr="006016B0">
                        <w:rPr>
                          <w:rFonts w:cstheme="minorBidi"/>
                          <w:b/>
                          <w:bCs w:val="0"/>
                          <w:sz w:val="20"/>
                          <w:szCs w:val="20"/>
                        </w:rPr>
                        <w:t>.</w:t>
                      </w:r>
                      <w:r w:rsidRPr="006016B0">
                        <w:rPr>
                          <w:rFonts w:cstheme="minorBidi"/>
                          <w:b/>
                          <w:bCs w:val="0"/>
                          <w:sz w:val="20"/>
                          <w:szCs w:val="20"/>
                        </w:rPr>
                        <w:fldChar w:fldCharType="begin"/>
                      </w:r>
                      <w:r w:rsidRPr="006016B0">
                        <w:rPr>
                          <w:rFonts w:cstheme="minorBidi"/>
                          <w:b/>
                          <w:bCs w:val="0"/>
                          <w:sz w:val="20"/>
                          <w:szCs w:val="20"/>
                        </w:rPr>
                        <w:instrText xml:space="preserve"> SEQ Figure \* ARABIC \s 1 </w:instrText>
                      </w:r>
                      <w:r w:rsidRPr="006016B0">
                        <w:rPr>
                          <w:rFonts w:cstheme="minorBidi"/>
                          <w:b/>
                          <w:bCs w:val="0"/>
                          <w:sz w:val="20"/>
                          <w:szCs w:val="20"/>
                        </w:rPr>
                        <w:fldChar w:fldCharType="separate"/>
                      </w:r>
                      <w:r>
                        <w:rPr>
                          <w:rFonts w:cstheme="minorBidi"/>
                          <w:b/>
                          <w:bCs w:val="0"/>
                          <w:noProof/>
                          <w:sz w:val="20"/>
                          <w:szCs w:val="20"/>
                        </w:rPr>
                        <w:t>11</w:t>
                      </w:r>
                      <w:r w:rsidRPr="006016B0">
                        <w:rPr>
                          <w:rFonts w:cstheme="minorBidi"/>
                          <w:b/>
                          <w:bCs w:val="0"/>
                          <w:sz w:val="20"/>
                          <w:szCs w:val="20"/>
                        </w:rPr>
                        <w:fldChar w:fldCharType="end"/>
                      </w:r>
                      <w:bookmarkEnd w:id="817"/>
                      <w:r w:rsidRPr="006016B0">
                        <w:rPr>
                          <w:rFonts w:cstheme="minorBidi"/>
                          <w:b/>
                          <w:bCs w:val="0"/>
                          <w:sz w:val="20"/>
                          <w:szCs w:val="20"/>
                        </w:rPr>
                        <w:t xml:space="preserve"> Live cell count, dead cells and  percentage of pulp cell survival after 24 hours incubation  with antibiotics</w:t>
                      </w:r>
                      <w:bookmarkEnd w:id="818"/>
                      <w:bookmarkEnd w:id="819"/>
                    </w:p>
                  </w:txbxContent>
                </v:textbox>
                <w10:wrap type="square"/>
              </v:shape>
            </w:pict>
          </mc:Fallback>
        </mc:AlternateContent>
      </w:r>
    </w:p>
    <w:p w:rsidR="00046639" w:rsidRPr="002A5F7C" w:rsidRDefault="00DF37B0" w:rsidP="002A5F7C">
      <w:pPr>
        <w:suppressAutoHyphens/>
        <w:autoSpaceDN w:val="0"/>
        <w:spacing w:line="480" w:lineRule="auto"/>
        <w:jc w:val="both"/>
        <w:textAlignment w:val="baseline"/>
        <w:rPr>
          <w:rFonts w:ascii="Arial" w:eastAsia="Times New Roman" w:hAnsi="Arial" w:cs="Arial"/>
          <w:szCs w:val="24"/>
          <w:lang w:eastAsia="en-GB"/>
        </w:rPr>
      </w:pPr>
      <w:r>
        <w:rPr>
          <w:noProof/>
          <w:lang w:eastAsia="en-GB"/>
        </w:rPr>
        <w:drawing>
          <wp:anchor distT="0" distB="0" distL="114300" distR="114300" simplePos="0" relativeHeight="251841536" behindDoc="0" locked="0" layoutInCell="1" allowOverlap="1" wp14:anchorId="4EF8F300" wp14:editId="3F8F1F91">
            <wp:simplePos x="0" y="0"/>
            <wp:positionH relativeFrom="column">
              <wp:posOffset>483870</wp:posOffset>
            </wp:positionH>
            <wp:positionV relativeFrom="paragraph">
              <wp:posOffset>125095</wp:posOffset>
            </wp:positionV>
            <wp:extent cx="4572000" cy="2743200"/>
            <wp:effectExtent l="0" t="0" r="0" b="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page">
              <wp14:pctWidth>0</wp14:pctWidth>
            </wp14:sizeRelH>
            <wp14:sizeRelV relativeFrom="page">
              <wp14:pctHeight>0</wp14:pctHeight>
            </wp14:sizeRelV>
          </wp:anchor>
        </w:drawing>
      </w:r>
    </w:p>
    <w:p w:rsidR="002A5F7C" w:rsidRPr="002A5F7C" w:rsidRDefault="002A5F7C" w:rsidP="002A5F7C">
      <w:pPr>
        <w:suppressAutoHyphens/>
        <w:autoSpaceDN w:val="0"/>
        <w:spacing w:line="480" w:lineRule="auto"/>
        <w:jc w:val="both"/>
        <w:textAlignment w:val="baseline"/>
        <w:rPr>
          <w:rFonts w:ascii="Arial" w:eastAsia="Times New Roman" w:hAnsi="Arial" w:cs="Arial"/>
          <w:szCs w:val="24"/>
          <w:lang w:eastAsia="zh-CN"/>
        </w:rPr>
      </w:pPr>
    </w:p>
    <w:p w:rsidR="002A5F7C" w:rsidRPr="002A5F7C" w:rsidRDefault="002A5F7C" w:rsidP="002A5F7C">
      <w:pPr>
        <w:suppressAutoHyphens/>
        <w:autoSpaceDN w:val="0"/>
        <w:spacing w:line="480" w:lineRule="auto"/>
        <w:jc w:val="both"/>
        <w:textAlignment w:val="baseline"/>
        <w:rPr>
          <w:rFonts w:ascii="Arial" w:eastAsia="Times New Roman" w:hAnsi="Arial" w:cs="Arial"/>
          <w:szCs w:val="24"/>
          <w:lang w:eastAsia="en-GB"/>
        </w:rPr>
      </w:pPr>
    </w:p>
    <w:p w:rsidR="002A5F7C" w:rsidRPr="002A5F7C" w:rsidRDefault="002A5F7C" w:rsidP="002A5F7C">
      <w:pPr>
        <w:suppressAutoHyphens/>
        <w:autoSpaceDN w:val="0"/>
        <w:spacing w:line="480" w:lineRule="auto"/>
        <w:jc w:val="both"/>
        <w:textAlignment w:val="baseline"/>
        <w:rPr>
          <w:rFonts w:ascii="Arial" w:eastAsia="Times New Roman" w:hAnsi="Arial" w:cs="Arial"/>
          <w:szCs w:val="24"/>
          <w:lang w:eastAsia="en-GB"/>
        </w:rPr>
      </w:pPr>
    </w:p>
    <w:p w:rsidR="002A5F7C" w:rsidRPr="002A5F7C" w:rsidRDefault="002A5F7C" w:rsidP="002A5F7C">
      <w:pPr>
        <w:suppressAutoHyphens/>
        <w:autoSpaceDN w:val="0"/>
        <w:spacing w:line="480" w:lineRule="auto"/>
        <w:jc w:val="both"/>
        <w:textAlignment w:val="baseline"/>
        <w:rPr>
          <w:rFonts w:ascii="Arial" w:eastAsia="Times New Roman" w:hAnsi="Arial" w:cs="Arial"/>
          <w:szCs w:val="24"/>
          <w:lang w:eastAsia="en-GB"/>
        </w:rPr>
      </w:pPr>
    </w:p>
    <w:p w:rsidR="002A5F7C" w:rsidRPr="002A5F7C" w:rsidRDefault="002A5F7C" w:rsidP="002A5F7C">
      <w:pPr>
        <w:pageBreakBefore/>
        <w:suppressAutoHyphens/>
        <w:autoSpaceDN w:val="0"/>
        <w:textAlignment w:val="baseline"/>
        <w:rPr>
          <w:rFonts w:ascii="Arial" w:eastAsia="Times New Roman" w:hAnsi="Arial" w:cs="Arial"/>
          <w:b/>
          <w:bCs/>
          <w:szCs w:val="24"/>
          <w:lang w:eastAsia="en-GB"/>
        </w:rPr>
      </w:pPr>
    </w:p>
    <w:p w:rsidR="002A5F7C" w:rsidRPr="002A5F7C" w:rsidRDefault="002A5F7C" w:rsidP="005F5B1B">
      <w:pPr>
        <w:pStyle w:val="Heading3"/>
        <w:spacing w:line="480" w:lineRule="auto"/>
        <w:rPr>
          <w:lang w:eastAsia="en-GB"/>
        </w:rPr>
      </w:pPr>
      <w:bookmarkStart w:id="737" w:name="_Toc370819337"/>
      <w:r w:rsidRPr="002A5F7C">
        <w:rPr>
          <w:lang w:eastAsia="en-GB"/>
        </w:rPr>
        <w:t>FLOW CYTOMITRY</w:t>
      </w:r>
      <w:bookmarkEnd w:id="737"/>
    </w:p>
    <w:p w:rsidR="004B3508" w:rsidRPr="0073736A" w:rsidRDefault="0073736A" w:rsidP="00EC36C8">
      <w:pPr>
        <w:pStyle w:val="table"/>
        <w:jc w:val="both"/>
        <w:rPr>
          <w:rFonts w:eastAsia="Calibri"/>
        </w:rPr>
      </w:pPr>
      <w:r w:rsidRPr="0073736A">
        <w:rPr>
          <w:rFonts w:eastAsia="Calibri"/>
        </w:rPr>
        <w:fldChar w:fldCharType="begin"/>
      </w:r>
      <w:r w:rsidRPr="0073736A">
        <w:rPr>
          <w:rFonts w:eastAsia="Calibri"/>
        </w:rPr>
        <w:instrText xml:space="preserve"> PRINT  \* MERGEFORMAT </w:instrText>
      </w:r>
      <w:r w:rsidRPr="0073736A">
        <w:rPr>
          <w:rFonts w:eastAsia="Calibri"/>
        </w:rPr>
        <w:fldChar w:fldCharType="end"/>
      </w:r>
      <w:r w:rsidRPr="0073736A">
        <w:rPr>
          <w:rFonts w:eastAsia="Calibri"/>
        </w:rPr>
        <w:fldChar w:fldCharType="begin"/>
      </w:r>
      <w:r w:rsidRPr="0073736A">
        <w:rPr>
          <w:rFonts w:eastAsia="Calibri"/>
        </w:rPr>
        <w:instrText xml:space="preserve"> REF _Ref361703116 \h  \* MERGEFORMAT </w:instrText>
      </w:r>
      <w:r w:rsidRPr="0073736A">
        <w:rPr>
          <w:rFonts w:eastAsia="Calibri"/>
        </w:rPr>
      </w:r>
      <w:r w:rsidRPr="0073736A">
        <w:rPr>
          <w:rFonts w:eastAsia="Calibri"/>
        </w:rPr>
        <w:fldChar w:fldCharType="separate"/>
      </w:r>
      <w:r w:rsidR="00374B77" w:rsidRPr="00374B77">
        <w:t xml:space="preserve">Table </w:t>
      </w:r>
      <w:r w:rsidR="00374B77" w:rsidRPr="00374B77">
        <w:rPr>
          <w:noProof/>
          <w:cs/>
        </w:rPr>
        <w:t>‎</w:t>
      </w:r>
      <w:r w:rsidR="00374B77">
        <w:rPr>
          <w:rFonts w:cstheme="minorBidi"/>
          <w:b/>
          <w:bCs w:val="0"/>
          <w:noProof/>
          <w:sz w:val="20"/>
          <w:szCs w:val="20"/>
        </w:rPr>
        <w:t>4.3</w:t>
      </w:r>
      <w:r w:rsidRPr="0073736A">
        <w:rPr>
          <w:rFonts w:eastAsia="Calibri"/>
        </w:rPr>
        <w:fldChar w:fldCharType="end"/>
      </w:r>
      <w:r w:rsidR="004B3508" w:rsidRPr="0073736A">
        <w:rPr>
          <w:rFonts w:eastAsia="Calibri"/>
        </w:rPr>
        <w:t xml:space="preserve"> </w:t>
      </w:r>
      <w:r w:rsidR="008D1D12" w:rsidRPr="0073736A">
        <w:t xml:space="preserve">and </w:t>
      </w:r>
      <w:r w:rsidR="008D1D12" w:rsidRPr="0073736A">
        <w:fldChar w:fldCharType="begin"/>
      </w:r>
      <w:r w:rsidR="008D1D12" w:rsidRPr="0073736A">
        <w:instrText xml:space="preserve"> REF _Ref361135589 \h  \* MERGEFORMAT </w:instrText>
      </w:r>
      <w:r w:rsidR="008D1D12" w:rsidRPr="0073736A">
        <w:fldChar w:fldCharType="separate"/>
      </w:r>
      <w:r w:rsidR="00374B77" w:rsidRPr="00374B77">
        <w:t xml:space="preserve">Figure </w:t>
      </w:r>
      <w:r w:rsidR="00374B77" w:rsidRPr="00374B77">
        <w:rPr>
          <w:noProof/>
          <w:cs/>
        </w:rPr>
        <w:t>‎</w:t>
      </w:r>
      <w:r w:rsidR="00374B77" w:rsidRPr="00374B77">
        <w:rPr>
          <w:rFonts w:cstheme="minorBidi"/>
          <w:b/>
          <w:noProof/>
          <w:sz w:val="20"/>
          <w:szCs w:val="20"/>
        </w:rPr>
        <w:t>4.12</w:t>
      </w:r>
      <w:r w:rsidR="008D1D12" w:rsidRPr="0073736A">
        <w:fldChar w:fldCharType="end"/>
      </w:r>
      <w:r w:rsidR="004B3508" w:rsidRPr="0073736A">
        <w:t xml:space="preserve"> </w:t>
      </w:r>
      <w:r w:rsidR="008D1D12" w:rsidRPr="0073736A">
        <w:t>represent the percentage of pre-</w:t>
      </w:r>
      <w:r>
        <w:rPr>
          <w:rFonts w:eastAsia="Calibri"/>
        </w:rPr>
        <w:t xml:space="preserve">apoptotic, </w:t>
      </w:r>
      <w:r w:rsidR="008D1D12" w:rsidRPr="0073736A">
        <w:rPr>
          <w:rFonts w:eastAsia="Calibri"/>
        </w:rPr>
        <w:t xml:space="preserve">apoptotic, necrotic and live cells </w:t>
      </w:r>
      <w:r w:rsidR="008D1D12" w:rsidRPr="0073736A">
        <w:t xml:space="preserve">following incubation with antibiotics for 24 hours as assessed by flow cytometry.Table was added to show the meaning of all Q that presented in the </w:t>
      </w:r>
      <w:r>
        <w:rPr>
          <w:rFonts w:eastAsia="Calibri"/>
        </w:rPr>
        <w:fldChar w:fldCharType="begin"/>
      </w:r>
      <w:r>
        <w:rPr>
          <w:rFonts w:eastAsia="Calibri"/>
        </w:rPr>
        <w:instrText xml:space="preserve"> PRINT  \* MERGEFORMAT </w:instrText>
      </w:r>
      <w:r>
        <w:rPr>
          <w:rFonts w:eastAsia="Calibri"/>
        </w:rPr>
        <w:fldChar w:fldCharType="end"/>
      </w:r>
      <w:r w:rsidR="008D1D12" w:rsidRPr="00CC6E15">
        <w:rPr>
          <w:rFonts w:cstheme="minorBidi"/>
          <w:lang w:eastAsia="en-GB"/>
        </w:rPr>
        <w:t>.</w:t>
      </w:r>
      <w:r w:rsidR="00F860A9" w:rsidRPr="00CC6E15">
        <w:rPr>
          <w:rFonts w:eastAsia="Calibri" w:cstheme="minorBidi"/>
        </w:rPr>
        <w:t xml:space="preserve">In </w:t>
      </w:r>
      <w:r w:rsidR="004B3508" w:rsidRPr="00CC6E15">
        <w:rPr>
          <w:rFonts w:eastAsia="Calibri" w:cstheme="minorBidi"/>
        </w:rPr>
        <w:fldChar w:fldCharType="begin"/>
      </w:r>
      <w:r w:rsidR="004B3508" w:rsidRPr="00CC6E15">
        <w:rPr>
          <w:rFonts w:eastAsia="Calibri" w:cstheme="minorBidi"/>
        </w:rPr>
        <w:instrText xml:space="preserve"> REF _Ref361703116 \h  \* MERGEFORMAT </w:instrText>
      </w:r>
      <w:r w:rsidR="004B3508" w:rsidRPr="00CC6E15">
        <w:rPr>
          <w:rFonts w:eastAsia="Calibri" w:cstheme="minorBidi"/>
        </w:rPr>
      </w:r>
      <w:r w:rsidR="004B3508" w:rsidRPr="00CC6E15">
        <w:rPr>
          <w:rFonts w:eastAsia="Calibri" w:cstheme="minorBidi"/>
        </w:rPr>
        <w:fldChar w:fldCharType="separate"/>
      </w:r>
      <w:r w:rsidR="00374B77" w:rsidRPr="00374B77">
        <w:rPr>
          <w:rFonts w:cstheme="minorBidi"/>
        </w:rPr>
        <w:t xml:space="preserve">Table </w:t>
      </w:r>
      <w:r w:rsidR="00374B77" w:rsidRPr="00374B77">
        <w:rPr>
          <w:rFonts w:cstheme="minorBidi"/>
          <w:noProof/>
          <w:cs/>
        </w:rPr>
        <w:t>‎</w:t>
      </w:r>
      <w:r w:rsidR="00374B77">
        <w:rPr>
          <w:rFonts w:cstheme="minorBidi"/>
          <w:b/>
          <w:bCs w:val="0"/>
          <w:noProof/>
          <w:sz w:val="20"/>
          <w:szCs w:val="20"/>
        </w:rPr>
        <w:t>4.3</w:t>
      </w:r>
      <w:r w:rsidR="004B3508" w:rsidRPr="00CC6E15">
        <w:rPr>
          <w:rFonts w:eastAsia="Calibri" w:cstheme="minorBidi"/>
        </w:rPr>
        <w:fldChar w:fldCharType="end"/>
      </w:r>
      <w:r w:rsidR="004B3508" w:rsidRPr="00CC6E15">
        <w:rPr>
          <w:rFonts w:eastAsia="Calibri" w:cstheme="minorBidi"/>
        </w:rPr>
        <w:t xml:space="preserve"> </w:t>
      </w:r>
      <w:r w:rsidR="00F860A9" w:rsidRPr="00CC6E15">
        <w:rPr>
          <w:rFonts w:eastAsia="Calibri" w:cstheme="minorBidi"/>
        </w:rPr>
        <w:t xml:space="preserve">it can be seen that Q1 represents necrotic cells. Q2 represents </w:t>
      </w:r>
      <w:r w:rsidR="00F860A9" w:rsidRPr="00CC6E15">
        <w:rPr>
          <w:rFonts w:eastAsia="Calibri" w:cstheme="minorBidi"/>
          <w:lang w:val="en"/>
        </w:rPr>
        <w:t xml:space="preserve">apoptosis which is the process of </w:t>
      </w:r>
      <w:hyperlink r:id="rId109" w:tooltip="Programmed cell death" w:history="1">
        <w:r w:rsidR="00F860A9" w:rsidRPr="00CC6E15">
          <w:rPr>
            <w:rFonts w:eastAsia="Calibri" w:cstheme="minorBidi"/>
            <w:lang w:val="en"/>
          </w:rPr>
          <w:t>programmed cell death</w:t>
        </w:r>
      </w:hyperlink>
      <w:r w:rsidR="00F860A9" w:rsidRPr="00CC6E15">
        <w:rPr>
          <w:rFonts w:eastAsia="Calibri" w:cstheme="minorBidi"/>
          <w:lang w:val="en"/>
        </w:rPr>
        <w:t xml:space="preserve"> that may occur due to </w:t>
      </w:r>
      <w:hyperlink r:id="rId110" w:tooltip="Biochemical" w:history="1">
        <w:r w:rsidR="00F860A9" w:rsidRPr="00CC6E15">
          <w:rPr>
            <w:rFonts w:eastAsia="Calibri" w:cstheme="minorBidi"/>
            <w:lang w:val="en"/>
          </w:rPr>
          <w:t>biochemical</w:t>
        </w:r>
      </w:hyperlink>
      <w:r w:rsidR="00F860A9" w:rsidRPr="00CC6E15">
        <w:rPr>
          <w:rFonts w:eastAsia="Calibri" w:cstheme="minorBidi"/>
          <w:lang w:val="en"/>
        </w:rPr>
        <w:t xml:space="preserve"> cell characteristic changes that</w:t>
      </w:r>
      <w:r w:rsidR="00EC36C8">
        <w:rPr>
          <w:rFonts w:eastAsia="Calibri" w:cstheme="minorBidi"/>
          <w:lang w:val="en"/>
        </w:rPr>
        <w:t xml:space="preserve"> </w:t>
      </w:r>
      <w:r w:rsidR="00F860A9" w:rsidRPr="00CC6E15">
        <w:rPr>
          <w:rFonts w:eastAsia="Calibri" w:cstheme="minorBidi"/>
          <w:lang w:val="en"/>
        </w:rPr>
        <w:t>lead to cell</w:t>
      </w:r>
      <w:r w:rsidR="00EC36C8">
        <w:rPr>
          <w:rFonts w:eastAsia="Calibri" w:cstheme="minorBidi"/>
          <w:lang w:val="en"/>
        </w:rPr>
        <w:t xml:space="preserve"> </w:t>
      </w:r>
      <w:r w:rsidR="00F860A9" w:rsidRPr="00CC6E15">
        <w:rPr>
          <w:rFonts w:eastAsia="Calibri" w:cstheme="minorBidi"/>
          <w:lang w:val="en"/>
        </w:rPr>
        <w:t>death.</w:t>
      </w:r>
      <w:r w:rsidR="00F860A9" w:rsidRPr="00CC6E15">
        <w:rPr>
          <w:rFonts w:eastAsia="Calibri" w:cstheme="minorBidi"/>
        </w:rPr>
        <w:t xml:space="preserve"> </w:t>
      </w:r>
      <w:r w:rsidR="00F860A9" w:rsidRPr="00CC6E15">
        <w:rPr>
          <w:rFonts w:eastAsia="Calibri" w:cstheme="minorBidi"/>
          <w:lang w:val="en"/>
        </w:rPr>
        <w:t>Q3 represents live cells, and Q4 represents the</w:t>
      </w:r>
      <w:r w:rsidR="00F860A9" w:rsidRPr="00CC6E15">
        <w:rPr>
          <w:rFonts w:eastAsia="Arial Unicode MS" w:cstheme="minorBidi"/>
          <w:color w:val="2E2E2E"/>
        </w:rPr>
        <w:t xml:space="preserve"> </w:t>
      </w:r>
      <w:r w:rsidR="00F860A9" w:rsidRPr="00CC6E15">
        <w:rPr>
          <w:rFonts w:eastAsia="Calibri" w:cstheme="minorBidi"/>
        </w:rPr>
        <w:t xml:space="preserve">pre-apoptotic cells, which are defined as cells involved in the early stages of apoptosis. </w:t>
      </w:r>
      <w:r w:rsidR="00F860A9" w:rsidRPr="00CC6E15">
        <w:rPr>
          <w:rFonts w:cstheme="minorBidi"/>
        </w:rPr>
        <w:t>In</w:t>
      </w:r>
      <w:r w:rsidR="00EC36C8">
        <w:rPr>
          <w:rFonts w:cstheme="minorBidi"/>
        </w:rPr>
        <w:t xml:space="preserve"> </w:t>
      </w:r>
      <w:r w:rsidR="00EC36C8">
        <w:rPr>
          <w:rFonts w:cstheme="minorBidi"/>
        </w:rPr>
        <w:fldChar w:fldCharType="begin"/>
      </w:r>
      <w:r w:rsidR="00EC36C8">
        <w:rPr>
          <w:rFonts w:cstheme="minorBidi"/>
        </w:rPr>
        <w:instrText xml:space="preserve"> REF _Ref361638353 \h </w:instrText>
      </w:r>
      <w:r w:rsidR="00EC36C8">
        <w:rPr>
          <w:rFonts w:cstheme="minorBidi"/>
        </w:rPr>
      </w:r>
      <w:r w:rsidR="00EC36C8">
        <w:rPr>
          <w:rFonts w:cstheme="minorBidi"/>
        </w:rPr>
        <w:fldChar w:fldCharType="separate"/>
      </w:r>
      <w:r w:rsidR="00374B77" w:rsidRPr="008E1FF4">
        <w:rPr>
          <w:rFonts w:cstheme="minorBidi"/>
          <w:b/>
          <w:bCs w:val="0"/>
          <w:sz w:val="20"/>
          <w:szCs w:val="20"/>
        </w:rPr>
        <w:t xml:space="preserve">Table </w:t>
      </w:r>
      <w:r w:rsidR="00374B77">
        <w:rPr>
          <w:rFonts w:cstheme="minorBidi"/>
          <w:b/>
          <w:bCs w:val="0"/>
          <w:noProof/>
          <w:sz w:val="20"/>
          <w:szCs w:val="20"/>
          <w:cs/>
        </w:rPr>
        <w:t>‎</w:t>
      </w:r>
      <w:r w:rsidR="00374B77">
        <w:rPr>
          <w:rFonts w:cstheme="minorBidi"/>
          <w:b/>
          <w:bCs w:val="0"/>
          <w:noProof/>
          <w:sz w:val="20"/>
          <w:szCs w:val="20"/>
        </w:rPr>
        <w:t>4</w:t>
      </w:r>
      <w:r w:rsidR="00374B77">
        <w:rPr>
          <w:rFonts w:cstheme="minorBidi"/>
          <w:b/>
          <w:bCs w:val="0"/>
          <w:sz w:val="20"/>
          <w:szCs w:val="20"/>
        </w:rPr>
        <w:t>.</w:t>
      </w:r>
      <w:r w:rsidR="00374B77">
        <w:rPr>
          <w:rFonts w:cstheme="minorBidi"/>
          <w:b/>
          <w:bCs w:val="0"/>
          <w:noProof/>
          <w:sz w:val="20"/>
          <w:szCs w:val="20"/>
        </w:rPr>
        <w:t>4</w:t>
      </w:r>
      <w:r w:rsidR="00EC36C8">
        <w:rPr>
          <w:rFonts w:cstheme="minorBidi"/>
        </w:rPr>
        <w:fldChar w:fldCharType="end"/>
      </w:r>
      <w:r w:rsidR="00F860A9" w:rsidRPr="00CC6E15">
        <w:rPr>
          <w:rFonts w:cstheme="minorBidi"/>
        </w:rPr>
        <w:t xml:space="preserve"> the most interesting Column is Q3 as the aim of this study was to look </w:t>
      </w:r>
      <w:r w:rsidR="00C8071C" w:rsidRPr="00CC6E15">
        <w:rPr>
          <w:rFonts w:cstheme="minorBidi"/>
        </w:rPr>
        <w:t>at pulp</w:t>
      </w:r>
      <w:r w:rsidR="00F860A9" w:rsidRPr="00CC6E15">
        <w:rPr>
          <w:rFonts w:cstheme="minorBidi"/>
        </w:rPr>
        <w:t xml:space="preserve"> cell viability and it can clearly be seen that the cell survival of the control group is 86%, the triple antibiotics group (Mio+Cip+Met) is 85.3%, the combination of (Cip+Met) is 83.2%, which is almost the same as for minocycline at 83.5%. For the individual application of Metronidazole it was 65 % and the highest negative effect on cell survival was observed in the ciprofloxicillin added group. This data is summarised in </w:t>
      </w:r>
      <w:r w:rsidR="00F860A9" w:rsidRPr="005D7ECD">
        <w:rPr>
          <w:highlight w:val="yellow"/>
        </w:rPr>
        <w:fldChar w:fldCharType="begin"/>
      </w:r>
      <w:r w:rsidR="00F860A9" w:rsidRPr="005D7ECD">
        <w:instrText xml:space="preserve"> REF _Ref361638353 \h </w:instrText>
      </w:r>
      <w:r w:rsidR="00F860A9" w:rsidRPr="005D7ECD">
        <w:rPr>
          <w:highlight w:val="yellow"/>
        </w:rPr>
        <w:instrText xml:space="preserve"> \* MERGEFORMAT </w:instrText>
      </w:r>
      <w:r w:rsidR="00F860A9" w:rsidRPr="005D7ECD">
        <w:rPr>
          <w:highlight w:val="yellow"/>
        </w:rPr>
      </w:r>
      <w:r w:rsidR="00F860A9" w:rsidRPr="005D7ECD">
        <w:rPr>
          <w:highlight w:val="yellow"/>
        </w:rPr>
        <w:fldChar w:fldCharType="separate"/>
      </w:r>
      <w:r w:rsidR="00374B77" w:rsidRPr="00374B77">
        <w:t xml:space="preserve">Table </w:t>
      </w:r>
      <w:r w:rsidR="00374B77" w:rsidRPr="00374B77">
        <w:rPr>
          <w:cs/>
        </w:rPr>
        <w:t>‎</w:t>
      </w:r>
      <w:r w:rsidR="00374B77" w:rsidRPr="00374B77">
        <w:t>4.4</w:t>
      </w:r>
      <w:r w:rsidR="00F860A9" w:rsidRPr="005D7ECD">
        <w:rPr>
          <w:highlight w:val="yellow"/>
        </w:rPr>
        <w:fldChar w:fldCharType="end"/>
      </w:r>
      <w:r w:rsidR="00F860A9" w:rsidRPr="00CC6E15">
        <w:rPr>
          <w:rFonts w:cstheme="minorBidi"/>
        </w:rPr>
        <w:t xml:space="preserve"> and </w:t>
      </w:r>
      <w:r w:rsidR="00F860A9" w:rsidRPr="00CC6E15">
        <w:rPr>
          <w:rFonts w:cstheme="minorBidi"/>
          <w:highlight w:val="yellow"/>
        </w:rPr>
        <w:fldChar w:fldCharType="begin"/>
      </w:r>
      <w:r w:rsidR="00F860A9" w:rsidRPr="00CC6E15">
        <w:rPr>
          <w:rFonts w:cstheme="minorBidi"/>
        </w:rPr>
        <w:instrText xml:space="preserve"> REF _Ref361135589 \h </w:instrText>
      </w:r>
      <w:r w:rsidR="00F860A9" w:rsidRPr="00CC6E15">
        <w:rPr>
          <w:rFonts w:cstheme="minorBidi"/>
          <w:highlight w:val="yellow"/>
        </w:rPr>
        <w:instrText xml:space="preserve"> \* MERGEFORMAT </w:instrText>
      </w:r>
      <w:r w:rsidR="00F860A9" w:rsidRPr="00CC6E15">
        <w:rPr>
          <w:rFonts w:cstheme="minorBidi"/>
          <w:highlight w:val="yellow"/>
        </w:rPr>
      </w:r>
      <w:r w:rsidR="00F860A9" w:rsidRPr="00CC6E15">
        <w:rPr>
          <w:rFonts w:cstheme="minorBidi"/>
          <w:highlight w:val="yellow"/>
        </w:rPr>
        <w:fldChar w:fldCharType="separate"/>
      </w:r>
      <w:r w:rsidR="00374B77" w:rsidRPr="00374B77">
        <w:rPr>
          <w:rFonts w:cstheme="minorBidi"/>
        </w:rPr>
        <w:t xml:space="preserve">Figure </w:t>
      </w:r>
      <w:r w:rsidR="00374B77" w:rsidRPr="00374B77">
        <w:rPr>
          <w:rFonts w:cstheme="minorBidi"/>
          <w:noProof/>
          <w:cs/>
        </w:rPr>
        <w:t>‎</w:t>
      </w:r>
      <w:r w:rsidR="00374B77" w:rsidRPr="00374B77">
        <w:rPr>
          <w:rFonts w:cstheme="minorBidi"/>
          <w:b/>
          <w:noProof/>
          <w:sz w:val="20"/>
          <w:szCs w:val="20"/>
        </w:rPr>
        <w:t>4.12</w:t>
      </w:r>
      <w:r w:rsidR="00F860A9" w:rsidRPr="00CC6E15">
        <w:rPr>
          <w:rFonts w:cstheme="minorBidi"/>
          <w:highlight w:val="yellow"/>
        </w:rPr>
        <w:fldChar w:fldCharType="end"/>
      </w:r>
      <w:r w:rsidR="00F860A9" w:rsidRPr="00CC6E15">
        <w:rPr>
          <w:rFonts w:cstheme="minorBidi"/>
        </w:rPr>
        <w:t xml:space="preserve"> and more result interpreting for Q1, Q2 and Q3 in discussion. </w:t>
      </w:r>
      <w:bookmarkStart w:id="738" w:name="_Ref361135569"/>
    </w:p>
    <w:p w:rsidR="004B3508" w:rsidRPr="00CC6E15" w:rsidRDefault="004B3508">
      <w:pPr>
        <w:rPr>
          <w:rFonts w:eastAsia="Calibri" w:cstheme="minorBidi"/>
          <w:szCs w:val="24"/>
        </w:rPr>
      </w:pPr>
      <w:r w:rsidRPr="00CC6E15">
        <w:rPr>
          <w:rFonts w:eastAsia="Calibri" w:cstheme="minorBidi"/>
          <w:szCs w:val="24"/>
        </w:rPr>
        <w:br w:type="page"/>
      </w:r>
    </w:p>
    <w:p w:rsidR="00C63227" w:rsidRPr="004B3508" w:rsidRDefault="00C63227" w:rsidP="004B3508">
      <w:pPr>
        <w:suppressAutoHyphens/>
        <w:autoSpaceDN w:val="0"/>
        <w:spacing w:line="480" w:lineRule="auto"/>
        <w:jc w:val="both"/>
        <w:textAlignment w:val="baseline"/>
        <w:rPr>
          <w:rFonts w:eastAsia="Calibri" w:cstheme="minorBidi"/>
          <w:szCs w:val="24"/>
        </w:rPr>
      </w:pPr>
    </w:p>
    <w:p w:rsidR="002A5F7C" w:rsidRDefault="002A5F7C" w:rsidP="001D3F19">
      <w:pPr>
        <w:rPr>
          <w:rFonts w:eastAsia="Times New Roman" w:cstheme="minorBidi"/>
          <w:b/>
          <w:bCs/>
          <w:sz w:val="20"/>
          <w:szCs w:val="20"/>
          <w:lang w:eastAsia="en-GB"/>
        </w:rPr>
      </w:pPr>
      <w:bookmarkStart w:id="739" w:name="_Ref361703116"/>
      <w:bookmarkStart w:id="740" w:name="_Toc370511758"/>
      <w:proofErr w:type="gramStart"/>
      <w:r w:rsidRPr="008B6D42">
        <w:rPr>
          <w:rFonts w:cstheme="minorBidi"/>
          <w:b/>
          <w:bCs/>
          <w:sz w:val="20"/>
          <w:szCs w:val="20"/>
        </w:rPr>
        <w:t xml:space="preserve">Table </w:t>
      </w:r>
      <w:r w:rsidR="00E7089D">
        <w:rPr>
          <w:rFonts w:cstheme="minorBidi"/>
          <w:b/>
          <w:bCs/>
          <w:sz w:val="20"/>
          <w:szCs w:val="20"/>
        </w:rPr>
        <w:fldChar w:fldCharType="begin"/>
      </w:r>
      <w:r w:rsidR="00E7089D">
        <w:rPr>
          <w:rFonts w:cstheme="minorBidi"/>
          <w:b/>
          <w:bCs/>
          <w:sz w:val="20"/>
          <w:szCs w:val="20"/>
        </w:rPr>
        <w:instrText xml:space="preserve"> STYLEREF 1 \s </w:instrText>
      </w:r>
      <w:r w:rsidR="00E7089D">
        <w:rPr>
          <w:rFonts w:cstheme="minorBidi"/>
          <w:b/>
          <w:bCs/>
          <w:sz w:val="20"/>
          <w:szCs w:val="20"/>
        </w:rPr>
        <w:fldChar w:fldCharType="separate"/>
      </w:r>
      <w:r w:rsidR="00374B77">
        <w:rPr>
          <w:rFonts w:cstheme="minorBidi"/>
          <w:b/>
          <w:bCs/>
          <w:noProof/>
          <w:sz w:val="20"/>
          <w:szCs w:val="20"/>
          <w:cs/>
        </w:rPr>
        <w:t>‎</w:t>
      </w:r>
      <w:r w:rsidR="00374B77">
        <w:rPr>
          <w:rFonts w:cstheme="minorBidi"/>
          <w:b/>
          <w:bCs/>
          <w:noProof/>
          <w:sz w:val="20"/>
          <w:szCs w:val="20"/>
        </w:rPr>
        <w:t>4</w:t>
      </w:r>
      <w:r w:rsidR="00E7089D">
        <w:rPr>
          <w:rFonts w:cstheme="minorBidi"/>
          <w:b/>
          <w:bCs/>
          <w:sz w:val="20"/>
          <w:szCs w:val="20"/>
        </w:rPr>
        <w:fldChar w:fldCharType="end"/>
      </w:r>
      <w:r w:rsidR="00E7089D">
        <w:rPr>
          <w:rFonts w:cstheme="minorBidi"/>
          <w:b/>
          <w:bCs/>
          <w:sz w:val="20"/>
          <w:szCs w:val="20"/>
        </w:rPr>
        <w:t>.</w:t>
      </w:r>
      <w:proofErr w:type="gramEnd"/>
      <w:r w:rsidR="00E7089D">
        <w:rPr>
          <w:rFonts w:cstheme="minorBidi"/>
          <w:b/>
          <w:bCs/>
          <w:sz w:val="20"/>
          <w:szCs w:val="20"/>
        </w:rPr>
        <w:fldChar w:fldCharType="begin"/>
      </w:r>
      <w:r w:rsidR="00E7089D">
        <w:rPr>
          <w:rFonts w:cstheme="minorBidi"/>
          <w:b/>
          <w:bCs/>
          <w:sz w:val="20"/>
          <w:szCs w:val="20"/>
        </w:rPr>
        <w:instrText xml:space="preserve"> SEQ Table \* ARABIC \s 1 </w:instrText>
      </w:r>
      <w:r w:rsidR="00E7089D">
        <w:rPr>
          <w:rFonts w:cstheme="minorBidi"/>
          <w:b/>
          <w:bCs/>
          <w:sz w:val="20"/>
          <w:szCs w:val="20"/>
        </w:rPr>
        <w:fldChar w:fldCharType="separate"/>
      </w:r>
      <w:r w:rsidR="00374B77">
        <w:rPr>
          <w:rFonts w:cstheme="minorBidi"/>
          <w:b/>
          <w:bCs/>
          <w:noProof/>
          <w:sz w:val="20"/>
          <w:szCs w:val="20"/>
        </w:rPr>
        <w:t>3</w:t>
      </w:r>
      <w:r w:rsidR="00E7089D">
        <w:rPr>
          <w:rFonts w:cstheme="minorBidi"/>
          <w:b/>
          <w:bCs/>
          <w:sz w:val="20"/>
          <w:szCs w:val="20"/>
        </w:rPr>
        <w:fldChar w:fldCharType="end"/>
      </w:r>
      <w:bookmarkEnd w:id="738"/>
      <w:bookmarkEnd w:id="739"/>
      <w:r w:rsidRPr="008B6D42">
        <w:rPr>
          <w:rFonts w:cstheme="minorBidi"/>
          <w:b/>
          <w:bCs/>
          <w:sz w:val="20"/>
          <w:szCs w:val="20"/>
        </w:rPr>
        <w:t xml:space="preserve"> Shows</w:t>
      </w:r>
      <w:r w:rsidRPr="008B6D42">
        <w:rPr>
          <w:rFonts w:eastAsia="Calibri" w:cstheme="minorBidi"/>
          <w:b/>
          <w:bCs/>
          <w:sz w:val="20"/>
          <w:szCs w:val="20"/>
        </w:rPr>
        <w:t xml:space="preserve"> live, apoptosis necrotic death </w:t>
      </w:r>
      <w:r w:rsidRPr="008B6D42">
        <w:rPr>
          <w:rFonts w:eastAsia="Times New Roman" w:cstheme="minorBidi"/>
          <w:b/>
          <w:bCs/>
          <w:sz w:val="20"/>
          <w:szCs w:val="20"/>
          <w:lang w:eastAsia="en-GB"/>
        </w:rPr>
        <w:t>pulp cells after 24 hours incubated with antibiotics</w:t>
      </w:r>
      <w:r w:rsidR="00F860A9">
        <w:rPr>
          <w:rFonts w:eastAsia="Times New Roman" w:cstheme="minorBidi"/>
          <w:b/>
          <w:bCs/>
          <w:sz w:val="20"/>
          <w:szCs w:val="20"/>
          <w:lang w:eastAsia="en-GB"/>
        </w:rPr>
        <w:t>.</w:t>
      </w:r>
      <w:bookmarkEnd w:id="740"/>
    </w:p>
    <w:p w:rsidR="00F860A9" w:rsidRPr="008B6D42" w:rsidRDefault="00F860A9" w:rsidP="001D3F19">
      <w:pPr>
        <w:rPr>
          <w:rFonts w:cstheme="minorBidi"/>
          <w:b/>
          <w:bCs/>
          <w:sz w:val="20"/>
          <w:szCs w:val="20"/>
        </w:rPr>
      </w:pPr>
    </w:p>
    <w:tbl>
      <w:tblPr>
        <w:tblW w:w="5000" w:type="pct"/>
        <w:tblCellMar>
          <w:left w:w="10" w:type="dxa"/>
          <w:right w:w="10" w:type="dxa"/>
        </w:tblCellMar>
        <w:tblLook w:val="0000" w:firstRow="0" w:lastRow="0" w:firstColumn="0" w:lastColumn="0" w:noHBand="0" w:noVBand="0"/>
      </w:tblPr>
      <w:tblGrid>
        <w:gridCol w:w="1613"/>
        <w:gridCol w:w="865"/>
        <w:gridCol w:w="874"/>
        <w:gridCol w:w="864"/>
        <w:gridCol w:w="874"/>
        <w:gridCol w:w="864"/>
        <w:gridCol w:w="874"/>
        <w:gridCol w:w="864"/>
        <w:gridCol w:w="864"/>
      </w:tblGrid>
      <w:tr w:rsidR="002A5F7C" w:rsidRPr="002A5F7C" w:rsidTr="00C63227">
        <w:trPr>
          <w:trHeight w:val="260"/>
        </w:trPr>
        <w:tc>
          <w:tcPr>
            <w:tcW w:w="1868"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Mar>
              <w:top w:w="0" w:type="dxa"/>
              <w:left w:w="108" w:type="dxa"/>
              <w:bottom w:w="0" w:type="dxa"/>
              <w:right w:w="108" w:type="dxa"/>
            </w:tcMar>
          </w:tcPr>
          <w:p w:rsidR="002A5F7C" w:rsidRPr="00C63227" w:rsidRDefault="002A5F7C" w:rsidP="002A5F7C">
            <w:pPr>
              <w:suppressAutoHyphens/>
              <w:autoSpaceDN w:val="0"/>
              <w:spacing w:after="0" w:line="360" w:lineRule="auto"/>
              <w:jc w:val="both"/>
              <w:textAlignment w:val="baseline"/>
              <w:rPr>
                <w:rFonts w:ascii="Arial" w:eastAsia="Times New Roman" w:hAnsi="Arial" w:cs="Arial"/>
                <w:b/>
                <w:bCs/>
                <w:color w:val="FFFFFF" w:themeColor="background1"/>
                <w:sz w:val="20"/>
                <w:szCs w:val="20"/>
                <w:lang w:eastAsia="zh-CN"/>
              </w:rPr>
            </w:pPr>
            <w:r w:rsidRPr="00C63227">
              <w:rPr>
                <w:rFonts w:ascii="Arial" w:eastAsia="Times New Roman" w:hAnsi="Arial" w:cs="Arial"/>
                <w:b/>
                <w:bCs/>
                <w:color w:val="FFFFFF" w:themeColor="background1"/>
                <w:sz w:val="20"/>
                <w:szCs w:val="20"/>
                <w:lang w:eastAsia="zh-CN"/>
              </w:rPr>
              <w:t xml:space="preserve">Sample </w:t>
            </w:r>
          </w:p>
        </w:tc>
        <w:tc>
          <w:tcPr>
            <w:tcW w:w="91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noWrap/>
            <w:tcMar>
              <w:top w:w="0" w:type="dxa"/>
              <w:left w:w="108" w:type="dxa"/>
              <w:bottom w:w="0" w:type="dxa"/>
              <w:right w:w="108" w:type="dxa"/>
            </w:tcMar>
          </w:tcPr>
          <w:p w:rsidR="002A5F7C" w:rsidRPr="00C63227" w:rsidRDefault="002A5F7C" w:rsidP="002A5F7C">
            <w:pPr>
              <w:suppressAutoHyphens/>
              <w:autoSpaceDN w:val="0"/>
              <w:spacing w:after="0" w:line="360" w:lineRule="auto"/>
              <w:textAlignment w:val="baseline"/>
              <w:rPr>
                <w:rFonts w:ascii="Arial" w:eastAsia="Times New Roman" w:hAnsi="Arial" w:cs="Arial"/>
                <w:b/>
                <w:bCs/>
                <w:color w:val="FFFFFF" w:themeColor="background1"/>
                <w:sz w:val="20"/>
                <w:szCs w:val="20"/>
                <w:lang w:eastAsia="zh-CN"/>
              </w:rPr>
            </w:pPr>
            <w:r w:rsidRPr="00C63227">
              <w:rPr>
                <w:rFonts w:ascii="Arial" w:eastAsia="Times New Roman" w:hAnsi="Arial" w:cs="Arial"/>
                <w:b/>
                <w:bCs/>
                <w:color w:val="FFFFFF" w:themeColor="background1"/>
                <w:sz w:val="20"/>
                <w:szCs w:val="20"/>
                <w:lang w:eastAsia="zh-CN"/>
              </w:rPr>
              <w:t>Q1</w:t>
            </w:r>
          </w:p>
        </w:tc>
        <w:tc>
          <w:tcPr>
            <w:tcW w:w="928" w:type="dxa"/>
            <w:tcBorders>
              <w:top w:val="single" w:sz="4" w:space="0" w:color="000000"/>
              <w:left w:val="single" w:sz="4" w:space="0" w:color="000000"/>
              <w:bottom w:val="single" w:sz="4" w:space="0" w:color="000000"/>
              <w:right w:val="single" w:sz="4" w:space="0" w:color="000000"/>
            </w:tcBorders>
            <w:shd w:val="clear" w:color="auto" w:fill="17365D" w:themeFill="text2" w:themeFillShade="BF"/>
            <w:noWrap/>
            <w:tcMar>
              <w:top w:w="0" w:type="dxa"/>
              <w:left w:w="108" w:type="dxa"/>
              <w:bottom w:w="0" w:type="dxa"/>
              <w:right w:w="108" w:type="dxa"/>
            </w:tcMar>
          </w:tcPr>
          <w:p w:rsidR="002A5F7C" w:rsidRPr="00C63227" w:rsidRDefault="002A5F7C" w:rsidP="002A5F7C">
            <w:pPr>
              <w:suppressAutoHyphens/>
              <w:autoSpaceDN w:val="0"/>
              <w:spacing w:after="0" w:line="360" w:lineRule="auto"/>
              <w:textAlignment w:val="baseline"/>
              <w:rPr>
                <w:rFonts w:ascii="Arial" w:eastAsia="Times New Roman" w:hAnsi="Arial" w:cs="Arial"/>
                <w:b/>
                <w:bCs/>
                <w:color w:val="FFFFFF" w:themeColor="background1"/>
                <w:sz w:val="20"/>
                <w:szCs w:val="20"/>
                <w:lang w:eastAsia="zh-CN"/>
              </w:rPr>
            </w:pPr>
            <w:r w:rsidRPr="00C63227">
              <w:rPr>
                <w:rFonts w:ascii="Arial" w:eastAsia="Times New Roman" w:hAnsi="Arial" w:cs="Arial"/>
                <w:b/>
                <w:bCs/>
                <w:color w:val="FFFFFF" w:themeColor="background1"/>
                <w:sz w:val="20"/>
                <w:szCs w:val="20"/>
                <w:lang w:eastAsia="zh-CN"/>
              </w:rPr>
              <w:t>SE</w:t>
            </w:r>
          </w:p>
        </w:tc>
        <w:tc>
          <w:tcPr>
            <w:tcW w:w="918" w:type="dxa"/>
            <w:tcBorders>
              <w:top w:val="single" w:sz="4" w:space="0" w:color="000000"/>
              <w:left w:val="single" w:sz="4" w:space="0" w:color="000000"/>
              <w:bottom w:val="single" w:sz="4" w:space="0" w:color="000000"/>
              <w:right w:val="single" w:sz="4" w:space="0" w:color="000000"/>
            </w:tcBorders>
            <w:shd w:val="clear" w:color="auto" w:fill="17365D" w:themeFill="text2" w:themeFillShade="BF"/>
            <w:noWrap/>
            <w:tcMar>
              <w:top w:w="0" w:type="dxa"/>
              <w:left w:w="108" w:type="dxa"/>
              <w:bottom w:w="0" w:type="dxa"/>
              <w:right w:w="108" w:type="dxa"/>
            </w:tcMar>
          </w:tcPr>
          <w:p w:rsidR="002A5F7C" w:rsidRPr="00C63227" w:rsidRDefault="002A5F7C" w:rsidP="002A5F7C">
            <w:pPr>
              <w:suppressAutoHyphens/>
              <w:autoSpaceDN w:val="0"/>
              <w:spacing w:after="0" w:line="360" w:lineRule="auto"/>
              <w:textAlignment w:val="baseline"/>
              <w:rPr>
                <w:rFonts w:ascii="Arial" w:eastAsia="Times New Roman" w:hAnsi="Arial" w:cs="Arial"/>
                <w:b/>
                <w:bCs/>
                <w:color w:val="FFFFFF" w:themeColor="background1"/>
                <w:sz w:val="20"/>
                <w:szCs w:val="20"/>
                <w:lang w:eastAsia="zh-CN"/>
              </w:rPr>
            </w:pPr>
            <w:r w:rsidRPr="00C63227">
              <w:rPr>
                <w:rFonts w:ascii="Arial" w:eastAsia="Times New Roman" w:hAnsi="Arial" w:cs="Arial"/>
                <w:b/>
                <w:bCs/>
                <w:color w:val="FFFFFF" w:themeColor="background1"/>
                <w:sz w:val="20"/>
                <w:szCs w:val="20"/>
                <w:lang w:eastAsia="zh-CN"/>
              </w:rPr>
              <w:t>Q2</w:t>
            </w:r>
          </w:p>
        </w:tc>
        <w:tc>
          <w:tcPr>
            <w:tcW w:w="928" w:type="dxa"/>
            <w:tcBorders>
              <w:top w:val="single" w:sz="4" w:space="0" w:color="000000"/>
              <w:left w:val="single" w:sz="4" w:space="0" w:color="000000"/>
              <w:bottom w:val="single" w:sz="4" w:space="0" w:color="000000"/>
              <w:right w:val="single" w:sz="4" w:space="0" w:color="000000"/>
            </w:tcBorders>
            <w:shd w:val="clear" w:color="auto" w:fill="17365D" w:themeFill="text2" w:themeFillShade="BF"/>
            <w:noWrap/>
            <w:tcMar>
              <w:top w:w="0" w:type="dxa"/>
              <w:left w:w="108" w:type="dxa"/>
              <w:bottom w:w="0" w:type="dxa"/>
              <w:right w:w="108" w:type="dxa"/>
            </w:tcMar>
          </w:tcPr>
          <w:p w:rsidR="002A5F7C" w:rsidRPr="00C63227" w:rsidRDefault="002A5F7C" w:rsidP="002A5F7C">
            <w:pPr>
              <w:suppressAutoHyphens/>
              <w:autoSpaceDN w:val="0"/>
              <w:spacing w:after="0" w:line="360" w:lineRule="auto"/>
              <w:textAlignment w:val="baseline"/>
              <w:rPr>
                <w:rFonts w:ascii="Arial" w:eastAsia="Times New Roman" w:hAnsi="Arial" w:cs="Arial"/>
                <w:b/>
                <w:bCs/>
                <w:color w:val="FFFFFF" w:themeColor="background1"/>
                <w:sz w:val="20"/>
                <w:szCs w:val="20"/>
                <w:lang w:eastAsia="zh-CN"/>
              </w:rPr>
            </w:pPr>
            <w:r w:rsidRPr="00C63227">
              <w:rPr>
                <w:rFonts w:ascii="Arial" w:eastAsia="Times New Roman" w:hAnsi="Arial" w:cs="Arial"/>
                <w:b/>
                <w:bCs/>
                <w:color w:val="FFFFFF" w:themeColor="background1"/>
                <w:sz w:val="20"/>
                <w:szCs w:val="20"/>
                <w:lang w:eastAsia="zh-CN"/>
              </w:rPr>
              <w:t>SE</w:t>
            </w:r>
          </w:p>
        </w:tc>
        <w:tc>
          <w:tcPr>
            <w:tcW w:w="918" w:type="dxa"/>
            <w:tcBorders>
              <w:top w:val="single" w:sz="4" w:space="0" w:color="000000"/>
              <w:left w:val="single" w:sz="4" w:space="0" w:color="000000"/>
              <w:bottom w:val="single" w:sz="4" w:space="0" w:color="000000"/>
              <w:right w:val="single" w:sz="4" w:space="0" w:color="000000"/>
            </w:tcBorders>
            <w:shd w:val="clear" w:color="auto" w:fill="17365D" w:themeFill="text2" w:themeFillShade="BF"/>
            <w:noWrap/>
            <w:tcMar>
              <w:top w:w="0" w:type="dxa"/>
              <w:left w:w="108" w:type="dxa"/>
              <w:bottom w:w="0" w:type="dxa"/>
              <w:right w:w="108" w:type="dxa"/>
            </w:tcMar>
          </w:tcPr>
          <w:p w:rsidR="002A5F7C" w:rsidRPr="00C63227" w:rsidRDefault="002A5F7C" w:rsidP="002A5F7C">
            <w:pPr>
              <w:suppressAutoHyphens/>
              <w:autoSpaceDN w:val="0"/>
              <w:spacing w:after="0" w:line="360" w:lineRule="auto"/>
              <w:textAlignment w:val="baseline"/>
              <w:rPr>
                <w:rFonts w:ascii="Arial" w:eastAsia="Times New Roman" w:hAnsi="Arial" w:cs="Arial"/>
                <w:b/>
                <w:bCs/>
                <w:color w:val="FFFFFF" w:themeColor="background1"/>
                <w:sz w:val="20"/>
                <w:szCs w:val="20"/>
                <w:lang w:eastAsia="zh-CN"/>
              </w:rPr>
            </w:pPr>
            <w:r w:rsidRPr="00C63227">
              <w:rPr>
                <w:rFonts w:ascii="Arial" w:eastAsia="Times New Roman" w:hAnsi="Arial" w:cs="Arial"/>
                <w:b/>
                <w:bCs/>
                <w:color w:val="FFFFFF" w:themeColor="background1"/>
                <w:sz w:val="20"/>
                <w:szCs w:val="20"/>
                <w:lang w:eastAsia="zh-CN"/>
              </w:rPr>
              <w:t>Q3</w:t>
            </w:r>
          </w:p>
        </w:tc>
        <w:tc>
          <w:tcPr>
            <w:tcW w:w="928" w:type="dxa"/>
            <w:tcBorders>
              <w:top w:val="single" w:sz="4" w:space="0" w:color="000000"/>
              <w:left w:val="single" w:sz="4" w:space="0" w:color="000000"/>
              <w:bottom w:val="single" w:sz="4" w:space="0" w:color="000000"/>
              <w:right w:val="single" w:sz="4" w:space="0" w:color="000000"/>
            </w:tcBorders>
            <w:shd w:val="clear" w:color="auto" w:fill="17365D" w:themeFill="text2" w:themeFillShade="BF"/>
            <w:noWrap/>
            <w:tcMar>
              <w:top w:w="0" w:type="dxa"/>
              <w:left w:w="108" w:type="dxa"/>
              <w:bottom w:w="0" w:type="dxa"/>
              <w:right w:w="108" w:type="dxa"/>
            </w:tcMar>
          </w:tcPr>
          <w:p w:rsidR="002A5F7C" w:rsidRPr="00C63227" w:rsidRDefault="002A5F7C" w:rsidP="002A5F7C">
            <w:pPr>
              <w:suppressAutoHyphens/>
              <w:autoSpaceDN w:val="0"/>
              <w:spacing w:after="0" w:line="360" w:lineRule="auto"/>
              <w:textAlignment w:val="baseline"/>
              <w:rPr>
                <w:rFonts w:ascii="Arial" w:eastAsia="Times New Roman" w:hAnsi="Arial" w:cs="Arial"/>
                <w:b/>
                <w:bCs/>
                <w:color w:val="FFFFFF" w:themeColor="background1"/>
                <w:sz w:val="20"/>
                <w:szCs w:val="20"/>
                <w:lang w:eastAsia="zh-CN"/>
              </w:rPr>
            </w:pPr>
            <w:r w:rsidRPr="00C63227">
              <w:rPr>
                <w:rFonts w:ascii="Arial" w:eastAsia="Times New Roman" w:hAnsi="Arial" w:cs="Arial"/>
                <w:b/>
                <w:bCs/>
                <w:color w:val="FFFFFF" w:themeColor="background1"/>
                <w:sz w:val="20"/>
                <w:szCs w:val="20"/>
                <w:lang w:eastAsia="zh-CN"/>
              </w:rPr>
              <w:t>SE</w:t>
            </w:r>
          </w:p>
        </w:tc>
        <w:tc>
          <w:tcPr>
            <w:tcW w:w="918" w:type="dxa"/>
            <w:tcBorders>
              <w:top w:val="single" w:sz="4" w:space="0" w:color="000000"/>
              <w:left w:val="single" w:sz="4" w:space="0" w:color="000000"/>
              <w:bottom w:val="single" w:sz="4" w:space="0" w:color="000000"/>
              <w:right w:val="single" w:sz="4" w:space="0" w:color="000000"/>
            </w:tcBorders>
            <w:shd w:val="clear" w:color="auto" w:fill="17365D" w:themeFill="text2" w:themeFillShade="BF"/>
            <w:noWrap/>
            <w:tcMar>
              <w:top w:w="0" w:type="dxa"/>
              <w:left w:w="108" w:type="dxa"/>
              <w:bottom w:w="0" w:type="dxa"/>
              <w:right w:w="108" w:type="dxa"/>
            </w:tcMar>
          </w:tcPr>
          <w:p w:rsidR="002A5F7C" w:rsidRPr="00C63227" w:rsidRDefault="002A5F7C" w:rsidP="002A5F7C">
            <w:pPr>
              <w:suppressAutoHyphens/>
              <w:autoSpaceDN w:val="0"/>
              <w:spacing w:after="0" w:line="360" w:lineRule="auto"/>
              <w:textAlignment w:val="baseline"/>
              <w:rPr>
                <w:rFonts w:ascii="Arial" w:eastAsia="Times New Roman" w:hAnsi="Arial" w:cs="Arial"/>
                <w:b/>
                <w:bCs/>
                <w:color w:val="FFFFFF" w:themeColor="background1"/>
                <w:sz w:val="20"/>
                <w:szCs w:val="20"/>
                <w:lang w:eastAsia="zh-CN"/>
              </w:rPr>
            </w:pPr>
            <w:r w:rsidRPr="00C63227">
              <w:rPr>
                <w:rFonts w:ascii="Arial" w:eastAsia="Times New Roman" w:hAnsi="Arial" w:cs="Arial"/>
                <w:b/>
                <w:bCs/>
                <w:color w:val="FFFFFF" w:themeColor="background1"/>
                <w:sz w:val="20"/>
                <w:szCs w:val="20"/>
                <w:lang w:eastAsia="zh-CN"/>
              </w:rPr>
              <w:t>Q4</w:t>
            </w:r>
          </w:p>
        </w:tc>
        <w:tc>
          <w:tcPr>
            <w:tcW w:w="917" w:type="dxa"/>
            <w:tcBorders>
              <w:top w:val="single" w:sz="4" w:space="0" w:color="000000"/>
              <w:left w:val="single" w:sz="4" w:space="0" w:color="000000"/>
              <w:bottom w:val="single" w:sz="4" w:space="0" w:color="000000"/>
              <w:right w:val="single" w:sz="4" w:space="0" w:color="000000"/>
            </w:tcBorders>
            <w:shd w:val="clear" w:color="auto" w:fill="17365D" w:themeFill="text2" w:themeFillShade="BF"/>
            <w:noWrap/>
            <w:tcMar>
              <w:top w:w="0" w:type="dxa"/>
              <w:left w:w="108" w:type="dxa"/>
              <w:bottom w:w="0" w:type="dxa"/>
              <w:right w:w="108" w:type="dxa"/>
            </w:tcMar>
          </w:tcPr>
          <w:p w:rsidR="002A5F7C" w:rsidRPr="00C63227" w:rsidRDefault="002A5F7C" w:rsidP="002A5F7C">
            <w:pPr>
              <w:suppressAutoHyphens/>
              <w:autoSpaceDN w:val="0"/>
              <w:spacing w:after="0" w:line="360" w:lineRule="auto"/>
              <w:textAlignment w:val="baseline"/>
              <w:rPr>
                <w:rFonts w:ascii="Arial" w:eastAsia="Times New Roman" w:hAnsi="Arial" w:cs="Arial"/>
                <w:b/>
                <w:bCs/>
                <w:color w:val="FFFFFF" w:themeColor="background1"/>
                <w:sz w:val="20"/>
                <w:szCs w:val="20"/>
                <w:lang w:eastAsia="zh-CN"/>
              </w:rPr>
            </w:pPr>
            <w:r w:rsidRPr="00C63227">
              <w:rPr>
                <w:rFonts w:ascii="Arial" w:eastAsia="Times New Roman" w:hAnsi="Arial" w:cs="Arial"/>
                <w:b/>
                <w:bCs/>
                <w:color w:val="FFFFFF" w:themeColor="background1"/>
                <w:sz w:val="20"/>
                <w:szCs w:val="20"/>
                <w:lang w:eastAsia="zh-CN"/>
              </w:rPr>
              <w:t>SE</w:t>
            </w: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Control</w:t>
            </w:r>
          </w:p>
        </w:tc>
        <w:tc>
          <w:tcPr>
            <w:tcW w:w="919"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0.8</w:t>
            </w:r>
          </w:p>
        </w:tc>
        <w:tc>
          <w:tcPr>
            <w:tcW w:w="92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0.064</w:t>
            </w:r>
          </w:p>
        </w:tc>
        <w:tc>
          <w:tcPr>
            <w:tcW w:w="91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3.3</w:t>
            </w:r>
          </w:p>
        </w:tc>
        <w:tc>
          <w:tcPr>
            <w:tcW w:w="92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1.12</w:t>
            </w:r>
          </w:p>
        </w:tc>
        <w:tc>
          <w:tcPr>
            <w:tcW w:w="918" w:type="dxa"/>
            <w:tcBorders>
              <w:top w:val="single" w:sz="4" w:space="0" w:color="000000"/>
              <w:left w:val="single" w:sz="4" w:space="0" w:color="000000"/>
              <w:bottom w:val="single" w:sz="4" w:space="0" w:color="000000"/>
              <w:right w:val="single" w:sz="4" w:space="0" w:color="000000"/>
            </w:tcBorders>
            <w:shd w:val="clear" w:color="auto" w:fill="FDE9D9"/>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87.133</w:t>
            </w:r>
          </w:p>
        </w:tc>
        <w:tc>
          <w:tcPr>
            <w:tcW w:w="92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3.76</w:t>
            </w:r>
          </w:p>
        </w:tc>
        <w:tc>
          <w:tcPr>
            <w:tcW w:w="91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8.8</w:t>
            </w:r>
          </w:p>
        </w:tc>
        <w:tc>
          <w:tcPr>
            <w:tcW w:w="917"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2.83</w:t>
            </w: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Control</w:t>
            </w:r>
          </w:p>
        </w:tc>
        <w:tc>
          <w:tcPr>
            <w:tcW w:w="919"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0.7</w:t>
            </w:r>
          </w:p>
        </w:tc>
        <w:tc>
          <w:tcPr>
            <w:tcW w:w="92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7.4</w:t>
            </w:r>
          </w:p>
        </w:tc>
        <w:tc>
          <w:tcPr>
            <w:tcW w:w="92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DE9D9"/>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81.1</w:t>
            </w:r>
          </w:p>
        </w:tc>
        <w:tc>
          <w:tcPr>
            <w:tcW w:w="928" w:type="dxa"/>
            <w:tcBorders>
              <w:top w:val="single" w:sz="4" w:space="0" w:color="000000"/>
              <w:left w:val="single" w:sz="4" w:space="0" w:color="000000"/>
              <w:bottom w:val="single" w:sz="4" w:space="0" w:color="000000"/>
              <w:right w:val="single" w:sz="4" w:space="0" w:color="000000"/>
            </w:tcBorders>
            <w:shd w:val="clear" w:color="auto" w:fill="FDE9D9"/>
            <w:noWrap/>
            <w:tcMar>
              <w:top w:w="0" w:type="dxa"/>
              <w:left w:w="108" w:type="dxa"/>
              <w:bottom w:w="0" w:type="dxa"/>
              <w:right w:w="108" w:type="dxa"/>
            </w:tcMar>
          </w:tcPr>
          <w:p w:rsidR="002A5F7C" w:rsidRPr="002A5F7C" w:rsidRDefault="002A5F7C" w:rsidP="002A5F7C">
            <w:pPr>
              <w:suppressAutoHyphens/>
              <w:autoSpaceDN w:val="0"/>
              <w:spacing w:after="0" w:line="360" w:lineRule="auto"/>
              <w:textAlignment w:val="baseline"/>
              <w:rPr>
                <w:rFonts w:ascii="Arial" w:eastAsia="Times New Roman" w:hAnsi="Arial" w:cs="Arial"/>
                <w:color w:val="000000"/>
                <w:sz w:val="20"/>
                <w:szCs w:val="20"/>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10.8</w:t>
            </w:r>
          </w:p>
        </w:tc>
        <w:tc>
          <w:tcPr>
            <w:tcW w:w="917"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Control</w:t>
            </w:r>
          </w:p>
        </w:tc>
        <w:tc>
          <w:tcPr>
            <w:tcW w:w="919"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0.7</w:t>
            </w:r>
          </w:p>
        </w:tc>
        <w:tc>
          <w:tcPr>
            <w:tcW w:w="92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3</w:t>
            </w:r>
          </w:p>
        </w:tc>
        <w:tc>
          <w:tcPr>
            <w:tcW w:w="92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DE9D9"/>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89.95</w:t>
            </w:r>
          </w:p>
        </w:tc>
        <w:tc>
          <w:tcPr>
            <w:tcW w:w="928" w:type="dxa"/>
            <w:tcBorders>
              <w:top w:val="single" w:sz="4" w:space="0" w:color="000000"/>
              <w:left w:val="single" w:sz="4" w:space="0" w:color="000000"/>
              <w:bottom w:val="single" w:sz="4" w:space="0" w:color="000000"/>
              <w:right w:val="single" w:sz="4" w:space="0" w:color="000000"/>
            </w:tcBorders>
            <w:shd w:val="clear" w:color="auto" w:fill="FDE9D9"/>
            <w:noWrap/>
            <w:tcMar>
              <w:top w:w="0" w:type="dxa"/>
              <w:left w:w="108" w:type="dxa"/>
              <w:bottom w:w="0" w:type="dxa"/>
              <w:right w:w="108" w:type="dxa"/>
            </w:tcMar>
          </w:tcPr>
          <w:p w:rsidR="002A5F7C" w:rsidRPr="002A5F7C" w:rsidRDefault="002A5F7C" w:rsidP="002A5F7C">
            <w:pPr>
              <w:suppressAutoHyphens/>
              <w:autoSpaceDN w:val="0"/>
              <w:spacing w:after="0" w:line="360" w:lineRule="auto"/>
              <w:textAlignment w:val="baseline"/>
              <w:rPr>
                <w:rFonts w:ascii="Arial" w:eastAsia="Times New Roman" w:hAnsi="Arial" w:cs="Arial"/>
                <w:color w:val="000000"/>
                <w:sz w:val="20"/>
                <w:szCs w:val="20"/>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6.5</w:t>
            </w:r>
          </w:p>
        </w:tc>
        <w:tc>
          <w:tcPr>
            <w:tcW w:w="917"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Met</w:t>
            </w:r>
          </w:p>
        </w:tc>
        <w:tc>
          <w:tcPr>
            <w:tcW w:w="919"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0.7</w:t>
            </w:r>
          </w:p>
        </w:tc>
        <w:tc>
          <w:tcPr>
            <w:tcW w:w="92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0.187</w:t>
            </w:r>
          </w:p>
        </w:tc>
        <w:tc>
          <w:tcPr>
            <w:tcW w:w="91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3.3</w:t>
            </w:r>
          </w:p>
        </w:tc>
        <w:tc>
          <w:tcPr>
            <w:tcW w:w="92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0.75</w:t>
            </w:r>
          </w:p>
        </w:tc>
        <w:tc>
          <w:tcPr>
            <w:tcW w:w="918" w:type="dxa"/>
            <w:tcBorders>
              <w:top w:val="single" w:sz="4" w:space="0" w:color="000000"/>
              <w:left w:val="single" w:sz="4" w:space="0" w:color="000000"/>
              <w:bottom w:val="single" w:sz="4" w:space="0" w:color="000000"/>
              <w:right w:val="single" w:sz="4" w:space="0" w:color="000000"/>
            </w:tcBorders>
            <w:shd w:val="clear" w:color="auto" w:fill="FBD4B4"/>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85.97</w:t>
            </w:r>
          </w:p>
        </w:tc>
        <w:tc>
          <w:tcPr>
            <w:tcW w:w="92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5.03</w:t>
            </w:r>
          </w:p>
        </w:tc>
        <w:tc>
          <w:tcPr>
            <w:tcW w:w="91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10.1</w:t>
            </w:r>
          </w:p>
        </w:tc>
        <w:tc>
          <w:tcPr>
            <w:tcW w:w="917"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4.46</w:t>
            </w: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Met</w:t>
            </w:r>
          </w:p>
        </w:tc>
        <w:tc>
          <w:tcPr>
            <w:tcW w:w="919"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0.6</w:t>
            </w:r>
          </w:p>
        </w:tc>
        <w:tc>
          <w:tcPr>
            <w:tcW w:w="92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4.5</w:t>
            </w:r>
          </w:p>
        </w:tc>
        <w:tc>
          <w:tcPr>
            <w:tcW w:w="92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BD4B4"/>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74.733</w:t>
            </w:r>
          </w:p>
        </w:tc>
        <w:tc>
          <w:tcPr>
            <w:tcW w:w="928" w:type="dxa"/>
            <w:tcBorders>
              <w:top w:val="single" w:sz="4" w:space="0" w:color="000000"/>
              <w:left w:val="single" w:sz="4" w:space="0" w:color="000000"/>
              <w:bottom w:val="single" w:sz="4" w:space="0" w:color="000000"/>
              <w:right w:val="single" w:sz="4" w:space="0" w:color="000000"/>
            </w:tcBorders>
            <w:shd w:val="clear" w:color="auto" w:fill="FBD4B4"/>
            <w:noWrap/>
            <w:tcMar>
              <w:top w:w="0" w:type="dxa"/>
              <w:left w:w="108" w:type="dxa"/>
              <w:bottom w:w="0" w:type="dxa"/>
              <w:right w:w="108" w:type="dxa"/>
            </w:tcMar>
          </w:tcPr>
          <w:p w:rsidR="002A5F7C" w:rsidRPr="002A5F7C" w:rsidRDefault="002A5F7C" w:rsidP="002A5F7C">
            <w:pPr>
              <w:suppressAutoHyphens/>
              <w:autoSpaceDN w:val="0"/>
              <w:spacing w:after="0" w:line="360" w:lineRule="auto"/>
              <w:textAlignment w:val="baseline"/>
              <w:rPr>
                <w:rFonts w:ascii="Arial" w:eastAsia="Times New Roman" w:hAnsi="Arial" w:cs="Arial"/>
                <w:color w:val="000000"/>
                <w:sz w:val="20"/>
                <w:szCs w:val="20"/>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20.2</w:t>
            </w:r>
          </w:p>
        </w:tc>
        <w:tc>
          <w:tcPr>
            <w:tcW w:w="917"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Met</w:t>
            </w:r>
          </w:p>
        </w:tc>
        <w:tc>
          <w:tcPr>
            <w:tcW w:w="919"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1.7</w:t>
            </w:r>
          </w:p>
        </w:tc>
        <w:tc>
          <w:tcPr>
            <w:tcW w:w="92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7.2</w:t>
            </w:r>
          </w:p>
        </w:tc>
        <w:tc>
          <w:tcPr>
            <w:tcW w:w="92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BD4B4"/>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83.6</w:t>
            </w:r>
          </w:p>
        </w:tc>
        <w:tc>
          <w:tcPr>
            <w:tcW w:w="928" w:type="dxa"/>
            <w:tcBorders>
              <w:top w:val="single" w:sz="4" w:space="0" w:color="000000"/>
              <w:left w:val="single" w:sz="4" w:space="0" w:color="000000"/>
              <w:bottom w:val="single" w:sz="4" w:space="0" w:color="000000"/>
              <w:right w:val="single" w:sz="4" w:space="0" w:color="000000"/>
            </w:tcBorders>
            <w:shd w:val="clear" w:color="auto" w:fill="FBD4B4"/>
            <w:noWrap/>
            <w:tcMar>
              <w:top w:w="0" w:type="dxa"/>
              <w:left w:w="108" w:type="dxa"/>
              <w:bottom w:w="0" w:type="dxa"/>
              <w:right w:w="108" w:type="dxa"/>
            </w:tcMar>
          </w:tcPr>
          <w:p w:rsidR="002A5F7C" w:rsidRPr="002A5F7C" w:rsidRDefault="002A5F7C" w:rsidP="002A5F7C">
            <w:pPr>
              <w:suppressAutoHyphens/>
              <w:autoSpaceDN w:val="0"/>
              <w:spacing w:after="0" w:line="360" w:lineRule="auto"/>
              <w:textAlignment w:val="baseline"/>
              <w:rPr>
                <w:rFonts w:ascii="Arial" w:eastAsia="Times New Roman" w:hAnsi="Arial" w:cs="Arial"/>
                <w:color w:val="000000"/>
                <w:sz w:val="20"/>
                <w:szCs w:val="20"/>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23.7</w:t>
            </w:r>
          </w:p>
        </w:tc>
        <w:tc>
          <w:tcPr>
            <w:tcW w:w="917"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Cip</w:t>
            </w:r>
          </w:p>
        </w:tc>
        <w:tc>
          <w:tcPr>
            <w:tcW w:w="91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0.8</w:t>
            </w:r>
          </w:p>
        </w:tc>
        <w:tc>
          <w:tcPr>
            <w:tcW w:w="92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0.111</w:t>
            </w:r>
          </w:p>
        </w:tc>
        <w:tc>
          <w:tcPr>
            <w:tcW w:w="9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2.7</w:t>
            </w:r>
          </w:p>
        </w:tc>
        <w:tc>
          <w:tcPr>
            <w:tcW w:w="92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0.74</w:t>
            </w:r>
          </w:p>
        </w:tc>
        <w:tc>
          <w:tcPr>
            <w:tcW w:w="918" w:type="dxa"/>
            <w:tcBorders>
              <w:top w:val="single" w:sz="4" w:space="0" w:color="000000"/>
              <w:left w:val="single" w:sz="4" w:space="0" w:color="000000"/>
              <w:bottom w:val="single" w:sz="4" w:space="0" w:color="000000"/>
              <w:right w:val="single" w:sz="4" w:space="0" w:color="000000"/>
            </w:tcBorders>
            <w:shd w:val="clear" w:color="auto" w:fill="FABF8F"/>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87.5</w:t>
            </w:r>
          </w:p>
        </w:tc>
        <w:tc>
          <w:tcPr>
            <w:tcW w:w="92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6.98</w:t>
            </w:r>
          </w:p>
        </w:tc>
        <w:tc>
          <w:tcPr>
            <w:tcW w:w="9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9</w:t>
            </w:r>
          </w:p>
        </w:tc>
        <w:tc>
          <w:tcPr>
            <w:tcW w:w="917"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6.37</w:t>
            </w: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Cip</w:t>
            </w:r>
          </w:p>
        </w:tc>
        <w:tc>
          <w:tcPr>
            <w:tcW w:w="91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0.5</w:t>
            </w:r>
          </w:p>
        </w:tc>
        <w:tc>
          <w:tcPr>
            <w:tcW w:w="92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4.4</w:t>
            </w:r>
          </w:p>
        </w:tc>
        <w:tc>
          <w:tcPr>
            <w:tcW w:w="92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ABF8F"/>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70.63</w:t>
            </w:r>
          </w:p>
        </w:tc>
        <w:tc>
          <w:tcPr>
            <w:tcW w:w="928" w:type="dxa"/>
            <w:tcBorders>
              <w:top w:val="single" w:sz="4" w:space="0" w:color="000000"/>
              <w:left w:val="single" w:sz="4" w:space="0" w:color="000000"/>
              <w:bottom w:val="single" w:sz="4" w:space="0" w:color="000000"/>
              <w:right w:val="single" w:sz="4" w:space="0" w:color="000000"/>
            </w:tcBorders>
            <w:shd w:val="clear" w:color="auto" w:fill="FABF8F"/>
            <w:noWrap/>
            <w:tcMar>
              <w:top w:w="0" w:type="dxa"/>
              <w:left w:w="108" w:type="dxa"/>
              <w:bottom w:w="0" w:type="dxa"/>
              <w:right w:w="108" w:type="dxa"/>
            </w:tcMar>
          </w:tcPr>
          <w:p w:rsidR="002A5F7C" w:rsidRPr="002A5F7C" w:rsidRDefault="002A5F7C" w:rsidP="002A5F7C">
            <w:pPr>
              <w:suppressAutoHyphens/>
              <w:autoSpaceDN w:val="0"/>
              <w:spacing w:after="0" w:line="360" w:lineRule="auto"/>
              <w:textAlignment w:val="baseline"/>
              <w:rPr>
                <w:rFonts w:ascii="Arial" w:eastAsia="Times New Roman" w:hAnsi="Arial" w:cs="Arial"/>
                <w:color w:val="000000"/>
                <w:sz w:val="20"/>
                <w:szCs w:val="20"/>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24.5</w:t>
            </w:r>
          </w:p>
        </w:tc>
        <w:tc>
          <w:tcPr>
            <w:tcW w:w="917"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Cip</w:t>
            </w:r>
          </w:p>
        </w:tc>
        <w:tc>
          <w:tcPr>
            <w:tcW w:w="91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0.8</w:t>
            </w:r>
          </w:p>
        </w:tc>
        <w:tc>
          <w:tcPr>
            <w:tcW w:w="92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2.8</w:t>
            </w:r>
          </w:p>
        </w:tc>
        <w:tc>
          <w:tcPr>
            <w:tcW w:w="92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ABF8F"/>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75.43</w:t>
            </w:r>
          </w:p>
        </w:tc>
        <w:tc>
          <w:tcPr>
            <w:tcW w:w="928" w:type="dxa"/>
            <w:tcBorders>
              <w:top w:val="single" w:sz="4" w:space="0" w:color="000000"/>
              <w:left w:val="single" w:sz="4" w:space="0" w:color="000000"/>
              <w:bottom w:val="single" w:sz="4" w:space="0" w:color="000000"/>
              <w:right w:val="single" w:sz="4" w:space="0" w:color="000000"/>
            </w:tcBorders>
            <w:shd w:val="clear" w:color="auto" w:fill="FABF8F"/>
            <w:noWrap/>
            <w:tcMar>
              <w:top w:w="0" w:type="dxa"/>
              <w:left w:w="108" w:type="dxa"/>
              <w:bottom w:w="0" w:type="dxa"/>
              <w:right w:w="108" w:type="dxa"/>
            </w:tcMar>
          </w:tcPr>
          <w:p w:rsidR="002A5F7C" w:rsidRPr="002A5F7C" w:rsidRDefault="002A5F7C" w:rsidP="002A5F7C">
            <w:pPr>
              <w:suppressAutoHyphens/>
              <w:autoSpaceDN w:val="0"/>
              <w:spacing w:after="0" w:line="360" w:lineRule="auto"/>
              <w:textAlignment w:val="baseline"/>
              <w:rPr>
                <w:rFonts w:ascii="Arial" w:eastAsia="Times New Roman" w:hAnsi="Arial" w:cs="Arial"/>
                <w:color w:val="000000"/>
                <w:sz w:val="20"/>
                <w:szCs w:val="20"/>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21</w:t>
            </w:r>
          </w:p>
        </w:tc>
        <w:tc>
          <w:tcPr>
            <w:tcW w:w="917"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Mino</w:t>
            </w:r>
          </w:p>
        </w:tc>
        <w:tc>
          <w:tcPr>
            <w:tcW w:w="919"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0.9</w:t>
            </w:r>
          </w:p>
        </w:tc>
        <w:tc>
          <w:tcPr>
            <w:tcW w:w="92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0.056</w:t>
            </w:r>
          </w:p>
        </w:tc>
        <w:tc>
          <w:tcPr>
            <w:tcW w:w="91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5.4</w:t>
            </w:r>
          </w:p>
        </w:tc>
        <w:tc>
          <w:tcPr>
            <w:tcW w:w="92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0.83</w:t>
            </w:r>
          </w:p>
        </w:tc>
        <w:tc>
          <w:tcPr>
            <w:tcW w:w="918" w:type="dxa"/>
            <w:tcBorders>
              <w:top w:val="single" w:sz="4" w:space="0" w:color="000000"/>
              <w:left w:val="single" w:sz="4" w:space="0" w:color="000000"/>
              <w:bottom w:val="single" w:sz="4" w:space="0" w:color="000000"/>
              <w:right w:val="single" w:sz="4" w:space="0" w:color="000000"/>
            </w:tcBorders>
            <w:shd w:val="clear" w:color="auto" w:fill="F2DBDB"/>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79.77</w:t>
            </w:r>
          </w:p>
        </w:tc>
        <w:tc>
          <w:tcPr>
            <w:tcW w:w="92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3.25</w:t>
            </w:r>
          </w:p>
        </w:tc>
        <w:tc>
          <w:tcPr>
            <w:tcW w:w="91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13.9</w:t>
            </w:r>
          </w:p>
        </w:tc>
        <w:tc>
          <w:tcPr>
            <w:tcW w:w="917"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2.50</w:t>
            </w: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Mino</w:t>
            </w:r>
          </w:p>
        </w:tc>
        <w:tc>
          <w:tcPr>
            <w:tcW w:w="919"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0.9</w:t>
            </w:r>
          </w:p>
        </w:tc>
        <w:tc>
          <w:tcPr>
            <w:tcW w:w="92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4.6</w:t>
            </w:r>
          </w:p>
        </w:tc>
        <w:tc>
          <w:tcPr>
            <w:tcW w:w="92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2DBDB"/>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84.57</w:t>
            </w:r>
          </w:p>
        </w:tc>
        <w:tc>
          <w:tcPr>
            <w:tcW w:w="928" w:type="dxa"/>
            <w:tcBorders>
              <w:top w:val="single" w:sz="4" w:space="0" w:color="000000"/>
              <w:left w:val="single" w:sz="4" w:space="0" w:color="000000"/>
              <w:bottom w:val="single" w:sz="4" w:space="0" w:color="000000"/>
              <w:right w:val="single" w:sz="4" w:space="0" w:color="000000"/>
            </w:tcBorders>
            <w:shd w:val="clear" w:color="auto" w:fill="F2DBDB"/>
            <w:noWrap/>
            <w:tcMar>
              <w:top w:w="0" w:type="dxa"/>
              <w:left w:w="108" w:type="dxa"/>
              <w:bottom w:w="0" w:type="dxa"/>
              <w:right w:w="108" w:type="dxa"/>
            </w:tcMar>
          </w:tcPr>
          <w:p w:rsidR="002A5F7C" w:rsidRPr="002A5F7C" w:rsidRDefault="002A5F7C" w:rsidP="002A5F7C">
            <w:pPr>
              <w:suppressAutoHyphens/>
              <w:autoSpaceDN w:val="0"/>
              <w:spacing w:after="0" w:line="360" w:lineRule="auto"/>
              <w:textAlignment w:val="baseline"/>
              <w:rPr>
                <w:rFonts w:ascii="Arial" w:eastAsia="Times New Roman" w:hAnsi="Arial" w:cs="Arial"/>
                <w:color w:val="000000"/>
                <w:sz w:val="20"/>
                <w:szCs w:val="20"/>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9.9</w:t>
            </w:r>
          </w:p>
        </w:tc>
        <w:tc>
          <w:tcPr>
            <w:tcW w:w="917"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Mino</w:t>
            </w:r>
          </w:p>
        </w:tc>
        <w:tc>
          <w:tcPr>
            <w:tcW w:w="919"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0.6</w:t>
            </w:r>
          </w:p>
        </w:tc>
        <w:tc>
          <w:tcPr>
            <w:tcW w:w="92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2.5</w:t>
            </w:r>
          </w:p>
        </w:tc>
        <w:tc>
          <w:tcPr>
            <w:tcW w:w="92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2DBDB"/>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87.83</w:t>
            </w:r>
          </w:p>
        </w:tc>
        <w:tc>
          <w:tcPr>
            <w:tcW w:w="928" w:type="dxa"/>
            <w:tcBorders>
              <w:top w:val="single" w:sz="4" w:space="0" w:color="000000"/>
              <w:left w:val="single" w:sz="4" w:space="0" w:color="000000"/>
              <w:bottom w:val="single" w:sz="4" w:space="0" w:color="000000"/>
              <w:right w:val="single" w:sz="4" w:space="0" w:color="000000"/>
            </w:tcBorders>
            <w:shd w:val="clear" w:color="auto" w:fill="F2DBDB"/>
            <w:noWrap/>
            <w:tcMar>
              <w:top w:w="0" w:type="dxa"/>
              <w:left w:w="108" w:type="dxa"/>
              <w:bottom w:w="0" w:type="dxa"/>
              <w:right w:w="108" w:type="dxa"/>
            </w:tcMar>
          </w:tcPr>
          <w:p w:rsidR="002A5F7C" w:rsidRPr="002A5F7C" w:rsidRDefault="002A5F7C" w:rsidP="002A5F7C">
            <w:pPr>
              <w:suppressAutoHyphens/>
              <w:autoSpaceDN w:val="0"/>
              <w:spacing w:after="0" w:line="360" w:lineRule="auto"/>
              <w:textAlignment w:val="baseline"/>
              <w:rPr>
                <w:rFonts w:ascii="Arial" w:eastAsia="Times New Roman" w:hAnsi="Arial" w:cs="Arial"/>
                <w:color w:val="000000"/>
                <w:sz w:val="20"/>
                <w:szCs w:val="20"/>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9.1</w:t>
            </w:r>
          </w:p>
        </w:tc>
        <w:tc>
          <w:tcPr>
            <w:tcW w:w="917" w:type="dxa"/>
            <w:tcBorders>
              <w:top w:val="single" w:sz="4" w:space="0" w:color="000000"/>
              <w:left w:val="single" w:sz="4" w:space="0" w:color="000000"/>
              <w:bottom w:val="single" w:sz="4" w:space="0" w:color="000000"/>
              <w:right w:val="single" w:sz="4" w:space="0" w:color="000000"/>
            </w:tcBorders>
            <w:shd w:val="clear" w:color="auto" w:fill="F2DBDB"/>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MET+CIP</w:t>
            </w:r>
          </w:p>
        </w:tc>
        <w:tc>
          <w:tcPr>
            <w:tcW w:w="919"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0.7</w:t>
            </w:r>
          </w:p>
        </w:tc>
        <w:tc>
          <w:tcPr>
            <w:tcW w:w="92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0.132</w:t>
            </w:r>
          </w:p>
        </w:tc>
        <w:tc>
          <w:tcPr>
            <w:tcW w:w="91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3</w:t>
            </w:r>
          </w:p>
        </w:tc>
        <w:tc>
          <w:tcPr>
            <w:tcW w:w="92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0.42</w:t>
            </w:r>
          </w:p>
        </w:tc>
        <w:tc>
          <w:tcPr>
            <w:tcW w:w="918" w:type="dxa"/>
            <w:tcBorders>
              <w:top w:val="single" w:sz="4" w:space="0" w:color="000000"/>
              <w:left w:val="single" w:sz="4" w:space="0" w:color="000000"/>
              <w:bottom w:val="single" w:sz="4" w:space="0" w:color="000000"/>
              <w:right w:val="single" w:sz="4" w:space="0" w:color="000000"/>
            </w:tcBorders>
            <w:shd w:val="clear" w:color="auto" w:fill="E5DFEC"/>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84.37</w:t>
            </w:r>
          </w:p>
        </w:tc>
        <w:tc>
          <w:tcPr>
            <w:tcW w:w="92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1.84</w:t>
            </w:r>
          </w:p>
        </w:tc>
        <w:tc>
          <w:tcPr>
            <w:tcW w:w="91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12</w:t>
            </w:r>
          </w:p>
        </w:tc>
        <w:tc>
          <w:tcPr>
            <w:tcW w:w="917"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1.84</w:t>
            </w: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MET+CIP</w:t>
            </w:r>
          </w:p>
        </w:tc>
        <w:tc>
          <w:tcPr>
            <w:tcW w:w="919"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0.9</w:t>
            </w:r>
          </w:p>
        </w:tc>
        <w:tc>
          <w:tcPr>
            <w:tcW w:w="92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2.8</w:t>
            </w:r>
          </w:p>
        </w:tc>
        <w:tc>
          <w:tcPr>
            <w:tcW w:w="92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E5DFEC"/>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84.23</w:t>
            </w:r>
          </w:p>
        </w:tc>
        <w:tc>
          <w:tcPr>
            <w:tcW w:w="928" w:type="dxa"/>
            <w:tcBorders>
              <w:top w:val="single" w:sz="4" w:space="0" w:color="000000"/>
              <w:left w:val="single" w:sz="4" w:space="0" w:color="000000"/>
              <w:bottom w:val="single" w:sz="4" w:space="0" w:color="000000"/>
              <w:right w:val="single" w:sz="4" w:space="0" w:color="000000"/>
            </w:tcBorders>
            <w:shd w:val="clear" w:color="auto" w:fill="E5DFEC"/>
            <w:noWrap/>
            <w:tcMar>
              <w:top w:w="0" w:type="dxa"/>
              <w:left w:w="108" w:type="dxa"/>
              <w:bottom w:w="0" w:type="dxa"/>
              <w:right w:w="108" w:type="dxa"/>
            </w:tcMar>
          </w:tcPr>
          <w:p w:rsidR="002A5F7C" w:rsidRPr="002A5F7C" w:rsidRDefault="002A5F7C" w:rsidP="002A5F7C">
            <w:pPr>
              <w:suppressAutoHyphens/>
              <w:autoSpaceDN w:val="0"/>
              <w:spacing w:after="0" w:line="360" w:lineRule="auto"/>
              <w:textAlignment w:val="baseline"/>
              <w:rPr>
                <w:rFonts w:ascii="Arial" w:eastAsia="Times New Roman" w:hAnsi="Arial" w:cs="Arial"/>
                <w:color w:val="000000"/>
                <w:sz w:val="20"/>
                <w:szCs w:val="20"/>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12.1</w:t>
            </w:r>
          </w:p>
        </w:tc>
        <w:tc>
          <w:tcPr>
            <w:tcW w:w="917"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r>
      <w:tr w:rsidR="002A5F7C" w:rsidRPr="002A5F7C" w:rsidTr="002A5F7C">
        <w:trPr>
          <w:trHeight w:val="306"/>
        </w:trPr>
        <w:tc>
          <w:tcPr>
            <w:tcW w:w="186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MET+CIP</w:t>
            </w:r>
          </w:p>
        </w:tc>
        <w:tc>
          <w:tcPr>
            <w:tcW w:w="919"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0.8</w:t>
            </w:r>
          </w:p>
        </w:tc>
        <w:tc>
          <w:tcPr>
            <w:tcW w:w="92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3.8</w:t>
            </w:r>
          </w:p>
        </w:tc>
        <w:tc>
          <w:tcPr>
            <w:tcW w:w="92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E5DFEC"/>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83.37</w:t>
            </w:r>
          </w:p>
        </w:tc>
        <w:tc>
          <w:tcPr>
            <w:tcW w:w="928" w:type="dxa"/>
            <w:tcBorders>
              <w:top w:val="single" w:sz="4" w:space="0" w:color="000000"/>
              <w:left w:val="single" w:sz="4" w:space="0" w:color="000000"/>
              <w:bottom w:val="single" w:sz="4" w:space="0" w:color="000000"/>
              <w:right w:val="single" w:sz="4" w:space="0" w:color="000000"/>
            </w:tcBorders>
            <w:shd w:val="clear" w:color="auto" w:fill="E5DFEC"/>
            <w:noWrap/>
            <w:tcMar>
              <w:top w:w="0" w:type="dxa"/>
              <w:left w:w="108" w:type="dxa"/>
              <w:bottom w:w="0" w:type="dxa"/>
              <w:right w:w="108" w:type="dxa"/>
            </w:tcMar>
          </w:tcPr>
          <w:p w:rsidR="002A5F7C" w:rsidRPr="002A5F7C" w:rsidRDefault="002A5F7C" w:rsidP="002A5F7C">
            <w:pPr>
              <w:suppressAutoHyphens/>
              <w:autoSpaceDN w:val="0"/>
              <w:spacing w:after="0" w:line="360" w:lineRule="auto"/>
              <w:textAlignment w:val="baseline"/>
              <w:rPr>
                <w:rFonts w:ascii="Arial" w:eastAsia="Times New Roman" w:hAnsi="Arial" w:cs="Arial"/>
                <w:color w:val="000000"/>
                <w:sz w:val="20"/>
                <w:szCs w:val="20"/>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12</w:t>
            </w:r>
          </w:p>
        </w:tc>
        <w:tc>
          <w:tcPr>
            <w:tcW w:w="917"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r>
      <w:tr w:rsidR="002A5F7C" w:rsidRPr="002A5F7C" w:rsidTr="002A5F7C">
        <w:trPr>
          <w:trHeight w:val="520"/>
        </w:trPr>
        <w:tc>
          <w:tcPr>
            <w:tcW w:w="186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MET+CIP+MINO</w:t>
            </w:r>
          </w:p>
        </w:tc>
        <w:tc>
          <w:tcPr>
            <w:tcW w:w="919"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0.8</w:t>
            </w:r>
          </w:p>
        </w:tc>
        <w:tc>
          <w:tcPr>
            <w:tcW w:w="92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0.063</w:t>
            </w:r>
          </w:p>
        </w:tc>
        <w:tc>
          <w:tcPr>
            <w:tcW w:w="91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4.1</w:t>
            </w:r>
          </w:p>
        </w:tc>
        <w:tc>
          <w:tcPr>
            <w:tcW w:w="92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0.69</w:t>
            </w:r>
          </w:p>
        </w:tc>
        <w:tc>
          <w:tcPr>
            <w:tcW w:w="918" w:type="dxa"/>
            <w:tcBorders>
              <w:top w:val="single" w:sz="4" w:space="0" w:color="000000"/>
              <w:left w:val="single" w:sz="4" w:space="0" w:color="000000"/>
              <w:bottom w:val="single" w:sz="4" w:space="0" w:color="000000"/>
              <w:right w:val="single" w:sz="4" w:space="0" w:color="000000"/>
            </w:tcBorders>
            <w:shd w:val="clear" w:color="auto" w:fill="E5B8B7"/>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83.2</w:t>
            </w:r>
          </w:p>
        </w:tc>
        <w:tc>
          <w:tcPr>
            <w:tcW w:w="92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1.77</w:t>
            </w:r>
          </w:p>
        </w:tc>
        <w:tc>
          <w:tcPr>
            <w:tcW w:w="91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11.9</w:t>
            </w:r>
          </w:p>
        </w:tc>
        <w:tc>
          <w:tcPr>
            <w:tcW w:w="917"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1.33</w:t>
            </w:r>
          </w:p>
        </w:tc>
      </w:tr>
      <w:tr w:rsidR="002A5F7C" w:rsidRPr="002A5F7C" w:rsidTr="002A5F7C">
        <w:trPr>
          <w:trHeight w:val="520"/>
        </w:trPr>
        <w:tc>
          <w:tcPr>
            <w:tcW w:w="186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MET+CIP+MINO</w:t>
            </w:r>
          </w:p>
        </w:tc>
        <w:tc>
          <w:tcPr>
            <w:tcW w:w="919"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0.7</w:t>
            </w:r>
          </w:p>
        </w:tc>
        <w:tc>
          <w:tcPr>
            <w:tcW w:w="92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2.9</w:t>
            </w:r>
          </w:p>
        </w:tc>
        <w:tc>
          <w:tcPr>
            <w:tcW w:w="92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E5B8B7"/>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86.37</w:t>
            </w:r>
          </w:p>
        </w:tc>
        <w:tc>
          <w:tcPr>
            <w:tcW w:w="928" w:type="dxa"/>
            <w:tcBorders>
              <w:top w:val="single" w:sz="4" w:space="0" w:color="000000"/>
              <w:left w:val="single" w:sz="4" w:space="0" w:color="000000"/>
              <w:bottom w:val="single" w:sz="4" w:space="0" w:color="000000"/>
              <w:right w:val="single" w:sz="4" w:space="0" w:color="000000"/>
            </w:tcBorders>
            <w:shd w:val="clear" w:color="auto" w:fill="E5B8B7"/>
            <w:noWrap/>
            <w:tcMar>
              <w:top w:w="0" w:type="dxa"/>
              <w:left w:w="108" w:type="dxa"/>
              <w:bottom w:w="0" w:type="dxa"/>
              <w:right w:w="108" w:type="dxa"/>
            </w:tcMar>
          </w:tcPr>
          <w:p w:rsidR="002A5F7C" w:rsidRPr="002A5F7C" w:rsidRDefault="002A5F7C" w:rsidP="002A5F7C">
            <w:pPr>
              <w:suppressAutoHyphens/>
              <w:autoSpaceDN w:val="0"/>
              <w:spacing w:after="0" w:line="360" w:lineRule="auto"/>
              <w:textAlignment w:val="baseline"/>
              <w:rPr>
                <w:rFonts w:ascii="Arial" w:eastAsia="Times New Roman" w:hAnsi="Arial" w:cs="Arial"/>
                <w:color w:val="000000"/>
                <w:sz w:val="20"/>
                <w:szCs w:val="20"/>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10</w:t>
            </w:r>
          </w:p>
        </w:tc>
        <w:tc>
          <w:tcPr>
            <w:tcW w:w="917"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r>
      <w:tr w:rsidR="002A5F7C" w:rsidRPr="002A5F7C" w:rsidTr="002A5F7C">
        <w:trPr>
          <w:trHeight w:val="520"/>
        </w:trPr>
        <w:tc>
          <w:tcPr>
            <w:tcW w:w="186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b/>
                <w:bCs/>
                <w:color w:val="000000"/>
                <w:sz w:val="20"/>
                <w:szCs w:val="20"/>
                <w:lang w:eastAsia="zh-CN"/>
              </w:rPr>
            </w:pPr>
            <w:r w:rsidRPr="002A5F7C">
              <w:rPr>
                <w:rFonts w:ascii="Arial" w:eastAsia="Times New Roman" w:hAnsi="Arial" w:cs="Arial"/>
                <w:b/>
                <w:bCs/>
                <w:color w:val="000000"/>
                <w:sz w:val="20"/>
                <w:szCs w:val="20"/>
                <w:lang w:eastAsia="zh-CN"/>
              </w:rPr>
              <w:t>MET+CIP+MINO</w:t>
            </w:r>
          </w:p>
        </w:tc>
        <w:tc>
          <w:tcPr>
            <w:tcW w:w="919"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0.7</w:t>
            </w:r>
          </w:p>
        </w:tc>
        <w:tc>
          <w:tcPr>
            <w:tcW w:w="92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2.8</w:t>
            </w:r>
          </w:p>
        </w:tc>
        <w:tc>
          <w:tcPr>
            <w:tcW w:w="92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E5B8B7"/>
            <w:noWrap/>
            <w:tcMar>
              <w:top w:w="0" w:type="dxa"/>
              <w:left w:w="108" w:type="dxa"/>
              <w:bottom w:w="0" w:type="dxa"/>
              <w:right w:w="108" w:type="dxa"/>
            </w:tcMar>
          </w:tcPr>
          <w:p w:rsidR="002A5F7C" w:rsidRPr="002A5F7C" w:rsidRDefault="002A5F7C" w:rsidP="002A5F7C">
            <w:pPr>
              <w:suppressAutoHyphens/>
              <w:autoSpaceDN w:val="0"/>
              <w:spacing w:after="0" w:line="360" w:lineRule="auto"/>
              <w:jc w:val="right"/>
              <w:textAlignment w:val="baseline"/>
              <w:rPr>
                <w:rFonts w:ascii="Arial" w:eastAsia="Times New Roman" w:hAnsi="Arial" w:cs="Arial"/>
                <w:color w:val="000000"/>
                <w:sz w:val="20"/>
                <w:szCs w:val="20"/>
                <w:lang w:eastAsia="zh-CN"/>
              </w:rPr>
            </w:pPr>
            <w:r w:rsidRPr="002A5F7C">
              <w:rPr>
                <w:rFonts w:ascii="Arial" w:eastAsia="Times New Roman" w:hAnsi="Arial" w:cs="Arial"/>
                <w:color w:val="000000"/>
                <w:sz w:val="20"/>
                <w:szCs w:val="20"/>
                <w:lang w:eastAsia="zh-CN"/>
              </w:rPr>
              <w:t>87.9</w:t>
            </w:r>
          </w:p>
        </w:tc>
        <w:tc>
          <w:tcPr>
            <w:tcW w:w="928" w:type="dxa"/>
            <w:tcBorders>
              <w:top w:val="single" w:sz="4" w:space="0" w:color="000000"/>
              <w:left w:val="single" w:sz="4" w:space="0" w:color="000000"/>
              <w:bottom w:val="single" w:sz="4" w:space="0" w:color="000000"/>
              <w:right w:val="single" w:sz="4" w:space="0" w:color="000000"/>
            </w:tcBorders>
            <w:shd w:val="clear" w:color="auto" w:fill="E5B8B7"/>
            <w:noWrap/>
            <w:tcMar>
              <w:top w:w="0" w:type="dxa"/>
              <w:left w:w="108" w:type="dxa"/>
              <w:bottom w:w="0" w:type="dxa"/>
              <w:right w:w="108" w:type="dxa"/>
            </w:tcMar>
          </w:tcPr>
          <w:p w:rsidR="002A5F7C" w:rsidRPr="002A5F7C" w:rsidRDefault="002A5F7C" w:rsidP="002A5F7C">
            <w:pPr>
              <w:suppressAutoHyphens/>
              <w:autoSpaceDN w:val="0"/>
              <w:spacing w:after="0" w:line="360" w:lineRule="auto"/>
              <w:textAlignment w:val="baseline"/>
              <w:rPr>
                <w:rFonts w:ascii="Arial" w:eastAsia="Times New Roman" w:hAnsi="Arial" w:cs="Arial"/>
                <w:color w:val="000000"/>
                <w:sz w:val="20"/>
                <w:szCs w:val="20"/>
                <w:lang w:eastAsia="zh-CN"/>
              </w:rPr>
            </w:pPr>
          </w:p>
        </w:tc>
        <w:tc>
          <w:tcPr>
            <w:tcW w:w="91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r w:rsidRPr="002A5F7C">
              <w:rPr>
                <w:rFonts w:ascii="Arial" w:eastAsia="Times New Roman" w:hAnsi="Arial" w:cs="Arial"/>
                <w:color w:val="000000"/>
                <w:szCs w:val="24"/>
                <w:lang w:eastAsia="zh-CN"/>
              </w:rPr>
              <w:t>8.7</w:t>
            </w:r>
          </w:p>
        </w:tc>
        <w:tc>
          <w:tcPr>
            <w:tcW w:w="917"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2A5F7C" w:rsidRPr="002A5F7C" w:rsidRDefault="002A5F7C" w:rsidP="002A5F7C">
            <w:pPr>
              <w:suppressAutoHyphens/>
              <w:autoSpaceDN w:val="0"/>
              <w:spacing w:after="0" w:line="360" w:lineRule="auto"/>
              <w:jc w:val="both"/>
              <w:textAlignment w:val="baseline"/>
              <w:rPr>
                <w:rFonts w:ascii="Arial" w:eastAsia="Times New Roman" w:hAnsi="Arial" w:cs="Arial"/>
                <w:color w:val="000000"/>
                <w:szCs w:val="24"/>
                <w:lang w:eastAsia="zh-CN"/>
              </w:rPr>
            </w:pPr>
          </w:p>
        </w:tc>
      </w:tr>
    </w:tbl>
    <w:p w:rsidR="00F860A9" w:rsidRDefault="00F860A9" w:rsidP="002A5F7C">
      <w:pPr>
        <w:suppressAutoHyphens/>
        <w:autoSpaceDN w:val="0"/>
        <w:textAlignment w:val="baseline"/>
        <w:rPr>
          <w:rFonts w:ascii="Arial" w:eastAsia="Calibri" w:hAnsi="Arial"/>
          <w:lang w:eastAsia="en-GB"/>
        </w:rPr>
      </w:pPr>
    </w:p>
    <w:p w:rsidR="00F860A9" w:rsidRDefault="00F860A9">
      <w:pPr>
        <w:rPr>
          <w:rFonts w:ascii="Arial" w:eastAsia="Calibri" w:hAnsi="Arial"/>
          <w:lang w:eastAsia="en-GB"/>
        </w:rPr>
      </w:pPr>
      <w:r>
        <w:rPr>
          <w:rFonts w:ascii="Arial" w:eastAsia="Calibri" w:hAnsi="Arial"/>
          <w:lang w:eastAsia="en-GB"/>
        </w:rPr>
        <w:br w:type="page"/>
      </w:r>
    </w:p>
    <w:p w:rsidR="002A5F7C" w:rsidRPr="002A5F7C" w:rsidRDefault="002A5F7C" w:rsidP="002A5F7C">
      <w:pPr>
        <w:suppressAutoHyphens/>
        <w:autoSpaceDN w:val="0"/>
        <w:textAlignment w:val="baseline"/>
        <w:rPr>
          <w:rFonts w:ascii="Arial" w:eastAsia="Calibri" w:hAnsi="Arial"/>
          <w:lang w:eastAsia="en-GB"/>
        </w:rPr>
      </w:pPr>
    </w:p>
    <w:p w:rsidR="00F860A9" w:rsidRPr="008E1FF4" w:rsidRDefault="00F860A9" w:rsidP="008218E8">
      <w:pPr>
        <w:pStyle w:val="Caption"/>
        <w:keepNext/>
        <w:jc w:val="center"/>
        <w:rPr>
          <w:rFonts w:cstheme="minorBidi"/>
          <w:b/>
          <w:bCs w:val="0"/>
          <w:sz w:val="20"/>
          <w:szCs w:val="20"/>
        </w:rPr>
      </w:pPr>
      <w:bookmarkStart w:id="741" w:name="_Ref361638353"/>
      <w:bookmarkStart w:id="742" w:name="_Ref370309794"/>
      <w:bookmarkStart w:id="743" w:name="_Toc370511759"/>
      <w:proofErr w:type="gramStart"/>
      <w:r w:rsidRPr="008E1FF4">
        <w:rPr>
          <w:rFonts w:cstheme="minorBidi"/>
          <w:b/>
          <w:bCs w:val="0"/>
          <w:sz w:val="20"/>
          <w:szCs w:val="20"/>
        </w:rPr>
        <w:t xml:space="preserve">Table </w:t>
      </w:r>
      <w:r w:rsidR="00E7089D">
        <w:rPr>
          <w:rFonts w:cstheme="minorBidi"/>
          <w:b/>
          <w:bCs w:val="0"/>
          <w:sz w:val="20"/>
          <w:szCs w:val="20"/>
        </w:rPr>
        <w:fldChar w:fldCharType="begin"/>
      </w:r>
      <w:r w:rsidR="00E7089D">
        <w:rPr>
          <w:rFonts w:cstheme="minorBidi"/>
          <w:b/>
          <w:bCs w:val="0"/>
          <w:sz w:val="20"/>
          <w:szCs w:val="20"/>
        </w:rPr>
        <w:instrText xml:space="preserve"> STYLEREF 1 \s </w:instrText>
      </w:r>
      <w:r w:rsidR="00E7089D">
        <w:rPr>
          <w:rFonts w:cstheme="minorBidi"/>
          <w:b/>
          <w:bCs w:val="0"/>
          <w:sz w:val="20"/>
          <w:szCs w:val="20"/>
        </w:rPr>
        <w:fldChar w:fldCharType="separate"/>
      </w:r>
      <w:r w:rsidR="00374B77">
        <w:rPr>
          <w:rFonts w:cstheme="minorBidi"/>
          <w:b/>
          <w:bCs w:val="0"/>
          <w:noProof/>
          <w:sz w:val="20"/>
          <w:szCs w:val="20"/>
          <w:cs/>
        </w:rPr>
        <w:t>‎</w:t>
      </w:r>
      <w:r w:rsidR="00374B77">
        <w:rPr>
          <w:rFonts w:cstheme="minorBidi"/>
          <w:b/>
          <w:bCs w:val="0"/>
          <w:noProof/>
          <w:sz w:val="20"/>
          <w:szCs w:val="20"/>
        </w:rPr>
        <w:t>4</w:t>
      </w:r>
      <w:r w:rsidR="00E7089D">
        <w:rPr>
          <w:rFonts w:cstheme="minorBidi"/>
          <w:b/>
          <w:bCs w:val="0"/>
          <w:sz w:val="20"/>
          <w:szCs w:val="20"/>
        </w:rPr>
        <w:fldChar w:fldCharType="end"/>
      </w:r>
      <w:r w:rsidR="00E7089D">
        <w:rPr>
          <w:rFonts w:cstheme="minorBidi"/>
          <w:b/>
          <w:bCs w:val="0"/>
          <w:sz w:val="20"/>
          <w:szCs w:val="20"/>
        </w:rPr>
        <w:t>.</w:t>
      </w:r>
      <w:proofErr w:type="gramEnd"/>
      <w:r w:rsidR="00E7089D">
        <w:rPr>
          <w:rFonts w:cstheme="minorBidi"/>
          <w:b/>
          <w:bCs w:val="0"/>
          <w:sz w:val="20"/>
          <w:szCs w:val="20"/>
        </w:rPr>
        <w:fldChar w:fldCharType="begin"/>
      </w:r>
      <w:r w:rsidR="00E7089D">
        <w:rPr>
          <w:rFonts w:cstheme="minorBidi"/>
          <w:b/>
          <w:bCs w:val="0"/>
          <w:sz w:val="20"/>
          <w:szCs w:val="20"/>
        </w:rPr>
        <w:instrText xml:space="preserve"> SEQ Table \* ARABIC \s 1 </w:instrText>
      </w:r>
      <w:r w:rsidR="00E7089D">
        <w:rPr>
          <w:rFonts w:cstheme="minorBidi"/>
          <w:b/>
          <w:bCs w:val="0"/>
          <w:sz w:val="20"/>
          <w:szCs w:val="20"/>
        </w:rPr>
        <w:fldChar w:fldCharType="separate"/>
      </w:r>
      <w:proofErr w:type="gramStart"/>
      <w:r w:rsidR="00374B77">
        <w:rPr>
          <w:rFonts w:cstheme="minorBidi"/>
          <w:b/>
          <w:bCs w:val="0"/>
          <w:noProof/>
          <w:sz w:val="20"/>
          <w:szCs w:val="20"/>
        </w:rPr>
        <w:t>4</w:t>
      </w:r>
      <w:r w:rsidR="00E7089D">
        <w:rPr>
          <w:rFonts w:cstheme="minorBidi"/>
          <w:b/>
          <w:bCs w:val="0"/>
          <w:sz w:val="20"/>
          <w:szCs w:val="20"/>
        </w:rPr>
        <w:fldChar w:fldCharType="end"/>
      </w:r>
      <w:bookmarkEnd w:id="741"/>
      <w:r w:rsidRPr="008E1FF4">
        <w:rPr>
          <w:rFonts w:cstheme="minorBidi"/>
          <w:b/>
          <w:bCs w:val="0"/>
          <w:sz w:val="20"/>
          <w:szCs w:val="20"/>
        </w:rPr>
        <w:t xml:space="preserve"> Summary of cell </w:t>
      </w:r>
      <w:r w:rsidR="008218E8" w:rsidRPr="008218E8">
        <w:rPr>
          <w:rFonts w:cstheme="minorBidi"/>
          <w:b/>
          <w:bCs w:val="0"/>
          <w:sz w:val="20"/>
          <w:szCs w:val="20"/>
        </w:rPr>
        <w:t>survival</w:t>
      </w:r>
      <w:r w:rsidR="008218E8">
        <w:rPr>
          <w:rFonts w:cstheme="minorBidi"/>
          <w:b/>
          <w:bCs w:val="0"/>
          <w:sz w:val="20"/>
          <w:szCs w:val="20"/>
        </w:rPr>
        <w:t xml:space="preserve"> </w:t>
      </w:r>
      <w:r w:rsidR="008218E8" w:rsidRPr="008E1FF4">
        <w:rPr>
          <w:rFonts w:cstheme="minorBidi"/>
          <w:b/>
          <w:bCs w:val="0"/>
          <w:sz w:val="20"/>
          <w:szCs w:val="20"/>
        </w:rPr>
        <w:t>after</w:t>
      </w:r>
      <w:r w:rsidRPr="008E1FF4">
        <w:rPr>
          <w:rFonts w:cstheme="minorBidi"/>
          <w:b/>
          <w:bCs w:val="0"/>
          <w:sz w:val="20"/>
          <w:szCs w:val="20"/>
        </w:rPr>
        <w:t xml:space="preserve"> incubation for 24 houres with antibiotics.</w:t>
      </w:r>
      <w:bookmarkEnd w:id="742"/>
      <w:bookmarkEnd w:id="743"/>
      <w:proofErr w:type="gramEnd"/>
    </w:p>
    <w:tbl>
      <w:tblPr>
        <w:tblW w:w="8391" w:type="dxa"/>
        <w:tblInd w:w="250" w:type="dxa"/>
        <w:tblLayout w:type="fixed"/>
        <w:tblCellMar>
          <w:left w:w="10" w:type="dxa"/>
          <w:right w:w="10" w:type="dxa"/>
        </w:tblCellMar>
        <w:tblLook w:val="0000" w:firstRow="0" w:lastRow="0" w:firstColumn="0" w:lastColumn="0" w:noHBand="0" w:noVBand="0"/>
      </w:tblPr>
      <w:tblGrid>
        <w:gridCol w:w="2797"/>
        <w:gridCol w:w="2797"/>
        <w:gridCol w:w="2797"/>
      </w:tblGrid>
      <w:tr w:rsidR="00F860A9" w:rsidRPr="009E6049" w:rsidTr="009E6049">
        <w:trPr>
          <w:trHeight w:val="710"/>
        </w:trPr>
        <w:tc>
          <w:tcPr>
            <w:tcW w:w="2797"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F860A9" w:rsidRPr="009E6049" w:rsidRDefault="00F860A9" w:rsidP="00F860A9">
            <w:pPr>
              <w:keepNext/>
              <w:keepLines/>
              <w:suppressAutoHyphens/>
              <w:autoSpaceDN w:val="0"/>
              <w:spacing w:before="240" w:after="240" w:line="240" w:lineRule="auto"/>
              <w:ind w:left="108"/>
              <w:jc w:val="center"/>
              <w:textAlignment w:val="baseline"/>
              <w:rPr>
                <w:rFonts w:ascii="Arial" w:eastAsia="Calibri" w:hAnsi="Arial" w:cs="Arial"/>
                <w:b/>
                <w:bCs/>
                <w:sz w:val="20"/>
                <w:szCs w:val="20"/>
                <w:lang w:eastAsia="zh-CN"/>
              </w:rPr>
            </w:pPr>
            <w:r w:rsidRPr="009E6049">
              <w:rPr>
                <w:rFonts w:ascii="Arial" w:eastAsia="Calibri" w:hAnsi="Arial" w:cs="Arial"/>
                <w:b/>
                <w:bCs/>
                <w:sz w:val="20"/>
                <w:szCs w:val="20"/>
                <w:lang w:eastAsia="zh-CN"/>
              </w:rPr>
              <w:t>Groups</w:t>
            </w:r>
          </w:p>
        </w:tc>
        <w:tc>
          <w:tcPr>
            <w:tcW w:w="2797"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F860A9" w:rsidRPr="009E6049" w:rsidRDefault="00F860A9" w:rsidP="00F860A9">
            <w:pPr>
              <w:keepNext/>
              <w:keepLines/>
              <w:suppressAutoHyphens/>
              <w:autoSpaceDN w:val="0"/>
              <w:spacing w:before="240" w:after="240" w:line="240" w:lineRule="auto"/>
              <w:ind w:left="108"/>
              <w:jc w:val="center"/>
              <w:textAlignment w:val="baseline"/>
              <w:rPr>
                <w:rFonts w:ascii="Arial" w:eastAsia="Calibri" w:hAnsi="Arial" w:cs="Arial"/>
                <w:b/>
                <w:bCs/>
                <w:sz w:val="20"/>
                <w:szCs w:val="20"/>
                <w:lang w:eastAsia="zh-CN"/>
              </w:rPr>
            </w:pPr>
            <w:r w:rsidRPr="009E6049">
              <w:rPr>
                <w:rFonts w:ascii="Arial" w:eastAsia="Calibri" w:hAnsi="Arial" w:cs="Arial"/>
                <w:b/>
                <w:bCs/>
                <w:sz w:val="20"/>
                <w:szCs w:val="20"/>
                <w:lang w:eastAsia="zh-CN"/>
              </w:rPr>
              <w:t>% Survival pulp cells</w:t>
            </w:r>
          </w:p>
        </w:tc>
        <w:tc>
          <w:tcPr>
            <w:tcW w:w="2797"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tcPr>
          <w:p w:rsidR="00F860A9" w:rsidRPr="009E6049" w:rsidRDefault="00F860A9" w:rsidP="00F860A9">
            <w:pPr>
              <w:keepNext/>
              <w:keepLines/>
              <w:suppressAutoHyphens/>
              <w:autoSpaceDN w:val="0"/>
              <w:spacing w:before="240" w:after="240" w:line="240" w:lineRule="auto"/>
              <w:ind w:left="108"/>
              <w:jc w:val="center"/>
              <w:textAlignment w:val="baseline"/>
              <w:rPr>
                <w:rFonts w:ascii="Arial" w:eastAsia="Calibri" w:hAnsi="Arial" w:cs="Arial"/>
                <w:b/>
                <w:bCs/>
                <w:sz w:val="20"/>
                <w:szCs w:val="20"/>
                <w:lang w:eastAsia="zh-CN"/>
              </w:rPr>
            </w:pPr>
            <w:r w:rsidRPr="009E6049">
              <w:rPr>
                <w:rFonts w:ascii="Arial" w:eastAsia="Calibri" w:hAnsi="Arial" w:cs="Arial"/>
                <w:b/>
                <w:bCs/>
                <w:sz w:val="20"/>
                <w:szCs w:val="20"/>
                <w:lang w:eastAsia="zh-CN"/>
              </w:rPr>
              <w:t>SE</w:t>
            </w:r>
          </w:p>
        </w:tc>
      </w:tr>
      <w:tr w:rsidR="00F860A9" w:rsidRPr="009E6049" w:rsidTr="009E6049">
        <w:trPr>
          <w:trHeight w:val="710"/>
        </w:trPr>
        <w:tc>
          <w:tcPr>
            <w:tcW w:w="2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Control</w:t>
            </w:r>
          </w:p>
        </w:tc>
        <w:tc>
          <w:tcPr>
            <w:tcW w:w="279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86%</w:t>
            </w:r>
          </w:p>
        </w:tc>
        <w:tc>
          <w:tcPr>
            <w:tcW w:w="279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3.76</w:t>
            </w:r>
          </w:p>
        </w:tc>
      </w:tr>
      <w:tr w:rsidR="00F860A9" w:rsidRPr="009E6049" w:rsidTr="009E6049">
        <w:trPr>
          <w:trHeight w:val="710"/>
        </w:trPr>
        <w:tc>
          <w:tcPr>
            <w:tcW w:w="2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Metronidazol</w:t>
            </w:r>
          </w:p>
        </w:tc>
        <w:tc>
          <w:tcPr>
            <w:tcW w:w="279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64.50%</w:t>
            </w:r>
          </w:p>
        </w:tc>
        <w:tc>
          <w:tcPr>
            <w:tcW w:w="279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3.2</w:t>
            </w:r>
          </w:p>
        </w:tc>
      </w:tr>
      <w:tr w:rsidR="00F860A9" w:rsidRPr="009E6049" w:rsidTr="009E6049">
        <w:trPr>
          <w:trHeight w:val="710"/>
        </w:trPr>
        <w:tc>
          <w:tcPr>
            <w:tcW w:w="2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Ciprofloxacin</w:t>
            </w:r>
          </w:p>
        </w:tc>
        <w:tc>
          <w:tcPr>
            <w:tcW w:w="279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55.40%</w:t>
            </w:r>
          </w:p>
        </w:tc>
        <w:tc>
          <w:tcPr>
            <w:tcW w:w="279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4.6</w:t>
            </w:r>
          </w:p>
        </w:tc>
      </w:tr>
      <w:tr w:rsidR="00F860A9" w:rsidRPr="009E6049" w:rsidTr="009E6049">
        <w:trPr>
          <w:trHeight w:val="710"/>
        </w:trPr>
        <w:tc>
          <w:tcPr>
            <w:tcW w:w="2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Minocycline</w:t>
            </w:r>
          </w:p>
        </w:tc>
        <w:tc>
          <w:tcPr>
            <w:tcW w:w="279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72.80%</w:t>
            </w:r>
          </w:p>
        </w:tc>
        <w:tc>
          <w:tcPr>
            <w:tcW w:w="279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3.25</w:t>
            </w:r>
          </w:p>
        </w:tc>
      </w:tr>
      <w:tr w:rsidR="00F860A9" w:rsidRPr="009E6049" w:rsidTr="009E6049">
        <w:trPr>
          <w:trHeight w:val="710"/>
        </w:trPr>
        <w:tc>
          <w:tcPr>
            <w:tcW w:w="2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MET+CIP</w:t>
            </w:r>
          </w:p>
        </w:tc>
        <w:tc>
          <w:tcPr>
            <w:tcW w:w="279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82.20%</w:t>
            </w:r>
          </w:p>
        </w:tc>
        <w:tc>
          <w:tcPr>
            <w:tcW w:w="279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1.84</w:t>
            </w:r>
          </w:p>
        </w:tc>
      </w:tr>
      <w:tr w:rsidR="00F860A9" w:rsidRPr="009E6049" w:rsidTr="009E6049">
        <w:trPr>
          <w:trHeight w:val="710"/>
        </w:trPr>
        <w:tc>
          <w:tcPr>
            <w:tcW w:w="2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MET+CIP+MINO</w:t>
            </w:r>
          </w:p>
        </w:tc>
        <w:tc>
          <w:tcPr>
            <w:tcW w:w="279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85.30%</w:t>
            </w:r>
          </w:p>
        </w:tc>
        <w:tc>
          <w:tcPr>
            <w:tcW w:w="279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noWrap/>
            <w:tcMar>
              <w:top w:w="0" w:type="dxa"/>
              <w:left w:w="108" w:type="dxa"/>
              <w:bottom w:w="0" w:type="dxa"/>
              <w:right w:w="108" w:type="dxa"/>
            </w:tcMar>
            <w:vAlign w:val="center"/>
          </w:tcPr>
          <w:p w:rsidR="00F860A9" w:rsidRPr="009E6049" w:rsidRDefault="00F860A9" w:rsidP="00F860A9">
            <w:pPr>
              <w:suppressAutoHyphens/>
              <w:autoSpaceDN w:val="0"/>
              <w:spacing w:after="0" w:line="240" w:lineRule="auto"/>
              <w:jc w:val="center"/>
              <w:textAlignment w:val="baseline"/>
              <w:rPr>
                <w:rFonts w:ascii="Arial" w:eastAsia="Times New Roman" w:hAnsi="Arial" w:cs="Arial"/>
                <w:b/>
                <w:color w:val="000000"/>
                <w:sz w:val="20"/>
                <w:szCs w:val="20"/>
                <w:lang w:eastAsia="en-GB"/>
              </w:rPr>
            </w:pPr>
            <w:r w:rsidRPr="009E6049">
              <w:rPr>
                <w:rFonts w:ascii="Arial" w:eastAsia="Times New Roman" w:hAnsi="Arial" w:cs="Arial"/>
                <w:b/>
                <w:color w:val="000000"/>
                <w:sz w:val="20"/>
                <w:szCs w:val="20"/>
                <w:lang w:eastAsia="en-GB"/>
              </w:rPr>
              <w:t>1.77</w:t>
            </w:r>
          </w:p>
        </w:tc>
      </w:tr>
    </w:tbl>
    <w:p w:rsidR="002A5F7C" w:rsidRPr="002A5F7C" w:rsidRDefault="002A5F7C" w:rsidP="002A5F7C">
      <w:pPr>
        <w:suppressAutoHyphens/>
        <w:autoSpaceDN w:val="0"/>
        <w:spacing w:line="360" w:lineRule="auto"/>
        <w:jc w:val="both"/>
        <w:textAlignment w:val="baseline"/>
        <w:rPr>
          <w:rFonts w:ascii="Arial" w:eastAsia="Calibri" w:hAnsi="Arial"/>
        </w:rPr>
      </w:pPr>
    </w:p>
    <w:p w:rsidR="002A5F7C" w:rsidRPr="002A5F7C" w:rsidRDefault="008E1FF4" w:rsidP="002A5F7C">
      <w:pPr>
        <w:suppressAutoHyphens/>
        <w:autoSpaceDN w:val="0"/>
        <w:spacing w:line="360" w:lineRule="auto"/>
        <w:jc w:val="both"/>
        <w:textAlignment w:val="baseline"/>
        <w:rPr>
          <w:rFonts w:ascii="Arial" w:eastAsia="Times New Roman" w:hAnsi="Arial" w:cs="Arial"/>
          <w:szCs w:val="24"/>
          <w:lang w:eastAsia="zh-CN"/>
        </w:rPr>
      </w:pPr>
      <w:r w:rsidRPr="002A5F7C">
        <w:rPr>
          <w:rFonts w:ascii="Arial" w:eastAsia="SimSun" w:hAnsi="Arial" w:cs="Arial"/>
          <w:noProof/>
          <w:szCs w:val="24"/>
          <w:lang w:eastAsia="en-GB"/>
        </w:rPr>
        <w:drawing>
          <wp:anchor distT="0" distB="0" distL="114300" distR="114300" simplePos="0" relativeHeight="251809792" behindDoc="0" locked="0" layoutInCell="1" allowOverlap="1" wp14:anchorId="5518538E" wp14:editId="214A43DB">
            <wp:simplePos x="0" y="0"/>
            <wp:positionH relativeFrom="column">
              <wp:posOffset>328930</wp:posOffset>
            </wp:positionH>
            <wp:positionV relativeFrom="paragraph">
              <wp:posOffset>1159510</wp:posOffset>
            </wp:positionV>
            <wp:extent cx="4679950" cy="2758440"/>
            <wp:effectExtent l="0" t="0" r="0" b="3810"/>
            <wp:wrapSquare wrapText="bothSides"/>
            <wp:docPr id="304"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r w:rsidR="00F860A9">
        <w:rPr>
          <w:noProof/>
          <w:lang w:eastAsia="en-GB"/>
        </w:rPr>
        <mc:AlternateContent>
          <mc:Choice Requires="wps">
            <w:drawing>
              <wp:anchor distT="0" distB="0" distL="114300" distR="114300" simplePos="0" relativeHeight="251817984" behindDoc="0" locked="0" layoutInCell="1" allowOverlap="1" wp14:anchorId="3919F729" wp14:editId="342BA820">
                <wp:simplePos x="0" y="0"/>
                <wp:positionH relativeFrom="column">
                  <wp:posOffset>73660</wp:posOffset>
                </wp:positionH>
                <wp:positionV relativeFrom="paragraph">
                  <wp:posOffset>318135</wp:posOffset>
                </wp:positionV>
                <wp:extent cx="4981575" cy="457200"/>
                <wp:effectExtent l="0" t="0" r="9525" b="0"/>
                <wp:wrapSquare wrapText="bothSides"/>
                <wp:docPr id="308" name="Text Box 308"/>
                <wp:cNvGraphicFramePr/>
                <a:graphic xmlns:a="http://schemas.openxmlformats.org/drawingml/2006/main">
                  <a:graphicData uri="http://schemas.microsoft.com/office/word/2010/wordprocessingShape">
                    <wps:wsp>
                      <wps:cNvSpPr txBox="1"/>
                      <wps:spPr>
                        <a:xfrm>
                          <a:off x="0" y="0"/>
                          <a:ext cx="4981575" cy="457200"/>
                        </a:xfrm>
                        <a:prstGeom prst="rect">
                          <a:avLst/>
                        </a:prstGeom>
                        <a:solidFill>
                          <a:prstClr val="white"/>
                        </a:solidFill>
                        <a:ln>
                          <a:noFill/>
                        </a:ln>
                        <a:effectLst/>
                      </wps:spPr>
                      <wps:txbx>
                        <w:txbxContent>
                          <w:p w:rsidR="003208E6" w:rsidRPr="00F860A9" w:rsidRDefault="003208E6" w:rsidP="008218E8">
                            <w:pPr>
                              <w:rPr>
                                <w:rFonts w:eastAsia="SimSun" w:cstheme="minorBidi"/>
                                <w:b/>
                                <w:bCs/>
                                <w:sz w:val="20"/>
                                <w:szCs w:val="20"/>
                              </w:rPr>
                            </w:pPr>
                            <w:bookmarkStart w:id="744" w:name="_Ref361135589"/>
                            <w:bookmarkStart w:id="745" w:name="_Toc361733645"/>
                            <w:bookmarkStart w:id="746" w:name="_Toc361734288"/>
                            <w:r w:rsidRPr="00F860A9">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12</w:t>
                            </w:r>
                            <w:r>
                              <w:rPr>
                                <w:rFonts w:cstheme="minorBidi"/>
                                <w:b/>
                                <w:bCs/>
                                <w:sz w:val="20"/>
                                <w:szCs w:val="20"/>
                              </w:rPr>
                              <w:fldChar w:fldCharType="end"/>
                            </w:r>
                            <w:bookmarkEnd w:id="744"/>
                            <w:r w:rsidRPr="00F860A9">
                              <w:rPr>
                                <w:rFonts w:cstheme="minorBidi"/>
                                <w:b/>
                                <w:bCs/>
                                <w:sz w:val="20"/>
                                <w:szCs w:val="20"/>
                              </w:rPr>
                              <w:t xml:space="preserve"> Showed the percentage survival </w:t>
                            </w:r>
                            <w:r>
                              <w:rPr>
                                <w:rFonts w:cstheme="minorBidi"/>
                                <w:b/>
                                <w:bCs/>
                                <w:sz w:val="20"/>
                                <w:szCs w:val="20"/>
                              </w:rPr>
                              <w:t xml:space="preserve">of </w:t>
                            </w:r>
                            <w:r w:rsidRPr="00F860A9">
                              <w:rPr>
                                <w:rFonts w:cstheme="minorBidi"/>
                                <w:b/>
                                <w:bCs/>
                                <w:sz w:val="20"/>
                                <w:szCs w:val="20"/>
                              </w:rPr>
                              <w:t xml:space="preserve">pulp cells after 24 hours incubated with antibiotics assessed by </w:t>
                            </w:r>
                            <w:r w:rsidRPr="00F860A9">
                              <w:rPr>
                                <w:rFonts w:cstheme="minorBidi"/>
                                <w:b/>
                                <w:bCs/>
                                <w:sz w:val="20"/>
                                <w:szCs w:val="20"/>
                                <w:lang w:eastAsia="en-GB"/>
                              </w:rPr>
                              <w:t>flow cytomitry</w:t>
                            </w:r>
                            <w:r>
                              <w:rPr>
                                <w:rFonts w:cstheme="minorBidi"/>
                                <w:b/>
                                <w:bCs/>
                                <w:sz w:val="20"/>
                                <w:szCs w:val="20"/>
                                <w:lang w:eastAsia="en-GB"/>
                              </w:rPr>
                              <w:t>.</w:t>
                            </w:r>
                            <w:bookmarkEnd w:id="745"/>
                            <w:bookmarkEnd w:id="7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8" o:spid="_x0000_s1059" type="#_x0000_t202" style="position:absolute;left:0;text-align:left;margin-left:5.8pt;margin-top:25.05pt;width:392.25pt;height:36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" stroked="f">
                <v:textbox inset="0,0,0,0">
                  <w:txbxContent>
                    <w:p w:rsidR="003208E6" w:rsidRPr="00F860A9" w:rsidRDefault="003208E6" w:rsidP="008218E8">
                      <w:pPr>
                        <w:rPr>
                          <w:rFonts w:eastAsia="SimSun" w:cstheme="minorBidi"/>
                          <w:b/>
                          <w:bCs/>
                          <w:sz w:val="20"/>
                          <w:szCs w:val="20"/>
                        </w:rPr>
                      </w:pPr>
                      <w:bookmarkStart w:id="830" w:name="_Ref361135589"/>
                      <w:bookmarkStart w:id="831" w:name="_Toc361733645"/>
                      <w:bookmarkStart w:id="832" w:name="_Toc361734288"/>
                      <w:r w:rsidRPr="00F860A9">
                        <w:rPr>
                          <w:rFonts w:cstheme="minorBidi"/>
                          <w:b/>
                          <w:bCs/>
                          <w:sz w:val="20"/>
                          <w:szCs w:val="20"/>
                        </w:rPr>
                        <w:t xml:space="preserve">Figure </w:t>
                      </w:r>
                      <w:r>
                        <w:rPr>
                          <w:rFonts w:cstheme="minorBidi"/>
                          <w:b/>
                          <w:bCs/>
                          <w:sz w:val="20"/>
                          <w:szCs w:val="20"/>
                        </w:rPr>
                        <w:fldChar w:fldCharType="begin"/>
                      </w:r>
                      <w:r>
                        <w:rPr>
                          <w:rFonts w:cstheme="minorBidi"/>
                          <w:b/>
                          <w:bCs/>
                          <w:sz w:val="20"/>
                          <w:szCs w:val="20"/>
                        </w:rPr>
                        <w:instrText xml:space="preserve"> STYLEREF 1 \s </w:instrText>
                      </w:r>
                      <w:r>
                        <w:rPr>
                          <w:rFonts w:cstheme="minorBidi"/>
                          <w:b/>
                          <w:bCs/>
                          <w:sz w:val="20"/>
                          <w:szCs w:val="20"/>
                        </w:rPr>
                        <w:fldChar w:fldCharType="separate"/>
                      </w:r>
                      <w:r>
                        <w:rPr>
                          <w:rFonts w:cstheme="minorBidi"/>
                          <w:b/>
                          <w:bCs/>
                          <w:noProof/>
                          <w:sz w:val="20"/>
                          <w:szCs w:val="20"/>
                          <w:cs/>
                        </w:rPr>
                        <w:t>‎</w:t>
                      </w:r>
                      <w:r>
                        <w:rPr>
                          <w:rFonts w:cstheme="minorBidi"/>
                          <w:b/>
                          <w:bCs/>
                          <w:noProof/>
                          <w:sz w:val="20"/>
                          <w:szCs w:val="20"/>
                        </w:rPr>
                        <w:t>4</w:t>
                      </w:r>
                      <w:r>
                        <w:rPr>
                          <w:rFonts w:cstheme="minorBidi"/>
                          <w:b/>
                          <w:bCs/>
                          <w:sz w:val="20"/>
                          <w:szCs w:val="20"/>
                        </w:rPr>
                        <w:fldChar w:fldCharType="end"/>
                      </w:r>
                      <w:r>
                        <w:rPr>
                          <w:rFonts w:cstheme="minorBidi"/>
                          <w:b/>
                          <w:bCs/>
                          <w:sz w:val="20"/>
                          <w:szCs w:val="20"/>
                        </w:rPr>
                        <w:t>.</w:t>
                      </w:r>
                      <w:r>
                        <w:rPr>
                          <w:rFonts w:cstheme="minorBidi"/>
                          <w:b/>
                          <w:bCs/>
                          <w:sz w:val="20"/>
                          <w:szCs w:val="20"/>
                        </w:rPr>
                        <w:fldChar w:fldCharType="begin"/>
                      </w:r>
                      <w:r>
                        <w:rPr>
                          <w:rFonts w:cstheme="minorBidi"/>
                          <w:b/>
                          <w:bCs/>
                          <w:sz w:val="20"/>
                          <w:szCs w:val="20"/>
                        </w:rPr>
                        <w:instrText xml:space="preserve"> SEQ Figure \* ARABIC \s 1 </w:instrText>
                      </w:r>
                      <w:r>
                        <w:rPr>
                          <w:rFonts w:cstheme="minorBidi"/>
                          <w:b/>
                          <w:bCs/>
                          <w:sz w:val="20"/>
                          <w:szCs w:val="20"/>
                        </w:rPr>
                        <w:fldChar w:fldCharType="separate"/>
                      </w:r>
                      <w:r>
                        <w:rPr>
                          <w:rFonts w:cstheme="minorBidi"/>
                          <w:b/>
                          <w:bCs/>
                          <w:noProof/>
                          <w:sz w:val="20"/>
                          <w:szCs w:val="20"/>
                        </w:rPr>
                        <w:t>12</w:t>
                      </w:r>
                      <w:r>
                        <w:rPr>
                          <w:rFonts w:cstheme="minorBidi"/>
                          <w:b/>
                          <w:bCs/>
                          <w:sz w:val="20"/>
                          <w:szCs w:val="20"/>
                        </w:rPr>
                        <w:fldChar w:fldCharType="end"/>
                      </w:r>
                      <w:bookmarkEnd w:id="830"/>
                      <w:r w:rsidRPr="00F860A9">
                        <w:rPr>
                          <w:rFonts w:cstheme="minorBidi"/>
                          <w:b/>
                          <w:bCs/>
                          <w:sz w:val="20"/>
                          <w:szCs w:val="20"/>
                        </w:rPr>
                        <w:t xml:space="preserve"> Showed the percentage survival </w:t>
                      </w:r>
                      <w:r>
                        <w:rPr>
                          <w:rFonts w:cstheme="minorBidi"/>
                          <w:b/>
                          <w:bCs/>
                          <w:sz w:val="20"/>
                          <w:szCs w:val="20"/>
                        </w:rPr>
                        <w:t xml:space="preserve">of </w:t>
                      </w:r>
                      <w:r w:rsidRPr="00F860A9">
                        <w:rPr>
                          <w:rFonts w:cstheme="minorBidi"/>
                          <w:b/>
                          <w:bCs/>
                          <w:sz w:val="20"/>
                          <w:szCs w:val="20"/>
                        </w:rPr>
                        <w:t xml:space="preserve">pulp cells after 24 hours incubated with antibiotics assessed by </w:t>
                      </w:r>
                      <w:r w:rsidRPr="00F860A9">
                        <w:rPr>
                          <w:rFonts w:cstheme="minorBidi"/>
                          <w:b/>
                          <w:bCs/>
                          <w:sz w:val="20"/>
                          <w:szCs w:val="20"/>
                          <w:lang w:eastAsia="en-GB"/>
                        </w:rPr>
                        <w:t>flow cytomitry</w:t>
                      </w:r>
                      <w:r>
                        <w:rPr>
                          <w:rFonts w:cstheme="minorBidi"/>
                          <w:b/>
                          <w:bCs/>
                          <w:sz w:val="20"/>
                          <w:szCs w:val="20"/>
                          <w:lang w:eastAsia="en-GB"/>
                        </w:rPr>
                        <w:t>.</w:t>
                      </w:r>
                      <w:bookmarkEnd w:id="831"/>
                      <w:bookmarkEnd w:id="832"/>
                    </w:p>
                  </w:txbxContent>
                </v:textbox>
                <w10:wrap type="square"/>
              </v:shape>
            </w:pict>
          </mc:Fallback>
        </mc:AlternateContent>
      </w:r>
    </w:p>
    <w:p w:rsidR="002A5F7C" w:rsidRPr="002A5F7C" w:rsidRDefault="002A5F7C" w:rsidP="002A5F7C">
      <w:pPr>
        <w:suppressAutoHyphens/>
        <w:autoSpaceDN w:val="0"/>
        <w:spacing w:line="360" w:lineRule="auto"/>
        <w:jc w:val="both"/>
        <w:textAlignment w:val="baseline"/>
        <w:rPr>
          <w:rFonts w:ascii="Arial" w:eastAsia="Times New Roman" w:hAnsi="Arial" w:cs="Arial"/>
          <w:szCs w:val="24"/>
          <w:lang w:eastAsia="zh-CN"/>
        </w:rPr>
      </w:pPr>
    </w:p>
    <w:p w:rsidR="002A5F7C" w:rsidRPr="002A5F7C" w:rsidRDefault="002A5F7C" w:rsidP="002A5F7C">
      <w:pPr>
        <w:pageBreakBefore/>
        <w:suppressAutoHyphens/>
        <w:autoSpaceDN w:val="0"/>
        <w:textAlignment w:val="baseline"/>
        <w:rPr>
          <w:rFonts w:ascii="Arial" w:eastAsia="Calibri" w:hAnsi="Arial"/>
        </w:rPr>
      </w:pPr>
    </w:p>
    <w:p w:rsidR="002A5F7C" w:rsidRPr="002A5F7C" w:rsidRDefault="002A5F7C" w:rsidP="002B54A2">
      <w:pPr>
        <w:pStyle w:val="Heading2"/>
        <w:rPr>
          <w:lang w:val="en-US"/>
        </w:rPr>
      </w:pPr>
      <w:bookmarkStart w:id="747" w:name="_Toc370819338"/>
      <w:r w:rsidRPr="002A5F7C">
        <w:rPr>
          <w:lang w:val="en-US"/>
        </w:rPr>
        <w:t>Discussion</w:t>
      </w:r>
      <w:bookmarkEnd w:id="747"/>
    </w:p>
    <w:p w:rsidR="00035384" w:rsidRDefault="00035384" w:rsidP="008218E8">
      <w:pPr>
        <w:spacing w:line="480" w:lineRule="auto"/>
        <w:jc w:val="both"/>
      </w:pPr>
      <w:r>
        <w:t xml:space="preserve">Irreversible damage to immature permanent teeth as a result of noxious infection or local trauma before normal physiological closure of the apical structure represents a real clinical challenge. In trauma or infection, root canal development is interrupted and natural apical closure does not take place, </w:t>
      </w:r>
      <w:r w:rsidR="00B41D73">
        <w:t>this presents</w:t>
      </w:r>
      <w:r>
        <w:t xml:space="preserve"> further difficulties for performing conventional endodontic treatment successfully.</w:t>
      </w:r>
    </w:p>
    <w:p w:rsidR="00035384" w:rsidRDefault="00035384" w:rsidP="00035384">
      <w:pPr>
        <w:spacing w:line="480" w:lineRule="auto"/>
        <w:jc w:val="both"/>
      </w:pPr>
      <w:r>
        <w:t xml:space="preserve">In this situation, the standard therapeutic approach has been to consider the use of synthetic biocompatible materials, such as calcium hydroxide (Rafter, 2005) and substituted recently by mineral trioxide aggregate (MTA) (Shabahang and Torabinejad, 2000) to induce apical closure by forming a hard tissue barrier across the root apex. None of these biomaterials however are suitable for resolving clinical dilemmas. One of the major risks facing immature teeth with interrupted root development is weakened fracture resistance of the dentine walls (Twati </w:t>
      </w:r>
      <w:r>
        <w:rPr>
          <w:i/>
          <w:iCs/>
        </w:rPr>
        <w:t>et al</w:t>
      </w:r>
      <w:r>
        <w:t>., 2009) and this finding was supported by the results in chapter 2.</w:t>
      </w:r>
      <w:r>
        <w:rPr>
          <w:rFonts w:eastAsia="Times New Roman" w:cs="Arial"/>
          <w:szCs w:val="24"/>
          <w:lang w:eastAsia="zh-CN"/>
        </w:rPr>
        <w:t xml:space="preserve"> </w:t>
      </w:r>
    </w:p>
    <w:p w:rsidR="00035384" w:rsidRDefault="00035384" w:rsidP="00035384">
      <w:pPr>
        <w:spacing w:line="480" w:lineRule="auto"/>
        <w:jc w:val="both"/>
      </w:pPr>
      <w:r>
        <w:t xml:space="preserve">Recently, a biologically based treatment called regenerative endodontic treatment was introduced (Hargreaves and Law, 2011). </w:t>
      </w:r>
      <w:r>
        <w:rPr>
          <w:color w:val="000000"/>
        </w:rPr>
        <w:t>This approach is based on the presence of stem cells in the apical papilla that are resistant to infection and necrosis</w:t>
      </w:r>
      <w:r>
        <w:t xml:space="preserve"> (Huang </w:t>
      </w:r>
      <w:r>
        <w:rPr>
          <w:i/>
          <w:iCs/>
        </w:rPr>
        <w:t>et al.,</w:t>
      </w:r>
      <w:r>
        <w:t xml:space="preserve"> 2008).</w:t>
      </w:r>
      <w:r>
        <w:rPr>
          <w:color w:val="000000"/>
        </w:rPr>
        <w:t xml:space="preserve"> In this treatment, the ideal goal is to</w:t>
      </w:r>
      <w:r>
        <w:t xml:space="preserve"> </w:t>
      </w:r>
      <w:r>
        <w:rPr>
          <w:color w:val="000000"/>
        </w:rPr>
        <w:t>prepare an appropriate environment inside the root canal space (i.e. absence of</w:t>
      </w:r>
      <w:r>
        <w:t xml:space="preserve"> </w:t>
      </w:r>
      <w:r>
        <w:rPr>
          <w:color w:val="000000"/>
        </w:rPr>
        <w:t>bacteria and necrotic pulp tissue, presence of a scaffold and a tight coronal seal)</w:t>
      </w:r>
      <w:r>
        <w:t xml:space="preserve"> </w:t>
      </w:r>
      <w:r>
        <w:rPr>
          <w:color w:val="000000"/>
        </w:rPr>
        <w:t xml:space="preserve">that promotes repopulation of these stem cells, </w:t>
      </w:r>
      <w:r>
        <w:rPr>
          <w:color w:val="000000"/>
        </w:rPr>
        <w:lastRenderedPageBreak/>
        <w:t>regeneration of pulp tissue, and</w:t>
      </w:r>
      <w:r>
        <w:t xml:space="preserve"> </w:t>
      </w:r>
      <w:r>
        <w:rPr>
          <w:color w:val="000000"/>
        </w:rPr>
        <w:t>continuation of root development (</w:t>
      </w:r>
      <w:r>
        <w:t xml:space="preserve">Hargreaves </w:t>
      </w:r>
      <w:r>
        <w:rPr>
          <w:i/>
          <w:iCs/>
        </w:rPr>
        <w:t>et al.,</w:t>
      </w:r>
      <w:r w:rsidR="008E1FF4">
        <w:t xml:space="preserve"> 2008).</w:t>
      </w:r>
    </w:p>
    <w:p w:rsidR="00035384" w:rsidRDefault="00035384" w:rsidP="00035384">
      <w:pPr>
        <w:spacing w:line="480" w:lineRule="auto"/>
        <w:jc w:val="both"/>
      </w:pPr>
      <w:r>
        <w:rPr>
          <w:color w:val="000000"/>
        </w:rPr>
        <w:t>The treatment procedure begins with chemical</w:t>
      </w:r>
      <w:r>
        <w:t xml:space="preserve"> </w:t>
      </w:r>
      <w:r>
        <w:rPr>
          <w:color w:val="000000"/>
        </w:rPr>
        <w:t xml:space="preserve">disinfection by irrigation of the root canal space with sodium hypochlorite </w:t>
      </w:r>
      <w:r>
        <w:rPr>
          <w:color w:val="000066"/>
        </w:rPr>
        <w:t>(</w:t>
      </w:r>
      <w:r>
        <w:t>Thibodeau and Trope, 2007</w:t>
      </w:r>
      <w:r>
        <w:rPr>
          <w:color w:val="000066"/>
        </w:rPr>
        <w:t>)</w:t>
      </w:r>
      <w:r>
        <w:rPr>
          <w:color w:val="000000"/>
        </w:rPr>
        <w:t>, followed by antibiotic medicaments like triple</w:t>
      </w:r>
      <w:r>
        <w:t xml:space="preserve"> </w:t>
      </w:r>
      <w:r>
        <w:rPr>
          <w:color w:val="000000"/>
        </w:rPr>
        <w:t>antibiotic mixture (metronidazole, ciprofloxacin, and minocycline) (Banches and Trope, 2004).</w:t>
      </w:r>
    </w:p>
    <w:p w:rsidR="00035384" w:rsidRDefault="00035384" w:rsidP="00035384">
      <w:pPr>
        <w:spacing w:line="480" w:lineRule="auto"/>
        <w:jc w:val="both"/>
      </w:pPr>
      <w:r>
        <w:rPr>
          <w:color w:val="000000"/>
        </w:rPr>
        <w:t xml:space="preserve"> </w:t>
      </w:r>
      <w:r>
        <w:t xml:space="preserve">A recent study by Trevino </w:t>
      </w:r>
      <w:r>
        <w:rPr>
          <w:i/>
          <w:iCs/>
        </w:rPr>
        <w:t xml:space="preserve">et al., </w:t>
      </w:r>
      <w:r>
        <w:t>2011, showed that NaOCl (a commonly used irrigant)</w:t>
      </w:r>
      <w:r>
        <w:rPr>
          <w:rFonts w:ascii="Helvetica" w:hAnsi="Helvetica" w:cs="Helvetica"/>
          <w:color w:val="333333"/>
          <w:sz w:val="18"/>
          <w:szCs w:val="18"/>
        </w:rPr>
        <w:t xml:space="preserve"> </w:t>
      </w:r>
      <w:r>
        <w:t>at different concentrations had the potential to affect stem cell survival. This highlights the need to evaluate the effects of each chemical material used for regenerative endodontic treatment, such as the effect of antibiotic mixtures on cell survival.</w:t>
      </w:r>
    </w:p>
    <w:p w:rsidR="002A5F7C" w:rsidRPr="002A5F7C" w:rsidRDefault="002A5F7C" w:rsidP="00035384">
      <w:pPr>
        <w:pStyle w:val="Heading3"/>
        <w:spacing w:line="480" w:lineRule="auto"/>
      </w:pPr>
      <w:bookmarkStart w:id="748" w:name="_Toc370819339"/>
      <w:r w:rsidRPr="002A5F7C">
        <w:t>Human dental pulp cells source</w:t>
      </w:r>
      <w:bookmarkEnd w:id="748"/>
      <w:r w:rsidRPr="002A5F7C">
        <w:t xml:space="preserve">  </w:t>
      </w:r>
    </w:p>
    <w:p w:rsidR="00035384" w:rsidRDefault="00035384" w:rsidP="00035384">
      <w:pPr>
        <w:autoSpaceDE w:val="0"/>
        <w:spacing w:line="480" w:lineRule="auto"/>
        <w:jc w:val="both"/>
      </w:pPr>
      <w:r>
        <w:rPr>
          <w:color w:val="000000"/>
        </w:rPr>
        <w:t xml:space="preserve">Dental pulp plays an important role in tooth homeostasis </w:t>
      </w:r>
      <w:r>
        <w:t xml:space="preserve">(Pashley </w:t>
      </w:r>
      <w:r>
        <w:rPr>
          <w:i/>
        </w:rPr>
        <w:t>et al.,</w:t>
      </w:r>
      <w:r>
        <w:t xml:space="preserve"> 2006). </w:t>
      </w:r>
      <w:r>
        <w:rPr>
          <w:color w:val="000000"/>
        </w:rPr>
        <w:t xml:space="preserve">Various types of cells can be found inside the pulp (e.g. odontoblasts, fibroblasts, stem cells, immune cells, and endothelial cells). The apical papilla tissues played an important role during root formation. This tissue has a high collateral circulation and consists of various cells types (e.g. fibroblasts, immune cells, endothelial cells, and stem cells). These cells play a part in tooth development and pulpal infection control including the self-repairing process </w:t>
      </w:r>
      <w:r>
        <w:t>(</w:t>
      </w:r>
      <w:r>
        <w:rPr>
          <w:color w:val="000000"/>
        </w:rPr>
        <w:t xml:space="preserve">Chuensombat </w:t>
      </w:r>
      <w:r>
        <w:rPr>
          <w:i/>
          <w:color w:val="000000"/>
        </w:rPr>
        <w:t>et al.,</w:t>
      </w:r>
      <w:r>
        <w:rPr>
          <w:color w:val="000000"/>
        </w:rPr>
        <w:t xml:space="preserve"> 2013).</w:t>
      </w:r>
    </w:p>
    <w:p w:rsidR="00035384" w:rsidRDefault="00035384" w:rsidP="00035384">
      <w:pPr>
        <w:spacing w:line="480" w:lineRule="auto"/>
        <w:jc w:val="both"/>
      </w:pPr>
      <w:r>
        <w:t xml:space="preserve">The pulp cells in this study were obtained from wisdom teeth which are the preferred source for HDPSCs, possibly related to the fact that being the last teeth to develop, their cells retain maximum pluripotency and proliferative potential (Couble </w:t>
      </w:r>
      <w:r>
        <w:rPr>
          <w:rFonts w:eastAsia="SimSun"/>
          <w:i/>
          <w:iCs/>
          <w:lang w:eastAsia="zh-CN"/>
        </w:rPr>
        <w:t>et al.,</w:t>
      </w:r>
      <w:r>
        <w:rPr>
          <w:rFonts w:eastAsia="SimSun"/>
          <w:lang w:eastAsia="zh-CN"/>
        </w:rPr>
        <w:t xml:space="preserve"> </w:t>
      </w:r>
      <w:r>
        <w:t>2000).</w:t>
      </w:r>
    </w:p>
    <w:p w:rsidR="00C07655" w:rsidRDefault="00035384" w:rsidP="00035384">
      <w:pPr>
        <w:spacing w:line="480" w:lineRule="auto"/>
        <w:jc w:val="both"/>
      </w:pPr>
      <w:r w:rsidRPr="00667DA6">
        <w:lastRenderedPageBreak/>
        <w:t>Complete elimination of necrotic pulp that might weaken the bacteria as it will lose the main nutrient reservoir inside the canal which helps in root canal disinfection. However</w:t>
      </w:r>
      <w:r>
        <w:t xml:space="preserve"> a study recommended not extirpating the root canal pulp, as it could have some live stem cells which increase the chance of achieving regenerative processes (Chueh and Huang, 2006). This could be achieved using minimum instrumentation in the root canal to reduce the chance of odontoblast injury. </w:t>
      </w:r>
    </w:p>
    <w:p w:rsidR="00C07655" w:rsidRDefault="00C07655">
      <w:r>
        <w:br w:type="page"/>
      </w:r>
    </w:p>
    <w:p w:rsidR="00C07655" w:rsidRDefault="00C07655" w:rsidP="00C07655">
      <w:pPr>
        <w:pStyle w:val="Heading3"/>
        <w:spacing w:line="480" w:lineRule="auto"/>
        <w:rPr>
          <w:rFonts w:ascii="Arial" w:eastAsia="Calibri" w:hAnsi="Arial"/>
          <w:shd w:val="clear" w:color="auto" w:fill="FFFF00"/>
        </w:rPr>
      </w:pPr>
      <w:bookmarkStart w:id="749" w:name="_Toc370819340"/>
      <w:r>
        <w:lastRenderedPageBreak/>
        <w:t>Investigation methods:</w:t>
      </w:r>
      <w:bookmarkEnd w:id="749"/>
    </w:p>
    <w:p w:rsidR="008E1FF4" w:rsidRPr="008E1FF4" w:rsidRDefault="008E1FF4" w:rsidP="008E1FF4">
      <w:pPr>
        <w:suppressAutoHyphens/>
        <w:autoSpaceDN w:val="0"/>
        <w:spacing w:line="480" w:lineRule="auto"/>
        <w:jc w:val="both"/>
        <w:textAlignment w:val="baseline"/>
        <w:rPr>
          <w:rFonts w:eastAsia="Calibri" w:cstheme="minorBidi"/>
        </w:rPr>
      </w:pPr>
      <w:r w:rsidRPr="008E1FF4">
        <w:rPr>
          <w:rFonts w:eastAsia="Calibri" w:cstheme="minorBidi"/>
        </w:rPr>
        <w:t xml:space="preserve">In general toxicity tests, aimed mainly at detection of the biological activity of test substances, can be carried out on many cell types. A number of parameters have been introduced for testing cytotoxicity endpoints, including vital staining, cytosolic enzyme release, cell growth and alterations in the cell membrane metabolism or integrity. </w:t>
      </w:r>
    </w:p>
    <w:p w:rsidR="00C07655" w:rsidRPr="008E1FF4" w:rsidRDefault="008E1FF4" w:rsidP="008E1FF4">
      <w:pPr>
        <w:suppressAutoHyphens/>
        <w:autoSpaceDN w:val="0"/>
        <w:spacing w:line="480" w:lineRule="auto"/>
        <w:jc w:val="both"/>
        <w:textAlignment w:val="baseline"/>
        <w:rPr>
          <w:rFonts w:eastAsia="Calibri" w:cstheme="minorBidi"/>
          <w:shd w:val="clear" w:color="auto" w:fill="FFFF00"/>
        </w:rPr>
      </w:pPr>
      <w:r w:rsidRPr="008E1FF4">
        <w:rPr>
          <w:rFonts w:eastAsia="Calibri" w:cstheme="minorBidi"/>
        </w:rPr>
        <w:t>In this study we have used cell membrane integrity, lysosomal and accumulation techniques for this investigation. This was considered important as we did not want to change the endpoint of assessment, so we could minimise the other factors from affecting the result. As the change in the parameters of cell assessment for example from mitochondria to cell membrane assessment could be criticised, as in this case, the same endpoints were not assessed and it would have become difficult to compare the results of all tests to each other.</w:t>
      </w:r>
    </w:p>
    <w:p w:rsidR="00C07655" w:rsidRDefault="00C07655" w:rsidP="00C07655">
      <w:pPr>
        <w:pStyle w:val="Heading4"/>
        <w:spacing w:line="480" w:lineRule="auto"/>
        <w:rPr>
          <w:lang w:val="en"/>
        </w:rPr>
      </w:pPr>
      <w:r w:rsidRPr="00C07655">
        <w:rPr>
          <w:lang w:val="en"/>
        </w:rPr>
        <w:t>Trypan blue</w:t>
      </w:r>
    </w:p>
    <w:p w:rsidR="008E1FF4" w:rsidRPr="008E1FF4" w:rsidRDefault="008E1FF4" w:rsidP="008E1FF4">
      <w:pPr>
        <w:pStyle w:val="Default"/>
        <w:spacing w:line="480" w:lineRule="auto"/>
        <w:jc w:val="both"/>
        <w:rPr>
          <w:rFonts w:asciiTheme="minorBidi" w:hAnsiTheme="minorBidi" w:cstheme="minorBidi"/>
        </w:rPr>
      </w:pPr>
      <w:r w:rsidRPr="008E1FF4">
        <w:rPr>
          <w:rFonts w:asciiTheme="minorBidi" w:hAnsiTheme="minorBidi" w:cstheme="minorBidi"/>
        </w:rPr>
        <w:t xml:space="preserve">This is another cytotoxicity measurement based on cell membrane functions, by measuring the cell viability using vital dyes such as trypan blue which enters dead cells only or neutral red that is actively taken up by living cells. This method is commonly used in biomaterial testing. </w:t>
      </w:r>
    </w:p>
    <w:p w:rsidR="008E1FF4" w:rsidRPr="008E1FF4" w:rsidRDefault="008E1FF4" w:rsidP="008E1FF4">
      <w:pPr>
        <w:pStyle w:val="Default"/>
        <w:spacing w:line="480" w:lineRule="auto"/>
        <w:jc w:val="both"/>
        <w:rPr>
          <w:rFonts w:asciiTheme="minorBidi" w:hAnsiTheme="minorBidi" w:cstheme="minorBidi"/>
        </w:rPr>
      </w:pPr>
      <w:r w:rsidRPr="008E1FF4">
        <w:rPr>
          <w:rFonts w:asciiTheme="minorBidi" w:hAnsiTheme="minorBidi" w:cstheme="minorBidi"/>
        </w:rPr>
        <w:t xml:space="preserve">Counting of dead and vital cells in comparison with the control provides an index of lethality of the test compound on pulp stem cells (Holden </w:t>
      </w:r>
      <w:r w:rsidRPr="008E1FF4">
        <w:rPr>
          <w:rFonts w:asciiTheme="minorBidi" w:hAnsiTheme="minorBidi" w:cstheme="minorBidi"/>
          <w:i/>
          <w:iCs/>
        </w:rPr>
        <w:t xml:space="preserve">et at., </w:t>
      </w:r>
      <w:r w:rsidRPr="008E1FF4">
        <w:rPr>
          <w:rFonts w:asciiTheme="minorBidi" w:hAnsiTheme="minorBidi" w:cstheme="minorBidi"/>
        </w:rPr>
        <w:t xml:space="preserve">1973). </w:t>
      </w:r>
    </w:p>
    <w:p w:rsidR="008E1FF4" w:rsidRPr="008E1FF4" w:rsidRDefault="008E1FF4" w:rsidP="008E1FF4">
      <w:pPr>
        <w:spacing w:line="480" w:lineRule="auto"/>
        <w:jc w:val="both"/>
        <w:rPr>
          <w:rFonts w:cstheme="minorBidi"/>
          <w:szCs w:val="24"/>
          <w:lang w:val="en"/>
        </w:rPr>
      </w:pPr>
      <w:r w:rsidRPr="008E1FF4">
        <w:rPr>
          <w:rFonts w:cstheme="minorBidi"/>
          <w:szCs w:val="24"/>
        </w:rPr>
        <w:t>Trypan blue is a very simple test in which the trypan blue dye passes through the dead cells membrane. Hence, dead cells are shown as a distinctive blue</w:t>
      </w:r>
      <w:r w:rsidRPr="008E1FF4">
        <w:rPr>
          <w:rFonts w:cstheme="minorBidi"/>
          <w:color w:val="000000"/>
          <w:szCs w:val="24"/>
        </w:rPr>
        <w:t xml:space="preserve"> </w:t>
      </w:r>
      <w:r w:rsidRPr="008E1FF4">
        <w:rPr>
          <w:rFonts w:cstheme="minorBidi"/>
          <w:szCs w:val="24"/>
        </w:rPr>
        <w:t xml:space="preserve">colour under the microscope. However in live cells the trypan stain cannot be absorbed. This investigation gives us very basic information about whether the </w:t>
      </w:r>
      <w:r w:rsidRPr="008E1FF4">
        <w:rPr>
          <w:rFonts w:cstheme="minorBidi"/>
          <w:szCs w:val="24"/>
        </w:rPr>
        <w:lastRenderedPageBreak/>
        <w:t>pulp cells survive after incubation with antibiotics for 24 hours or not. The accuracy of this test was one of the major issues, as it depends on visual assessment and many cells could be missed during counting. Although the chemical assays have unpredicatble outcomes, they remain the gold standard for in vitro cytotoxicity tests and for detecting changes of cell membrane integrity. We used this test as an indicator for cell survivability. Interestingly the result that was obtained from this test was compatible with other results. In this study cell survival was higher than what was observed in other tests. The percentage of live cells for the control groups was 94%, and curiously metronidazole (95%) had even more viable cells than that found in the control group, Cip+Met was 86%, Mino+ Cip+Met 84% and even Ciprofloxicillin and minocycline were considered to be moderately cytotoxic (Dalh et al., 2006). This finding was also supported by another recent study (Chuensombat et al., 2013). Due to a deficiency of literature in this area of research it is not possible to compare these findings to other published research. For this reason it was also decided to conduct further analysis and to use a cell membrane based test (Lactate dehydrogenase LDH assay).</w:t>
      </w:r>
    </w:p>
    <w:p w:rsidR="00C07655" w:rsidRPr="00C07655" w:rsidRDefault="00C07655" w:rsidP="00C07655">
      <w:pPr>
        <w:pStyle w:val="Heading4"/>
        <w:spacing w:line="480" w:lineRule="auto"/>
        <w:jc w:val="both"/>
        <w:rPr>
          <w:rFonts w:ascii="Arial" w:eastAsia="Calibri" w:hAnsi="Arial"/>
          <w:shd w:val="clear" w:color="auto" w:fill="FFFF00"/>
          <w:lang w:eastAsia="zh-CN"/>
        </w:rPr>
      </w:pPr>
      <w:r w:rsidRPr="00C07655">
        <w:rPr>
          <w:rFonts w:ascii="Arial" w:eastAsia="Calibri" w:hAnsi="Arial"/>
          <w:shd w:val="clear" w:color="auto" w:fill="FFFF00"/>
          <w:lang w:eastAsia="zh-CN"/>
        </w:rPr>
        <w:br w:type="page"/>
      </w:r>
      <w:r w:rsidRPr="00C07655">
        <w:rPr>
          <w:lang w:eastAsia="en-GB"/>
        </w:rPr>
        <w:lastRenderedPageBreak/>
        <w:t>Lactate dehydrogenase LDH assay</w:t>
      </w:r>
    </w:p>
    <w:p w:rsidR="008E1FF4" w:rsidRPr="008E1FF4" w:rsidRDefault="008E1FF4" w:rsidP="008E1FF4">
      <w:pPr>
        <w:pStyle w:val="Default"/>
        <w:spacing w:line="480" w:lineRule="auto"/>
        <w:jc w:val="both"/>
        <w:rPr>
          <w:rFonts w:asciiTheme="minorBidi" w:hAnsiTheme="minorBidi" w:cstheme="minorBidi"/>
        </w:rPr>
      </w:pPr>
      <w:r w:rsidRPr="008E1FF4">
        <w:rPr>
          <w:rFonts w:asciiTheme="minorBidi" w:hAnsiTheme="minorBidi" w:cstheme="minorBidi"/>
        </w:rPr>
        <w:t xml:space="preserve">Lactate dehydrogenase LDH activity test is more sophisticated than for trypan blue and has a long history as a preferred marker for cell death with </w:t>
      </w:r>
      <w:r w:rsidRPr="008E1FF4">
        <w:rPr>
          <w:rFonts w:asciiTheme="minorBidi" w:hAnsiTheme="minorBidi" w:cstheme="minorBidi"/>
          <w:i/>
          <w:iCs/>
        </w:rPr>
        <w:t xml:space="preserve">in vitro </w:t>
      </w:r>
      <w:r w:rsidRPr="008E1FF4">
        <w:rPr>
          <w:rFonts w:asciiTheme="minorBidi" w:hAnsiTheme="minorBidi" w:cstheme="minorBidi"/>
        </w:rPr>
        <w:t xml:space="preserve">cell models (Xia </w:t>
      </w:r>
      <w:r w:rsidRPr="008E1FF4">
        <w:rPr>
          <w:rFonts w:asciiTheme="minorBidi" w:hAnsiTheme="minorBidi" w:cstheme="minorBidi"/>
          <w:i/>
          <w:iCs/>
        </w:rPr>
        <w:t xml:space="preserve">et al., </w:t>
      </w:r>
      <w:r w:rsidRPr="008E1FF4">
        <w:rPr>
          <w:rFonts w:asciiTheme="minorBidi" w:hAnsiTheme="minorBidi" w:cstheme="minorBidi"/>
        </w:rPr>
        <w:t xml:space="preserve">2008). Simply, the LDH is a stable cytoplasmic enzyme stored in viable cells. An increase in LDH leakage indicates that the stability of cell membranes is damaged, possibly due to oxidative injury (Yildiz </w:t>
      </w:r>
      <w:r w:rsidRPr="008E1FF4">
        <w:rPr>
          <w:rFonts w:asciiTheme="minorBidi" w:hAnsiTheme="minorBidi" w:cstheme="minorBidi"/>
          <w:i/>
          <w:iCs/>
        </w:rPr>
        <w:t xml:space="preserve">et al., </w:t>
      </w:r>
      <w:r w:rsidRPr="008E1FF4">
        <w:rPr>
          <w:rFonts w:asciiTheme="minorBidi" w:hAnsiTheme="minorBidi" w:cstheme="minorBidi"/>
        </w:rPr>
        <w:t xml:space="preserve">1999). The activity of LDH is indirectly measured by an enzymatically-coupled reagent that is chemically comprised of lactate, NAD+, diaphorase and an appropriate redox dye such as a tetrazolium compound or resazurin. </w:t>
      </w:r>
    </w:p>
    <w:p w:rsidR="008E1FF4" w:rsidRPr="008E1FF4" w:rsidRDefault="008E1FF4" w:rsidP="008E1FF4">
      <w:pPr>
        <w:pStyle w:val="Default"/>
        <w:spacing w:line="480" w:lineRule="auto"/>
        <w:jc w:val="both"/>
        <w:rPr>
          <w:rFonts w:asciiTheme="minorBidi" w:hAnsiTheme="minorBidi" w:cstheme="minorBidi"/>
        </w:rPr>
      </w:pPr>
      <w:r w:rsidRPr="008E1FF4">
        <w:rPr>
          <w:rFonts w:asciiTheme="minorBidi" w:hAnsiTheme="minorBidi" w:cstheme="minorBidi"/>
        </w:rPr>
        <w:t xml:space="preserve">In this method of investigation it can be seen that the cytotoxicity was very high even in the control group as almost half of the cells were dead. Interestingly, in this study it was observed that poly antibiotics whether Cip+Met (40%) or Mino+ Cip+Met (45%) were less toxic than if applied individually. </w:t>
      </w:r>
    </w:p>
    <w:p w:rsidR="008E1FF4" w:rsidRPr="008E1FF4" w:rsidRDefault="008E1FF4" w:rsidP="008E1FF4">
      <w:pPr>
        <w:pStyle w:val="Default"/>
        <w:spacing w:line="480" w:lineRule="auto"/>
        <w:jc w:val="both"/>
      </w:pPr>
      <w:r w:rsidRPr="008E1FF4">
        <w:rPr>
          <w:rFonts w:asciiTheme="minorBidi" w:hAnsiTheme="minorBidi" w:cstheme="minorBidi"/>
        </w:rPr>
        <w:t xml:space="preserve">LDH assay detection is a robust and cost-effective means of assessing cytotoxicity, but is susceptible to background signals from serum sources of LDH found in supplemented growth media. Further LDH can be affected by several culture parameters including intracellular oxygen tension (Issa </w:t>
      </w:r>
      <w:r w:rsidRPr="00AB655E">
        <w:rPr>
          <w:rFonts w:asciiTheme="minorBidi" w:hAnsiTheme="minorBidi" w:cstheme="minorBidi"/>
          <w:i/>
          <w:iCs/>
        </w:rPr>
        <w:t>et al</w:t>
      </w:r>
      <w:r w:rsidRPr="008E1FF4">
        <w:rPr>
          <w:rFonts w:asciiTheme="minorBidi" w:hAnsiTheme="minorBidi" w:cstheme="minorBidi"/>
        </w:rPr>
        <w:t xml:space="preserve">., 2004), and the exogenous sources of supplemented growth media of the LDH can greatly elevate the background values and negatively impact on the cells (Andrew </w:t>
      </w:r>
      <w:r w:rsidRPr="008E1FF4">
        <w:rPr>
          <w:rFonts w:asciiTheme="minorBidi" w:hAnsiTheme="minorBidi" w:cstheme="minorBidi"/>
          <w:i/>
          <w:iCs/>
        </w:rPr>
        <w:t xml:space="preserve">et al., </w:t>
      </w:r>
      <w:r w:rsidRPr="008E1FF4">
        <w:rPr>
          <w:rFonts w:asciiTheme="minorBidi" w:hAnsiTheme="minorBidi" w:cstheme="minorBidi"/>
        </w:rPr>
        <w:t xml:space="preserve">2009).This could explain the high mortality in cells compared to other tests. It might well be that after the application of antibiotics the cell media environment could be affected which therefore makes the test more sensitive. </w:t>
      </w:r>
      <w:r w:rsidRPr="008E1FF4">
        <w:t>So the necessity to find even more tests to confirm the results of the present study were needed and flow cytometry was considered.</w:t>
      </w:r>
    </w:p>
    <w:p w:rsidR="008E1FF4" w:rsidRPr="008E1FF4" w:rsidRDefault="008E1FF4" w:rsidP="008E1FF4">
      <w:pPr>
        <w:jc w:val="both"/>
        <w:rPr>
          <w:rFonts w:ascii="Arial" w:hAnsi="Arial" w:cs="Arial"/>
          <w:color w:val="000000"/>
          <w:szCs w:val="24"/>
        </w:rPr>
      </w:pPr>
      <w:r w:rsidRPr="008E1FF4">
        <w:rPr>
          <w:szCs w:val="24"/>
        </w:rPr>
        <w:br w:type="page"/>
      </w:r>
    </w:p>
    <w:p w:rsidR="00C07655" w:rsidRPr="008E1FF4" w:rsidRDefault="00C07655" w:rsidP="00B41D73">
      <w:pPr>
        <w:pStyle w:val="Heading4"/>
        <w:spacing w:line="480" w:lineRule="auto"/>
        <w:rPr>
          <w:rFonts w:eastAsiaTheme="minorHAnsi" w:cstheme="minorBidi"/>
        </w:rPr>
      </w:pPr>
      <w:r>
        <w:lastRenderedPageBreak/>
        <w:t>FLOW CYTOMRY</w:t>
      </w:r>
      <w:r w:rsidRPr="008E1FF4">
        <w:rPr>
          <w:rFonts w:ascii="Arial" w:eastAsia="Calibri" w:hAnsi="Arial"/>
        </w:rPr>
        <w:t xml:space="preserve"> </w:t>
      </w:r>
    </w:p>
    <w:p w:rsidR="006B7705" w:rsidRDefault="00646710" w:rsidP="00B41D73">
      <w:pPr>
        <w:pStyle w:val="table"/>
        <w:jc w:val="both"/>
      </w:pPr>
      <w:r w:rsidRPr="00826A6D">
        <w:t>Flow cytometry with complementary techniques such as optical microscopy, confocal fluorescence, scanning or transmission fully covers all the biochemical and morphological aspects that need to be taken into account with cytotoxicity in biological science.</w:t>
      </w:r>
    </w:p>
    <w:p w:rsidR="006B7705" w:rsidRDefault="00646710" w:rsidP="00B41D73">
      <w:pPr>
        <w:pStyle w:val="table"/>
        <w:jc w:val="both"/>
      </w:pPr>
      <w:r w:rsidRPr="00826A6D">
        <w:t xml:space="preserve">These multicolour advanced </w:t>
      </w:r>
      <w:r w:rsidR="00D563A3" w:rsidRPr="00826A6D">
        <w:t>techniques</w:t>
      </w:r>
      <w:r w:rsidRPr="00826A6D">
        <w:t xml:space="preserve"> have the ability to reveal more information about each individual cell in less time, with even a small amount of sample. This technique allows analysis of cell behaviour after application of antibiotics to the cells and it showed the necrotic cells in Q1. The necrotic cells mean that the cell death </w:t>
      </w:r>
      <w:r w:rsidR="00AB655E" w:rsidRPr="00826A6D">
        <w:t>occurred</w:t>
      </w:r>
      <w:r w:rsidRPr="00826A6D">
        <w:t xml:space="preserve"> in response to adverse conditions in the cell’s environment whereas apoptosis in Q2 meant that the affected cell actively participated in the cell death process. It can be seen </w:t>
      </w:r>
      <w:proofErr w:type="gramStart"/>
      <w:r w:rsidRPr="00826A6D">
        <w:t xml:space="preserve">in </w:t>
      </w:r>
      <w:proofErr w:type="gramEnd"/>
      <w:r w:rsidR="006B7705">
        <w:fldChar w:fldCharType="begin"/>
      </w:r>
      <w:r w:rsidR="006B7705">
        <w:instrText xml:space="preserve"> PRINT  \* MERGEFORMAT </w:instrText>
      </w:r>
      <w:r w:rsidR="006B7705">
        <w:fldChar w:fldCharType="end"/>
      </w:r>
      <w:r w:rsidR="00076989" w:rsidRPr="00826A6D">
        <w:t xml:space="preserve">, </w:t>
      </w:r>
      <w:r w:rsidRPr="00826A6D">
        <w:t xml:space="preserve">(page 261) that in Q1 all cells were already dead from a biological accident not due to antibiotic application. However in Q2 (apoptosis) it started to be observed that some changes started to occur due to application of antibiotics that could lead to some alterations in the cell components leading to cell death. It can also </w:t>
      </w:r>
      <w:r w:rsidRPr="006B7705">
        <w:t xml:space="preserve">been </w:t>
      </w:r>
      <w:r w:rsidRPr="006B7705">
        <w:rPr>
          <w:szCs w:val="24"/>
        </w:rPr>
        <w:t xml:space="preserve">seen from </w:t>
      </w:r>
      <w:r w:rsidR="006B7705" w:rsidRPr="006B7705">
        <w:rPr>
          <w:szCs w:val="24"/>
        </w:rPr>
        <w:fldChar w:fldCharType="begin"/>
      </w:r>
      <w:r w:rsidR="006B7705" w:rsidRPr="006B7705">
        <w:rPr>
          <w:szCs w:val="24"/>
        </w:rPr>
        <w:instrText xml:space="preserve"> PRINT  \* MERGEFORMAT </w:instrText>
      </w:r>
      <w:r w:rsidR="006B7705" w:rsidRPr="006B7705">
        <w:rPr>
          <w:szCs w:val="24"/>
        </w:rPr>
        <w:fldChar w:fldCharType="end"/>
      </w:r>
      <w:r w:rsidR="006B7705" w:rsidRPr="006B7705">
        <w:rPr>
          <w:szCs w:val="24"/>
        </w:rPr>
        <w:fldChar w:fldCharType="begin"/>
      </w:r>
      <w:r w:rsidR="006B7705" w:rsidRPr="006B7705">
        <w:rPr>
          <w:szCs w:val="24"/>
        </w:rPr>
        <w:instrText xml:space="preserve"> REF _Ref361703116 \h  \* MERGEFORMAT </w:instrText>
      </w:r>
      <w:r w:rsidR="006B7705" w:rsidRPr="006B7705">
        <w:rPr>
          <w:szCs w:val="24"/>
        </w:rPr>
      </w:r>
      <w:r w:rsidR="006B7705" w:rsidRPr="006B7705">
        <w:rPr>
          <w:szCs w:val="24"/>
        </w:rPr>
        <w:fldChar w:fldCharType="separate"/>
      </w:r>
      <w:r w:rsidR="00374B77" w:rsidRPr="00374B77">
        <w:rPr>
          <w:szCs w:val="24"/>
        </w:rPr>
        <w:t xml:space="preserve">Table </w:t>
      </w:r>
      <w:r w:rsidR="00374B77" w:rsidRPr="00374B77">
        <w:rPr>
          <w:szCs w:val="24"/>
          <w:cs/>
        </w:rPr>
        <w:t>‎</w:t>
      </w:r>
      <w:r w:rsidR="00374B77">
        <w:rPr>
          <w:rFonts w:cstheme="minorBidi"/>
          <w:b/>
          <w:bCs w:val="0"/>
          <w:noProof/>
          <w:sz w:val="20"/>
          <w:szCs w:val="20"/>
        </w:rPr>
        <w:t>4.3</w:t>
      </w:r>
      <w:r w:rsidR="006B7705" w:rsidRPr="006B7705">
        <w:rPr>
          <w:szCs w:val="24"/>
        </w:rPr>
        <w:fldChar w:fldCharType="end"/>
      </w:r>
      <w:r w:rsidR="00076989" w:rsidRPr="006B7705">
        <w:rPr>
          <w:szCs w:val="24"/>
        </w:rPr>
        <w:t xml:space="preserve"> </w:t>
      </w:r>
      <w:r w:rsidRPr="006B7705">
        <w:rPr>
          <w:szCs w:val="24"/>
        </w:rPr>
        <w:t>that</w:t>
      </w:r>
      <w:r w:rsidRPr="00826A6D">
        <w:t xml:space="preserve"> the highest negative cell modification occurred for the </w:t>
      </w:r>
      <w:proofErr w:type="gramStart"/>
      <w:r w:rsidR="008218E8" w:rsidRPr="008218E8">
        <w:t>Ciprofloxacin</w:t>
      </w:r>
      <w:r w:rsidR="008218E8">
        <w:t xml:space="preserve"> </w:t>
      </w:r>
      <w:r w:rsidRPr="00826A6D">
        <w:t xml:space="preserve"> and</w:t>
      </w:r>
      <w:proofErr w:type="gramEnd"/>
      <w:r w:rsidRPr="00826A6D">
        <w:t xml:space="preserve"> minocycline group. This was significantly significant (p=0.00), and the lowest cell changes were seen for the combined antibiotic (Cip+Met) group and (Mi</w:t>
      </w:r>
      <w:r w:rsidR="008218E8">
        <w:t>no</w:t>
      </w:r>
      <w:r w:rsidRPr="00826A6D">
        <w:t xml:space="preserve">+Cip+Met) group. The viable cells in Q3 were explained in the results. In Q4 these are the cells that are affected by the antibiotics and could become apoptotic and die. Minocycline and </w:t>
      </w:r>
      <w:proofErr w:type="gramStart"/>
      <w:r w:rsidR="008218E8" w:rsidRPr="008218E8">
        <w:t>Ciprofloxacin</w:t>
      </w:r>
      <w:r w:rsidR="008218E8">
        <w:t xml:space="preserve"> </w:t>
      </w:r>
      <w:r w:rsidRPr="00826A6D">
        <w:t xml:space="preserve"> negatively</w:t>
      </w:r>
      <w:proofErr w:type="gramEnd"/>
      <w:r w:rsidRPr="00826A6D">
        <w:t xml:space="preserve"> affected pulp cells and the antibiotic mixture was less toxic to the cells.</w:t>
      </w:r>
    </w:p>
    <w:p w:rsidR="006B7705" w:rsidRDefault="006B7705">
      <w:pPr>
        <w:rPr>
          <w:rFonts w:eastAsia="Times New Roman" w:cs="Arial"/>
          <w:bCs/>
          <w:szCs w:val="22"/>
          <w:lang w:eastAsia="zh-CN"/>
        </w:rPr>
      </w:pPr>
      <w:r>
        <w:br w:type="page"/>
      </w:r>
    </w:p>
    <w:p w:rsidR="00C07655" w:rsidRPr="006B7705" w:rsidRDefault="00C07655" w:rsidP="006B7705">
      <w:pPr>
        <w:pStyle w:val="table"/>
      </w:pPr>
    </w:p>
    <w:p w:rsidR="002A5F7C" w:rsidRPr="002A5F7C" w:rsidRDefault="002A5F7C" w:rsidP="00076989">
      <w:pPr>
        <w:pStyle w:val="Heading3"/>
        <w:spacing w:line="480" w:lineRule="auto"/>
      </w:pPr>
      <w:bookmarkStart w:id="750" w:name="_Toc370819341"/>
      <w:r w:rsidRPr="002A5F7C">
        <w:t xml:space="preserve">The cells survivability after </w:t>
      </w:r>
      <w:r w:rsidRPr="00076989">
        <w:t>antibiotics application</w:t>
      </w:r>
      <w:bookmarkEnd w:id="750"/>
    </w:p>
    <w:p w:rsidR="00076989" w:rsidRDefault="00076989" w:rsidP="00076989">
      <w:pPr>
        <w:autoSpaceDE w:val="0"/>
        <w:spacing w:after="0" w:line="480" w:lineRule="auto"/>
        <w:jc w:val="both"/>
      </w:pPr>
      <w:r>
        <w:t xml:space="preserve">Triple antibiotics have been reported to be effective against bacterial flora of human root canal dentine, dental plaque, and necrotic pulp (Banches and Trope, 2004). The vast majority of evidence is based on in vivo and clinical studies (Banches and Trope, 2004; Akgun </w:t>
      </w:r>
      <w:r>
        <w:rPr>
          <w:i/>
          <w:iCs/>
        </w:rPr>
        <w:t>et al.,</w:t>
      </w:r>
      <w:r>
        <w:t xml:space="preserve"> 2009) support the use of triple antibiotics for root canal disinfection. In chapter three we have proven the efficiency of the antibiotics against the main types of bacteria. Moreover, the presence of a small local amount of antibiotics may need to be considered as a natural biodegradable for proteins scaffolds</w:t>
      </w:r>
      <w:r>
        <w:rPr>
          <w:rFonts w:ascii="Garamond-BookCondensed" w:hAnsi="Garamond-BookCondensed" w:cs="Garamond-BookCondensed"/>
          <w:sz w:val="20"/>
          <w:szCs w:val="20"/>
        </w:rPr>
        <w:t xml:space="preserve"> </w:t>
      </w:r>
      <w:r>
        <w:t xml:space="preserve">such as collagen I or fibronectin (Peter </w:t>
      </w:r>
      <w:r>
        <w:rPr>
          <w:i/>
          <w:iCs/>
        </w:rPr>
        <w:t>et al.,</w:t>
      </w:r>
      <w:r>
        <w:t xml:space="preserve"> 2007). On the other hand one of the drawbacks for regenerative endodontic treatment (Nosrat </w:t>
      </w:r>
      <w:r>
        <w:rPr>
          <w:i/>
          <w:iCs/>
        </w:rPr>
        <w:t>et al</w:t>
      </w:r>
      <w:r>
        <w:t xml:space="preserve">., 2012) is tooth discolouration after triple antibiotics used for root canal disinfection due to use of minocycline (Kim </w:t>
      </w:r>
      <w:r>
        <w:rPr>
          <w:i/>
          <w:iCs/>
        </w:rPr>
        <w:t>et al.,</w:t>
      </w:r>
      <w:r>
        <w:t xml:space="preserve"> 2010). This finding led to a change in some of the RET treatment protocols. A combination of metronidazole and ciprofloxacin were used without minocycline. Radiographic assessment after 30 months showed complete apical closure and thickening of the canal wall. This indicated the revascularisation potential of young permanent tooth pulp stem cells (Mittal and Jain, 2013). In successful cases, pulpal regeneration has been shown to occur in experimental animal studies and in humans (Miller </w:t>
      </w:r>
      <w:r>
        <w:rPr>
          <w:i/>
        </w:rPr>
        <w:t>et al.,</w:t>
      </w:r>
      <w:r>
        <w:t xml:space="preserve"> 2012). In contrast, when an inflammatory reaction persists for a long time, a bone-like tissue occupies the pulp chamber in the replanted teeth (</w:t>
      </w:r>
      <w:proofErr w:type="gramStart"/>
      <w:r w:rsidRPr="00646710">
        <w:t xml:space="preserve">Rungvechvuttivittaya  </w:t>
      </w:r>
      <w:r w:rsidRPr="00646710">
        <w:rPr>
          <w:i/>
        </w:rPr>
        <w:t>et</w:t>
      </w:r>
      <w:proofErr w:type="gramEnd"/>
      <w:r w:rsidRPr="00646710">
        <w:rPr>
          <w:i/>
        </w:rPr>
        <w:t xml:space="preserve"> al</w:t>
      </w:r>
      <w:r w:rsidRPr="00646710">
        <w:t xml:space="preserve">., 1998; </w:t>
      </w:r>
      <w:hyperlink r:id="rId112" w:history="1">
        <w:r w:rsidRPr="00646710">
          <w:rPr>
            <w:lang w:val="en" w:eastAsia="zh-CN"/>
          </w:rPr>
          <w:t>Takamori</w:t>
        </w:r>
      </w:hyperlink>
      <w:r>
        <w:t xml:space="preserve"> </w:t>
      </w:r>
      <w:r>
        <w:rPr>
          <w:i/>
        </w:rPr>
        <w:t>et al.,</w:t>
      </w:r>
      <w:r>
        <w:t xml:space="preserve"> 2008).</w:t>
      </w:r>
    </w:p>
    <w:p w:rsidR="00076989" w:rsidRDefault="00076989" w:rsidP="00076989">
      <w:pPr>
        <w:autoSpaceDE w:val="0"/>
        <w:spacing w:after="0" w:line="480" w:lineRule="auto"/>
        <w:jc w:val="both"/>
      </w:pPr>
    </w:p>
    <w:p w:rsidR="00076989" w:rsidRDefault="00076989" w:rsidP="00076989">
      <w:pPr>
        <w:spacing w:line="480" w:lineRule="auto"/>
        <w:jc w:val="both"/>
      </w:pPr>
      <w:r>
        <w:lastRenderedPageBreak/>
        <w:t xml:space="preserve">Although calcium hydroxide is the gold standard root canal disinfection material, it is not recommended to be used for teeth that are going to be treated with regenerative endodontic techniques. Banches and Trope (2004) have suggested that the use of </w:t>
      </w:r>
      <w:r>
        <w:rPr>
          <w:lang w:val="en-US"/>
        </w:rPr>
        <w:t>calcium hydroxide</w:t>
      </w:r>
      <w:r>
        <w:t xml:space="preserve"> might be lethal to the remaining pulpal stem cells</w:t>
      </w:r>
      <w:r>
        <w:rPr>
          <w:rStyle w:val="CommentReference"/>
          <w:rFonts w:ascii="Times New Roman" w:hAnsi="Times New Roman" w:cs="Times New Roman"/>
        </w:rPr>
        <w:t>,</w:t>
      </w:r>
      <w:r>
        <w:t xml:space="preserve"> which affect future regenerative treatment (Liu </w:t>
      </w:r>
      <w:r>
        <w:rPr>
          <w:i/>
        </w:rPr>
        <w:t>et al.,</w:t>
      </w:r>
      <w:r>
        <w:t xml:space="preserve"> 2006), or possibly disrupt the apical papilla cell reproduction (Banches and Trope, 2004). This is ultimately critical for stem cell survival and thus discontinued root development.</w:t>
      </w:r>
    </w:p>
    <w:p w:rsidR="002A5F7C" w:rsidRPr="002A5F7C" w:rsidRDefault="002A5F7C" w:rsidP="00076989">
      <w:pPr>
        <w:pStyle w:val="Heading4"/>
        <w:spacing w:line="480" w:lineRule="auto"/>
      </w:pPr>
      <w:r w:rsidRPr="002A5F7C">
        <w:t>Compare our study to the literature</w:t>
      </w:r>
    </w:p>
    <w:p w:rsidR="00076989" w:rsidRDefault="00076989" w:rsidP="00076989">
      <w:pPr>
        <w:spacing w:line="480" w:lineRule="auto"/>
        <w:jc w:val="both"/>
        <w:rPr>
          <w:color w:val="000000"/>
        </w:rPr>
      </w:pPr>
      <w:r>
        <w:rPr>
          <w:color w:val="000000"/>
        </w:rPr>
        <w:t>This study looked at the effect of individual and combinations of antibiotics used to treat necrotic immature teeth. The cytotoxicity of these drugs was assessed by three methods to evaluate cell viability.</w:t>
      </w:r>
    </w:p>
    <w:p w:rsidR="00076989" w:rsidRPr="00AB655E" w:rsidRDefault="00076989" w:rsidP="00AB655E">
      <w:pPr>
        <w:spacing w:line="480" w:lineRule="auto"/>
        <w:jc w:val="both"/>
        <w:rPr>
          <w:color w:val="000000"/>
        </w:rPr>
      </w:pPr>
      <w:r>
        <w:rPr>
          <w:color w:val="000000"/>
        </w:rPr>
        <w:t>This study used three different tests to confirm the validity of the results, as this is a new area of research and there is no clear evidence for the best test to be used.</w:t>
      </w:r>
      <w:r w:rsidR="00AB655E">
        <w:rPr>
          <w:color w:val="000000"/>
        </w:rPr>
        <w:t xml:space="preserve"> </w:t>
      </w:r>
      <w:r>
        <w:rPr>
          <w:color w:val="000000"/>
        </w:rPr>
        <w:t>Interestingly all the results obtained from the three different methods were consistent.</w:t>
      </w:r>
    </w:p>
    <w:p w:rsidR="00076989" w:rsidRDefault="00076989" w:rsidP="00076989">
      <w:pPr>
        <w:spacing w:line="480" w:lineRule="auto"/>
        <w:jc w:val="both"/>
      </w:pPr>
      <w:proofErr w:type="gramStart"/>
      <w:r>
        <w:t>Metronidazole,</w:t>
      </w:r>
      <w:proofErr w:type="gramEnd"/>
      <w:r>
        <w:t xml:space="preserve"> is commonly used for necrotic dental pulp disinfection (Siqueria and de-Uzeda, 1997), because it is highly effective against anaerobic bacteria and has no effect on live cells (Chuensombat </w:t>
      </w:r>
      <w:r>
        <w:rPr>
          <w:i/>
          <w:iCs/>
        </w:rPr>
        <w:t>et al</w:t>
      </w:r>
      <w:r>
        <w:t xml:space="preserve">., 2013.). Although we did not agree with the effectiveness of metronidazole on bacteria, which is discussed in chapter 3, we do agree that metronidazole is slightly cytotoxic to cell survival. According to </w:t>
      </w:r>
      <w:r>
        <w:rPr>
          <w:rFonts w:eastAsia="Times New Roman"/>
          <w:lang w:eastAsia="en-GB"/>
        </w:rPr>
        <w:t xml:space="preserve">Dalh </w:t>
      </w:r>
      <w:r>
        <w:rPr>
          <w:rFonts w:eastAsia="Times New Roman"/>
          <w:i/>
          <w:iCs/>
          <w:lang w:eastAsia="en-GB"/>
        </w:rPr>
        <w:t>et al</w:t>
      </w:r>
      <w:r>
        <w:rPr>
          <w:rFonts w:eastAsia="Times New Roman"/>
          <w:lang w:eastAsia="en-GB"/>
        </w:rPr>
        <w:t>., (2006)</w:t>
      </w:r>
      <w:r>
        <w:t xml:space="preserve"> the toxicity scale of metronidazole ranged between 60-90% and most of the time was equal or slightly higher when compared to thecontrol group. </w:t>
      </w:r>
    </w:p>
    <w:p w:rsidR="00076989" w:rsidRDefault="00076989" w:rsidP="00076989">
      <w:pPr>
        <w:spacing w:line="480" w:lineRule="auto"/>
        <w:jc w:val="both"/>
      </w:pPr>
      <w:r>
        <w:lastRenderedPageBreak/>
        <w:t xml:space="preserve">Minocycline has the ability to increase the rate of dental pulp revascularisation compared with doxycycline or saline solution (Ritter </w:t>
      </w:r>
      <w:r>
        <w:rPr>
          <w:i/>
        </w:rPr>
        <w:t>et al</w:t>
      </w:r>
      <w:r>
        <w:t xml:space="preserve">., 2004). Ciprofloxacin significantly reduces inflammatory reactions in pulp tissue of monkeys mechanically exposed and contaminated (Cannon </w:t>
      </w:r>
      <w:r>
        <w:rPr>
          <w:i/>
        </w:rPr>
        <w:t>et al.,</w:t>
      </w:r>
      <w:r>
        <w:t xml:space="preserve"> 2008). In this study it was found that incubating the pulp stem cells with ciprofloxicillin individually showed a statistically significant reduction of viable cells in all three methods used in this investigation. However it was considered to be moderately cytotoxic according to </w:t>
      </w:r>
      <w:r>
        <w:rPr>
          <w:rFonts w:eastAsia="Times New Roman"/>
          <w:lang w:eastAsia="en-GB"/>
        </w:rPr>
        <w:t xml:space="preserve">Dalh </w:t>
      </w:r>
      <w:r>
        <w:rPr>
          <w:rFonts w:eastAsia="Times New Roman"/>
          <w:i/>
          <w:iCs/>
          <w:lang w:eastAsia="en-GB"/>
        </w:rPr>
        <w:t>et al</w:t>
      </w:r>
      <w:r>
        <w:rPr>
          <w:rFonts w:eastAsia="Times New Roman"/>
          <w:lang w:eastAsia="en-GB"/>
        </w:rPr>
        <w:t>., 2006.</w:t>
      </w:r>
    </w:p>
    <w:p w:rsidR="00076989" w:rsidRDefault="00076989" w:rsidP="00076989">
      <w:pPr>
        <w:spacing w:line="480" w:lineRule="auto"/>
        <w:jc w:val="both"/>
      </w:pPr>
      <w:r>
        <w:t>Minocycline had a significant negative effect on cell viability but this finding was not confirmed when minocycline was assessed by flow cytometry. The cytotoxicity was not statistically significant</w:t>
      </w:r>
      <w:r w:rsidR="008218E8">
        <w:t xml:space="preserve"> </w:t>
      </w:r>
      <w:r>
        <w:t xml:space="preserve">and we considered minocycline to be moderately cytotoxic according to </w:t>
      </w:r>
      <w:r>
        <w:rPr>
          <w:rFonts w:eastAsia="Times New Roman"/>
          <w:lang w:eastAsia="en-GB"/>
        </w:rPr>
        <w:t xml:space="preserve">a known cytotoxicity scale (Dalh </w:t>
      </w:r>
      <w:r>
        <w:rPr>
          <w:rFonts w:eastAsia="Times New Roman"/>
          <w:i/>
          <w:iCs/>
          <w:lang w:eastAsia="en-GB"/>
        </w:rPr>
        <w:t>et al</w:t>
      </w:r>
      <w:r>
        <w:rPr>
          <w:rFonts w:eastAsia="Times New Roman"/>
          <w:lang w:eastAsia="en-GB"/>
        </w:rPr>
        <w:t xml:space="preserve">., 2006). </w:t>
      </w:r>
      <w:r>
        <w:t xml:space="preserve">The same finding was reported by Suzuki </w:t>
      </w:r>
      <w:r>
        <w:rPr>
          <w:i/>
        </w:rPr>
        <w:t>et al</w:t>
      </w:r>
      <w:r>
        <w:t>. (2006).</w:t>
      </w:r>
    </w:p>
    <w:p w:rsidR="00076989" w:rsidRDefault="00076989" w:rsidP="00076989">
      <w:pPr>
        <w:spacing w:line="480" w:lineRule="auto"/>
        <w:jc w:val="both"/>
      </w:pPr>
      <w:r>
        <w:t xml:space="preserve">The mixture of ciprofloxacin, metronidazole, and minocycline may be sufficiently effective in preventing penetration of bacteria in the root canal, and may result in a sterile environment that favours pulpal regeneration (Chuensombat </w:t>
      </w:r>
      <w:r>
        <w:rPr>
          <w:i/>
          <w:iCs/>
        </w:rPr>
        <w:t>et al</w:t>
      </w:r>
      <w:r>
        <w:t xml:space="preserve">., 2013). The healing pattern seems to depend on variations in the concentrations of antibiotics present in the mixture. Further studies demonstrated the importance of maintaining dental pulp stem/progenitor cells for the generation of odontoblast-like cells during the healing process following tooth replantation, regenerative treatment and transplantation (Ishikawa </w:t>
      </w:r>
      <w:r>
        <w:rPr>
          <w:i/>
        </w:rPr>
        <w:t>et al.,</w:t>
      </w:r>
      <w:r>
        <w:t xml:space="preserve"> 2010; Mutoh </w:t>
      </w:r>
      <w:r>
        <w:rPr>
          <w:i/>
        </w:rPr>
        <w:t>et al</w:t>
      </w:r>
      <w:r>
        <w:t xml:space="preserve">., 2011). In addition, several studies showed that high concentrations of antibiotics have a detrimental effect on the survival of stem cells of the apical papilla (Ruparel </w:t>
      </w:r>
      <w:r>
        <w:rPr>
          <w:i/>
        </w:rPr>
        <w:t>et al</w:t>
      </w:r>
      <w:r>
        <w:t xml:space="preserve">., 2012; Chuensombat </w:t>
      </w:r>
      <w:r>
        <w:rPr>
          <w:i/>
          <w:iCs/>
        </w:rPr>
        <w:t>et al</w:t>
      </w:r>
      <w:r>
        <w:t xml:space="preserve">., 2013). Hence, higher concentrations of antibiotics are </w:t>
      </w:r>
      <w:r>
        <w:lastRenderedPageBreak/>
        <w:t xml:space="preserve">consequently detrimental to the production of odontoblast-like cells. The mixture of three antibiotics had greater cytotoxicity than applications of   single drugs </w:t>
      </w:r>
      <w:r>
        <w:rPr>
          <w:bCs/>
        </w:rPr>
        <w:t>at</w:t>
      </w:r>
      <w:r>
        <w:t xml:space="preserve"> high concentrations, and when used at low concentrations this mixture gave the most favourable environment for pulp cell survival and significantly reduced the number of bacteria (Chuensombat </w:t>
      </w:r>
      <w:r>
        <w:rPr>
          <w:i/>
          <w:iCs/>
        </w:rPr>
        <w:t>et al</w:t>
      </w:r>
      <w:r>
        <w:t xml:space="preserve">., 2013). Interestingly, a recent study showed that a mixture of antibiotics at reduced concentrations can lead to an increase of tertiary dentine and bone-like tissue in regenerative teeth. This phenomenon may be related to an increase in the anti-bacterial effectiveness </w:t>
      </w:r>
      <w:r>
        <w:rPr>
          <w:rFonts w:eastAsia="Arial Unicode MS"/>
          <w:lang w:eastAsia="zh-CN"/>
        </w:rPr>
        <w:t>(</w:t>
      </w:r>
      <w:hyperlink r:id="rId113" w:history="1">
        <w:r>
          <w:rPr>
            <w:rFonts w:eastAsia="Arial Unicode MS"/>
            <w:lang w:eastAsia="zh-CN"/>
          </w:rPr>
          <w:t>Quispe-Salcedo</w:t>
        </w:r>
      </w:hyperlink>
      <w:r>
        <w:rPr>
          <w:rFonts w:eastAsia="Arial Unicode MS"/>
          <w:lang w:eastAsia="zh-CN"/>
        </w:rPr>
        <w:t xml:space="preserve"> </w:t>
      </w:r>
      <w:r>
        <w:rPr>
          <w:rFonts w:eastAsia="Arial Unicode MS"/>
          <w:i/>
          <w:lang w:eastAsia="zh-CN"/>
        </w:rPr>
        <w:t>et al</w:t>
      </w:r>
      <w:r w:rsidR="00AB655E">
        <w:rPr>
          <w:rFonts w:eastAsia="Arial Unicode MS"/>
          <w:lang w:eastAsia="zh-CN"/>
        </w:rPr>
        <w:t>., 2013).</w:t>
      </w:r>
    </w:p>
    <w:p w:rsidR="00076989" w:rsidRDefault="00076989" w:rsidP="00076989">
      <w:pPr>
        <w:spacing w:line="480" w:lineRule="auto"/>
        <w:jc w:val="both"/>
      </w:pPr>
      <w:r>
        <w:rPr>
          <w:rFonts w:eastAsia="Arial Unicode MS"/>
          <w:lang w:eastAsia="zh-CN"/>
        </w:rPr>
        <w:t xml:space="preserve">The above mentioned supports the views of this research group and preliminary work to find out the correct drug concentrations to be used before proceeding with this experiment. The concentration of the drug in </w:t>
      </w:r>
      <w:hyperlink r:id="rId114" w:history="1">
        <w:r>
          <w:rPr>
            <w:rFonts w:eastAsia="Arial Unicode MS"/>
            <w:lang w:eastAsia="zh-CN"/>
          </w:rPr>
          <w:t>Quispe-Salcedo</w:t>
        </w:r>
      </w:hyperlink>
      <w:r>
        <w:rPr>
          <w:rFonts w:eastAsia="Arial Unicode MS"/>
          <w:lang w:eastAsia="zh-CN"/>
        </w:rPr>
        <w:t xml:space="preserve"> et al. (2013) study was </w:t>
      </w:r>
      <w:r>
        <w:rPr>
          <w:rFonts w:cs="Arial"/>
          <w:szCs w:val="24"/>
        </w:rPr>
        <w:t>50mg/ml, which was the same drug strength that was used for all the</w:t>
      </w:r>
      <w:r>
        <w:t xml:space="preserve"> antibiotic groups used in our study. The investigations conducted in chapter 3 showed the effectiveness of the antibiotic concentrations against the common organisms present in root canals </w:t>
      </w:r>
      <w:r w:rsidR="0052736F">
        <w:t>o</w:t>
      </w:r>
      <w:r>
        <w:t>f non</w:t>
      </w:r>
      <w:r w:rsidR="0052736F">
        <w:t>-</w:t>
      </w:r>
      <w:r>
        <w:t xml:space="preserve"> vital teeth.  </w:t>
      </w:r>
    </w:p>
    <w:p w:rsidR="00076989" w:rsidRDefault="00076989" w:rsidP="00076989">
      <w:pPr>
        <w:spacing w:line="480" w:lineRule="auto"/>
        <w:jc w:val="both"/>
      </w:pPr>
      <w:r>
        <w:t xml:space="preserve">In chapter 3 it was also observed that the antibiotic mixtures, whether two or three combinations, had the greatest inhibition of bacterial growth. Also in this study it can be seen that the outcome for </w:t>
      </w:r>
      <w:r>
        <w:rPr>
          <w:rFonts w:eastAsia="Arial Unicode MS"/>
          <w:lang w:eastAsia="zh-CN"/>
        </w:rPr>
        <w:t>antibiotics as a two</w:t>
      </w:r>
      <w:r>
        <w:t xml:space="preserve"> antibiotic mixture</w:t>
      </w:r>
      <w:r>
        <w:rPr>
          <w:rFonts w:eastAsia="Arial Unicode MS"/>
          <w:lang w:eastAsia="zh-CN"/>
        </w:rPr>
        <w:t xml:space="preserve"> (Cip+Met) or three antibiotic </w:t>
      </w:r>
      <w:proofErr w:type="gramStart"/>
      <w:r>
        <w:rPr>
          <w:rFonts w:eastAsia="Arial Unicode MS"/>
          <w:lang w:eastAsia="zh-CN"/>
        </w:rPr>
        <w:t>mixture</w:t>
      </w:r>
      <w:proofErr w:type="gramEnd"/>
      <w:r>
        <w:rPr>
          <w:rFonts w:eastAsia="Arial Unicode MS"/>
          <w:lang w:eastAsia="zh-CN"/>
        </w:rPr>
        <w:t xml:space="preserve"> (</w:t>
      </w:r>
      <w:r>
        <w:rPr>
          <w:rFonts w:cs="Arial"/>
          <w:bCs/>
          <w:color w:val="000000"/>
          <w:szCs w:val="24"/>
          <w:lang w:eastAsia="en-GB"/>
        </w:rPr>
        <w:t>Mino+Cip+Met</w:t>
      </w:r>
      <w:r>
        <w:rPr>
          <w:rFonts w:eastAsia="Arial Unicode MS"/>
          <w:lang w:eastAsia="zh-CN"/>
        </w:rPr>
        <w:t xml:space="preserve">) had the best outcome on human </w:t>
      </w:r>
      <w:r w:rsidR="00AB655E">
        <w:rPr>
          <w:rFonts w:eastAsia="Arial Unicode MS"/>
          <w:lang w:eastAsia="zh-CN"/>
        </w:rPr>
        <w:t>dental pulp stem cell survival.</w:t>
      </w:r>
    </w:p>
    <w:p w:rsidR="00AB655E" w:rsidRDefault="00076989" w:rsidP="008218E8">
      <w:pPr>
        <w:spacing w:line="480" w:lineRule="auto"/>
        <w:jc w:val="both"/>
      </w:pPr>
      <w:r>
        <w:t xml:space="preserve">However, when </w:t>
      </w:r>
      <w:r w:rsidR="00AB655E">
        <w:t>some antibiotics</w:t>
      </w:r>
      <w:r>
        <w:t xml:space="preserve"> were used individually (Minocycline, </w:t>
      </w:r>
      <w:proofErr w:type="gramStart"/>
      <w:r w:rsidR="008218E8" w:rsidRPr="008218E8">
        <w:t>Ciprofloxacin</w:t>
      </w:r>
      <w:r w:rsidR="008218E8">
        <w:t xml:space="preserve"> </w:t>
      </w:r>
      <w:r>
        <w:t>)</w:t>
      </w:r>
      <w:proofErr w:type="gramEnd"/>
      <w:r>
        <w:t xml:space="preserve"> these were found to have a had a detrimental effect on pulp surviva</w:t>
      </w:r>
      <w:r w:rsidR="00AB655E">
        <w:t>l.</w:t>
      </w:r>
      <w:r w:rsidR="00AB655E">
        <w:br w:type="page"/>
      </w:r>
    </w:p>
    <w:p w:rsidR="00076989" w:rsidRDefault="00076989" w:rsidP="00AB655E">
      <w:pPr>
        <w:spacing w:line="480" w:lineRule="auto"/>
        <w:jc w:val="both"/>
      </w:pPr>
    </w:p>
    <w:p w:rsidR="002A5F7C" w:rsidRPr="002A5F7C" w:rsidRDefault="002A5F7C" w:rsidP="002B54A2">
      <w:pPr>
        <w:pStyle w:val="Heading2"/>
      </w:pPr>
      <w:bookmarkStart w:id="751" w:name="_Toc370819342"/>
      <w:r w:rsidRPr="002A5F7C">
        <w:t>Conclusion</w:t>
      </w:r>
      <w:bookmarkEnd w:id="751"/>
    </w:p>
    <w:p w:rsidR="004364C9" w:rsidRDefault="004364C9" w:rsidP="0052736F">
      <w:pPr>
        <w:spacing w:line="480" w:lineRule="auto"/>
      </w:pPr>
      <w:r>
        <w:rPr>
          <w:rFonts w:eastAsia="Times New Roman"/>
        </w:rPr>
        <w:t xml:space="preserve">In the present study the application of antibiotics in combination had no significant effect on the survival of pulp cells. There was no difference between using two or three antibiotic mixtures. However, </w:t>
      </w:r>
      <w:r w:rsidR="00F966F4">
        <w:rPr>
          <w:rFonts w:eastAsia="Times New Roman"/>
        </w:rPr>
        <w:t>Ciprofloxacin</w:t>
      </w:r>
      <w:r>
        <w:rPr>
          <w:rFonts w:eastAsia="Times New Roman"/>
        </w:rPr>
        <w:t xml:space="preserve"> </w:t>
      </w:r>
      <w:r w:rsidR="0052736F">
        <w:rPr>
          <w:rFonts w:eastAsia="Times New Roman"/>
        </w:rPr>
        <w:t xml:space="preserve">in all results </w:t>
      </w:r>
      <w:r>
        <w:rPr>
          <w:rFonts w:eastAsia="Times New Roman"/>
        </w:rPr>
        <w:t>alone seemed to affect pulp cell survival although this was not seen when it was used in combination.</w:t>
      </w:r>
    </w:p>
    <w:p w:rsidR="002A5F7C" w:rsidRPr="002A5F7C" w:rsidRDefault="002A5F7C" w:rsidP="002A5F7C">
      <w:pPr>
        <w:pageBreakBefore/>
        <w:suppressAutoHyphens/>
        <w:autoSpaceDN w:val="0"/>
        <w:textAlignment w:val="baseline"/>
        <w:rPr>
          <w:rFonts w:ascii="Arial" w:eastAsia="Calibri" w:hAnsi="Arial"/>
        </w:rPr>
      </w:pPr>
    </w:p>
    <w:p w:rsidR="002A5F7C" w:rsidRPr="002A5F7C" w:rsidRDefault="002A5F7C" w:rsidP="002B54A2">
      <w:pPr>
        <w:pStyle w:val="Heading2"/>
      </w:pPr>
      <w:bookmarkStart w:id="752" w:name="_Toc370819343"/>
      <w:r w:rsidRPr="002A5F7C">
        <w:t>CLINICAL IMPLICATION</w:t>
      </w:r>
      <w:bookmarkEnd w:id="752"/>
    </w:p>
    <w:p w:rsidR="00AD5452" w:rsidRDefault="004364C9" w:rsidP="00AD5452">
      <w:pPr>
        <w:spacing w:after="120" w:line="360" w:lineRule="auto"/>
        <w:jc w:val="both"/>
        <w:rPr>
          <w:rFonts w:eastAsia="Times New Roman"/>
        </w:rPr>
      </w:pPr>
      <w:bookmarkStart w:id="753" w:name="_Toc141890295"/>
      <w:bookmarkStart w:id="754" w:name="_Toc141898383"/>
      <w:bookmarkStart w:id="755" w:name="_Toc142055933"/>
      <w:bookmarkStart w:id="756" w:name="_Toc142071926"/>
      <w:bookmarkStart w:id="757" w:name="_Toc142077052"/>
      <w:bookmarkStart w:id="758" w:name="_Toc142169468"/>
      <w:bookmarkStart w:id="759" w:name="_Toc142170124"/>
      <w:bookmarkStart w:id="760" w:name="_Toc142193501"/>
      <w:bookmarkStart w:id="761" w:name="_Toc142731319"/>
      <w:r>
        <w:rPr>
          <w:rFonts w:eastAsia="Times New Roman"/>
        </w:rPr>
        <w:t>Ciprofloxicillin alone seemed to significantly affect cell survival. However in combinations, antibiotics that are commonly used for regenerative endodontic treatments seem to have no adverse effect on the survival of pulp cells.</w:t>
      </w:r>
      <w:bookmarkEnd w:id="753"/>
      <w:bookmarkEnd w:id="754"/>
      <w:bookmarkEnd w:id="755"/>
      <w:bookmarkEnd w:id="756"/>
      <w:bookmarkEnd w:id="757"/>
      <w:bookmarkEnd w:id="758"/>
      <w:bookmarkEnd w:id="759"/>
      <w:bookmarkEnd w:id="760"/>
      <w:bookmarkEnd w:id="761"/>
    </w:p>
    <w:p w:rsidR="00AD5452" w:rsidRDefault="00AD5452">
      <w:pPr>
        <w:rPr>
          <w:rFonts w:eastAsia="Times New Roman"/>
        </w:rPr>
      </w:pPr>
      <w:r>
        <w:rPr>
          <w:rFonts w:eastAsia="Times New Roman"/>
        </w:rPr>
        <w:br w:type="page"/>
      </w:r>
    </w:p>
    <w:p w:rsidR="00AD5452" w:rsidRDefault="00AD5452" w:rsidP="00646710">
      <w:pPr>
        <w:pStyle w:val="Heading1"/>
        <w:spacing w:line="480" w:lineRule="auto"/>
      </w:pPr>
      <w:bookmarkStart w:id="762" w:name="_Toc370819344"/>
      <w:r>
        <w:lastRenderedPageBreak/>
        <w:t>References</w:t>
      </w:r>
      <w:bookmarkEnd w:id="762"/>
    </w:p>
    <w:p w:rsidR="00AD5452" w:rsidRDefault="00AD5452" w:rsidP="00AD5452">
      <w:pPr>
        <w:spacing w:line="480" w:lineRule="auto"/>
        <w:jc w:val="both"/>
        <w:rPr>
          <w:szCs w:val="24"/>
        </w:rPr>
      </w:pPr>
      <w:r>
        <w:rPr>
          <w:szCs w:val="24"/>
        </w:rPr>
        <w:t xml:space="preserve">ABBOTT, P. 2000. </w:t>
      </w:r>
      <w:proofErr w:type="gramStart"/>
      <w:r>
        <w:rPr>
          <w:szCs w:val="24"/>
        </w:rPr>
        <w:t>Selective and intelligent use of antibiotics in endodontics.</w:t>
      </w:r>
      <w:proofErr w:type="gramEnd"/>
      <w:r>
        <w:rPr>
          <w:szCs w:val="24"/>
        </w:rPr>
        <w:t xml:space="preserve"> </w:t>
      </w:r>
      <w:r>
        <w:rPr>
          <w:i/>
          <w:iCs/>
          <w:szCs w:val="24"/>
        </w:rPr>
        <w:t>Aust Endod J,</w:t>
      </w:r>
      <w:r>
        <w:rPr>
          <w:szCs w:val="24"/>
        </w:rPr>
        <w:t xml:space="preserve"> 26</w:t>
      </w:r>
      <w:r>
        <w:rPr>
          <w:b/>
          <w:bCs/>
          <w:szCs w:val="24"/>
        </w:rPr>
        <w:t>,</w:t>
      </w:r>
      <w:r>
        <w:rPr>
          <w:szCs w:val="24"/>
        </w:rPr>
        <w:t xml:space="preserve"> 30-39.</w:t>
      </w:r>
    </w:p>
    <w:p w:rsidR="00AD5452" w:rsidRDefault="00AD5452" w:rsidP="00AD5452">
      <w:pPr>
        <w:spacing w:line="480" w:lineRule="auto"/>
        <w:jc w:val="both"/>
        <w:rPr>
          <w:szCs w:val="24"/>
        </w:rPr>
      </w:pPr>
      <w:proofErr w:type="gramStart"/>
      <w:r>
        <w:rPr>
          <w:szCs w:val="24"/>
        </w:rPr>
        <w:t>ABDULKADER, A., GUDUID, R. &amp; SAUNDERS, E. 1996.</w:t>
      </w:r>
      <w:proofErr w:type="gramEnd"/>
      <w:r>
        <w:rPr>
          <w:szCs w:val="24"/>
        </w:rPr>
        <w:t xml:space="preserve"> </w:t>
      </w:r>
      <w:proofErr w:type="gramStart"/>
      <w:r>
        <w:rPr>
          <w:szCs w:val="24"/>
        </w:rPr>
        <w:t>The antimicrobial activity of endodontic sealers to anaerobic bacteria.</w:t>
      </w:r>
      <w:proofErr w:type="gramEnd"/>
      <w:r>
        <w:rPr>
          <w:szCs w:val="24"/>
        </w:rPr>
        <w:t xml:space="preserve"> </w:t>
      </w:r>
      <w:r>
        <w:rPr>
          <w:i/>
          <w:iCs/>
          <w:szCs w:val="24"/>
        </w:rPr>
        <w:t xml:space="preserve">Int Endod J </w:t>
      </w:r>
      <w:r>
        <w:rPr>
          <w:szCs w:val="24"/>
        </w:rPr>
        <w:t>29</w:t>
      </w:r>
      <w:r>
        <w:rPr>
          <w:b/>
          <w:bCs/>
          <w:szCs w:val="24"/>
        </w:rPr>
        <w:t>,</w:t>
      </w:r>
      <w:r>
        <w:rPr>
          <w:szCs w:val="24"/>
        </w:rPr>
        <w:t xml:space="preserve"> 280–3.</w:t>
      </w:r>
    </w:p>
    <w:p w:rsidR="00AD5452" w:rsidRDefault="00AD5452" w:rsidP="00AD5452">
      <w:pPr>
        <w:spacing w:line="480" w:lineRule="auto"/>
        <w:jc w:val="both"/>
        <w:rPr>
          <w:szCs w:val="24"/>
        </w:rPr>
      </w:pPr>
      <w:proofErr w:type="gramStart"/>
      <w:r>
        <w:rPr>
          <w:szCs w:val="24"/>
        </w:rPr>
        <w:t>ADAMIDOU, V. 2010.</w:t>
      </w:r>
      <w:proofErr w:type="gramEnd"/>
      <w:r>
        <w:rPr>
          <w:szCs w:val="24"/>
        </w:rPr>
        <w:t xml:space="preserve"> </w:t>
      </w:r>
      <w:proofErr w:type="gramStart"/>
      <w:r>
        <w:rPr>
          <w:i/>
          <w:iCs/>
          <w:szCs w:val="24"/>
        </w:rPr>
        <w:t>In vitro investigation of teeth discolouration with different endodontic medications.</w:t>
      </w:r>
      <w:proofErr w:type="gramEnd"/>
      <w:r>
        <w:rPr>
          <w:szCs w:val="24"/>
        </w:rPr>
        <w:t xml:space="preserve"> </w:t>
      </w:r>
      <w:proofErr w:type="gramStart"/>
      <w:r>
        <w:rPr>
          <w:szCs w:val="24"/>
        </w:rPr>
        <w:t>MDentSci, University of Leeds.</w:t>
      </w:r>
      <w:proofErr w:type="gramEnd"/>
    </w:p>
    <w:p w:rsidR="00AD5452" w:rsidRDefault="00AD5452" w:rsidP="00AD5452">
      <w:pPr>
        <w:spacing w:line="480" w:lineRule="auto"/>
        <w:jc w:val="both"/>
        <w:rPr>
          <w:szCs w:val="24"/>
        </w:rPr>
      </w:pPr>
      <w:proofErr w:type="gramStart"/>
      <w:r>
        <w:rPr>
          <w:szCs w:val="24"/>
        </w:rPr>
        <w:t>AKGUN, O., ALTUN, C. &amp; GUVEN, G. 2009.</w:t>
      </w:r>
      <w:proofErr w:type="gramEnd"/>
      <w:r>
        <w:rPr>
          <w:szCs w:val="24"/>
        </w:rPr>
        <w:t xml:space="preserve"> Use of triple antibiotic pastes disinfectant for a traumatized immature tooth with aperiapical lesion: a case report. </w:t>
      </w:r>
      <w:proofErr w:type="gramStart"/>
      <w:r>
        <w:rPr>
          <w:i/>
          <w:iCs/>
          <w:szCs w:val="24"/>
        </w:rPr>
        <w:t>Oral Surg Oral MedOralPatholOralRadiolEndod,</w:t>
      </w:r>
      <w:r>
        <w:rPr>
          <w:szCs w:val="24"/>
        </w:rPr>
        <w:t xml:space="preserve"> 108</w:t>
      </w:r>
      <w:r>
        <w:rPr>
          <w:b/>
          <w:bCs/>
          <w:szCs w:val="24"/>
        </w:rPr>
        <w:t>,</w:t>
      </w:r>
      <w:r>
        <w:rPr>
          <w:szCs w:val="24"/>
        </w:rPr>
        <w:t xml:space="preserve"> e62–5.</w:t>
      </w:r>
      <w:proofErr w:type="gramEnd"/>
    </w:p>
    <w:p w:rsidR="00AD5452" w:rsidRDefault="00AD5452" w:rsidP="00AD5452">
      <w:pPr>
        <w:spacing w:line="480" w:lineRule="auto"/>
        <w:jc w:val="both"/>
        <w:rPr>
          <w:szCs w:val="24"/>
        </w:rPr>
      </w:pPr>
      <w:r>
        <w:rPr>
          <w:szCs w:val="24"/>
        </w:rPr>
        <w:t xml:space="preserve">AL ANSARI, A. 2007. Which type of post and core system should be used? </w:t>
      </w:r>
      <w:r>
        <w:rPr>
          <w:i/>
          <w:iCs/>
          <w:szCs w:val="24"/>
        </w:rPr>
        <w:t xml:space="preserve">Evidence based </w:t>
      </w:r>
      <w:proofErr w:type="gramStart"/>
      <w:r>
        <w:rPr>
          <w:i/>
          <w:iCs/>
          <w:szCs w:val="24"/>
        </w:rPr>
        <w:t>Dentistry.,</w:t>
      </w:r>
      <w:proofErr w:type="gramEnd"/>
      <w:r>
        <w:rPr>
          <w:szCs w:val="24"/>
        </w:rPr>
        <w:t xml:space="preserve"> 8</w:t>
      </w:r>
      <w:r>
        <w:rPr>
          <w:b/>
          <w:bCs/>
          <w:szCs w:val="24"/>
        </w:rPr>
        <w:t>,</w:t>
      </w:r>
      <w:r>
        <w:rPr>
          <w:szCs w:val="24"/>
        </w:rPr>
        <w:t xml:space="preserve"> 5-6.</w:t>
      </w:r>
    </w:p>
    <w:p w:rsidR="00AD5452" w:rsidRDefault="00AD5452" w:rsidP="00AD5452">
      <w:pPr>
        <w:spacing w:line="480" w:lineRule="auto"/>
        <w:jc w:val="both"/>
        <w:rPr>
          <w:szCs w:val="24"/>
        </w:rPr>
      </w:pPr>
      <w:proofErr w:type="gramStart"/>
      <w:r>
        <w:rPr>
          <w:szCs w:val="24"/>
        </w:rPr>
        <w:t>AL-HEZAIMI, K., AL-HAMDAN, K., NAGHSHBANDI, J., OGLESBY, S., J., S. &amp; ROTSTEIN, I. 2005.</w:t>
      </w:r>
      <w:proofErr w:type="gramEnd"/>
      <w:r>
        <w:rPr>
          <w:szCs w:val="24"/>
        </w:rPr>
        <w:t xml:space="preserve"> </w:t>
      </w:r>
      <w:proofErr w:type="gramStart"/>
      <w:r>
        <w:rPr>
          <w:szCs w:val="24"/>
        </w:rPr>
        <w:t>Effect of white-colored mineral trioxide aggregate in different concentrations on Candida albicans in vitro.</w:t>
      </w:r>
      <w:proofErr w:type="gramEnd"/>
      <w:r>
        <w:rPr>
          <w:szCs w:val="24"/>
        </w:rPr>
        <w:t xml:space="preserve"> </w:t>
      </w:r>
      <w:proofErr w:type="gramStart"/>
      <w:r>
        <w:rPr>
          <w:i/>
          <w:iCs/>
          <w:szCs w:val="24"/>
        </w:rPr>
        <w:t xml:space="preserve">J Endod </w:t>
      </w:r>
      <w:r>
        <w:rPr>
          <w:szCs w:val="24"/>
        </w:rPr>
        <w:t>31</w:t>
      </w:r>
      <w:r>
        <w:rPr>
          <w:b/>
          <w:bCs/>
          <w:szCs w:val="24"/>
        </w:rPr>
        <w:t>,</w:t>
      </w:r>
      <w:r>
        <w:rPr>
          <w:szCs w:val="24"/>
        </w:rPr>
        <w:t xml:space="preserve"> 684–6.</w:t>
      </w:r>
      <w:proofErr w:type="gramEnd"/>
    </w:p>
    <w:p w:rsidR="00AD5452" w:rsidRDefault="00AD5452" w:rsidP="00AD5452">
      <w:pPr>
        <w:spacing w:line="480" w:lineRule="auto"/>
        <w:jc w:val="both"/>
        <w:rPr>
          <w:szCs w:val="24"/>
        </w:rPr>
      </w:pPr>
      <w:proofErr w:type="gramStart"/>
      <w:r>
        <w:rPr>
          <w:szCs w:val="24"/>
        </w:rPr>
        <w:t>AL-HEZAIMI, K., AL-SHALAN, T., NAGHSHBANDI, J., OGLESBY, S., SIMON, J. &amp; ROTSTEIN, I. 2006.</w:t>
      </w:r>
      <w:proofErr w:type="gramEnd"/>
      <w:r>
        <w:rPr>
          <w:szCs w:val="24"/>
        </w:rPr>
        <w:t xml:space="preserve"> </w:t>
      </w:r>
      <w:proofErr w:type="gramStart"/>
      <w:r>
        <w:rPr>
          <w:szCs w:val="24"/>
        </w:rPr>
        <w:t>Antibacterial effect of two mineral trioxide aggregate (MTA) preparations against Enterococcus faecalis and Streptococcus sanguis in vitro.</w:t>
      </w:r>
      <w:proofErr w:type="gramEnd"/>
      <w:r>
        <w:rPr>
          <w:szCs w:val="24"/>
        </w:rPr>
        <w:t xml:space="preserve"> . </w:t>
      </w:r>
      <w:proofErr w:type="gramStart"/>
      <w:r>
        <w:rPr>
          <w:i/>
          <w:iCs/>
          <w:szCs w:val="24"/>
        </w:rPr>
        <w:t xml:space="preserve">J Endod </w:t>
      </w:r>
      <w:r>
        <w:rPr>
          <w:szCs w:val="24"/>
        </w:rPr>
        <w:t>32</w:t>
      </w:r>
      <w:r>
        <w:rPr>
          <w:b/>
          <w:bCs/>
          <w:szCs w:val="24"/>
        </w:rPr>
        <w:t>,</w:t>
      </w:r>
      <w:r>
        <w:rPr>
          <w:szCs w:val="24"/>
        </w:rPr>
        <w:t xml:space="preserve"> 1053-6.</w:t>
      </w:r>
      <w:proofErr w:type="gramEnd"/>
    </w:p>
    <w:p w:rsidR="00AD5452" w:rsidRDefault="00AD5452" w:rsidP="00AD5452">
      <w:pPr>
        <w:spacing w:line="480" w:lineRule="auto"/>
        <w:jc w:val="both"/>
        <w:rPr>
          <w:szCs w:val="24"/>
        </w:rPr>
      </w:pPr>
      <w:proofErr w:type="gramStart"/>
      <w:r>
        <w:rPr>
          <w:szCs w:val="24"/>
        </w:rPr>
        <w:t>AL-HEZAIMI, K., AL-SHALAN, T., NAGHSHBANDI, J., SIMON, J. &amp; ROTSTEIN, I. 2009.</w:t>
      </w:r>
      <w:proofErr w:type="gramEnd"/>
      <w:r>
        <w:rPr>
          <w:szCs w:val="24"/>
        </w:rPr>
        <w:t xml:space="preserve"> MTA preparations from different origins may vary in their antimicrobial activity. </w:t>
      </w:r>
      <w:proofErr w:type="gramStart"/>
      <w:r>
        <w:rPr>
          <w:i/>
          <w:iCs/>
          <w:szCs w:val="24"/>
        </w:rPr>
        <w:t xml:space="preserve">Oral Surg Oral Med Oral Pathol Oral Radiol Endod </w:t>
      </w:r>
      <w:r>
        <w:rPr>
          <w:szCs w:val="24"/>
        </w:rPr>
        <w:t>107</w:t>
      </w:r>
      <w:r>
        <w:rPr>
          <w:b/>
          <w:bCs/>
          <w:szCs w:val="24"/>
        </w:rPr>
        <w:t>,</w:t>
      </w:r>
      <w:r>
        <w:rPr>
          <w:szCs w:val="24"/>
        </w:rPr>
        <w:t xml:space="preserve"> e85–8.</w:t>
      </w:r>
      <w:proofErr w:type="gramEnd"/>
    </w:p>
    <w:p w:rsidR="00AD5452" w:rsidRDefault="00AD5452" w:rsidP="00AD5452">
      <w:pPr>
        <w:spacing w:line="480" w:lineRule="auto"/>
        <w:jc w:val="both"/>
        <w:rPr>
          <w:szCs w:val="24"/>
        </w:rPr>
      </w:pPr>
      <w:proofErr w:type="gramStart"/>
      <w:r>
        <w:rPr>
          <w:szCs w:val="24"/>
        </w:rPr>
        <w:lastRenderedPageBreak/>
        <w:t>AL-HEZAIMI, K., NAGHSHBANDI, J., OGLESBY, S., SIMON, J. &amp; ROTSTEIN, I. 2006.</w:t>
      </w:r>
      <w:proofErr w:type="gramEnd"/>
      <w:r>
        <w:rPr>
          <w:szCs w:val="24"/>
        </w:rPr>
        <w:t xml:space="preserve"> </w:t>
      </w:r>
      <w:proofErr w:type="gramStart"/>
      <w:r>
        <w:rPr>
          <w:szCs w:val="24"/>
        </w:rPr>
        <w:t>Comparison of antifungal activity of white-colored and gray-colored mineral trioxide aggregate (MTA) at similar concentrations against Candida albicans.</w:t>
      </w:r>
      <w:proofErr w:type="gramEnd"/>
      <w:r>
        <w:rPr>
          <w:szCs w:val="24"/>
        </w:rPr>
        <w:t xml:space="preserve"> . </w:t>
      </w:r>
      <w:proofErr w:type="gramStart"/>
      <w:r>
        <w:rPr>
          <w:i/>
          <w:iCs/>
          <w:szCs w:val="24"/>
        </w:rPr>
        <w:t xml:space="preserve">J Endod </w:t>
      </w:r>
      <w:r>
        <w:rPr>
          <w:szCs w:val="24"/>
        </w:rPr>
        <w:t>32</w:t>
      </w:r>
      <w:r>
        <w:rPr>
          <w:b/>
          <w:bCs/>
          <w:szCs w:val="24"/>
        </w:rPr>
        <w:t>,</w:t>
      </w:r>
      <w:r>
        <w:rPr>
          <w:szCs w:val="24"/>
        </w:rPr>
        <w:t xml:space="preserve"> 365–7.</w:t>
      </w:r>
      <w:proofErr w:type="gramEnd"/>
    </w:p>
    <w:p w:rsidR="00AD5452" w:rsidRDefault="00AD5452" w:rsidP="00AD5452">
      <w:pPr>
        <w:spacing w:line="480" w:lineRule="auto"/>
        <w:jc w:val="both"/>
        <w:rPr>
          <w:szCs w:val="24"/>
        </w:rPr>
      </w:pPr>
      <w:proofErr w:type="gramStart"/>
      <w:r>
        <w:rPr>
          <w:szCs w:val="24"/>
        </w:rPr>
        <w:t>AL-JUNDI, S. 2002.</w:t>
      </w:r>
      <w:proofErr w:type="gramEnd"/>
      <w:r>
        <w:rPr>
          <w:szCs w:val="24"/>
        </w:rPr>
        <w:t xml:space="preserve"> Dental emergencies presenting to dental teaching hospital due to complications from traumatic dental injures. </w:t>
      </w:r>
      <w:r>
        <w:rPr>
          <w:i/>
          <w:iCs/>
          <w:szCs w:val="24"/>
        </w:rPr>
        <w:t>Dental Traumatology,</w:t>
      </w:r>
      <w:r>
        <w:rPr>
          <w:szCs w:val="24"/>
        </w:rPr>
        <w:t xml:space="preserve"> 18 181-185.</w:t>
      </w:r>
    </w:p>
    <w:p w:rsidR="00AD5452" w:rsidRDefault="00AD5452" w:rsidP="00AD5452">
      <w:pPr>
        <w:spacing w:line="480" w:lineRule="auto"/>
        <w:jc w:val="both"/>
        <w:rPr>
          <w:szCs w:val="24"/>
        </w:rPr>
      </w:pPr>
      <w:proofErr w:type="gramStart"/>
      <w:r>
        <w:rPr>
          <w:szCs w:val="24"/>
        </w:rPr>
        <w:t>AL-JUNDI, S. 2004.</w:t>
      </w:r>
      <w:proofErr w:type="gramEnd"/>
      <w:r>
        <w:rPr>
          <w:szCs w:val="24"/>
        </w:rPr>
        <w:t xml:space="preserve"> Type of treatment, prognosis and estimation of time spent to manage dental trauma in late presentation cases at a dental teaching hospital: a longitudinal and retrospective study. </w:t>
      </w:r>
      <w:r>
        <w:rPr>
          <w:i/>
          <w:iCs/>
          <w:szCs w:val="24"/>
        </w:rPr>
        <w:t xml:space="preserve">Dental Traumatology </w:t>
      </w:r>
      <w:r>
        <w:rPr>
          <w:szCs w:val="24"/>
        </w:rPr>
        <w:t>20</w:t>
      </w:r>
      <w:r>
        <w:rPr>
          <w:b/>
          <w:bCs/>
          <w:szCs w:val="24"/>
        </w:rPr>
        <w:t>,</w:t>
      </w:r>
      <w:r>
        <w:rPr>
          <w:szCs w:val="24"/>
        </w:rPr>
        <w:t xml:space="preserve"> 1-5.</w:t>
      </w:r>
    </w:p>
    <w:p w:rsidR="00AD5452" w:rsidRDefault="00AD5452" w:rsidP="00AD5452">
      <w:pPr>
        <w:spacing w:line="480" w:lineRule="auto"/>
        <w:jc w:val="both"/>
        <w:rPr>
          <w:szCs w:val="24"/>
        </w:rPr>
      </w:pPr>
      <w:r>
        <w:rPr>
          <w:szCs w:val="24"/>
        </w:rPr>
        <w:t xml:space="preserve">AL-KHATANI, A., SHOSTAD, S., SCHIFFERLE, R. &amp; BHAMBHANI, S. 2005. </w:t>
      </w:r>
      <w:proofErr w:type="gramStart"/>
      <w:r>
        <w:rPr>
          <w:szCs w:val="24"/>
        </w:rPr>
        <w:t>In-vitro evaluation of microleakage of an orthograde apical plug of mineral trioxide aggregate in permanent teeth with simulated immature apices.</w:t>
      </w:r>
      <w:proofErr w:type="gramEnd"/>
      <w:r>
        <w:rPr>
          <w:szCs w:val="24"/>
        </w:rPr>
        <w:t xml:space="preserve"> . </w:t>
      </w:r>
      <w:r>
        <w:rPr>
          <w:i/>
          <w:iCs/>
          <w:szCs w:val="24"/>
        </w:rPr>
        <w:t xml:space="preserve">J Endod </w:t>
      </w:r>
      <w:r>
        <w:rPr>
          <w:szCs w:val="24"/>
        </w:rPr>
        <w:t>31</w:t>
      </w:r>
      <w:r>
        <w:rPr>
          <w:b/>
          <w:bCs/>
          <w:szCs w:val="24"/>
        </w:rPr>
        <w:t>,</w:t>
      </w:r>
      <w:r>
        <w:rPr>
          <w:szCs w:val="24"/>
        </w:rPr>
        <w:t xml:space="preserve"> 117-119</w:t>
      </w:r>
    </w:p>
    <w:p w:rsidR="00AD5452" w:rsidRDefault="00AD5452" w:rsidP="00AD5452">
      <w:pPr>
        <w:spacing w:line="480" w:lineRule="auto"/>
        <w:jc w:val="both"/>
        <w:rPr>
          <w:szCs w:val="24"/>
        </w:rPr>
      </w:pPr>
      <w:proofErr w:type="gramStart"/>
      <w:r>
        <w:rPr>
          <w:szCs w:val="24"/>
        </w:rPr>
        <w:t>AL-KHATIB, Z., BAUM, R. &amp; MORSE, D. 1990.</w:t>
      </w:r>
      <w:proofErr w:type="gramEnd"/>
      <w:r>
        <w:rPr>
          <w:szCs w:val="24"/>
        </w:rPr>
        <w:t xml:space="preserve"> </w:t>
      </w:r>
      <w:proofErr w:type="gramStart"/>
      <w:r>
        <w:rPr>
          <w:szCs w:val="24"/>
        </w:rPr>
        <w:t>The antimicrobial effect of various endodontic sealers.</w:t>
      </w:r>
      <w:proofErr w:type="gramEnd"/>
      <w:r>
        <w:rPr>
          <w:szCs w:val="24"/>
        </w:rPr>
        <w:t xml:space="preserve"> </w:t>
      </w:r>
      <w:proofErr w:type="gramStart"/>
      <w:r>
        <w:rPr>
          <w:i/>
          <w:iCs/>
          <w:szCs w:val="24"/>
        </w:rPr>
        <w:t>Oral Surg Oral Med Oral Pathol Oral Radiol Endod,</w:t>
      </w:r>
      <w:r>
        <w:rPr>
          <w:szCs w:val="24"/>
        </w:rPr>
        <w:t xml:space="preserve"> 70</w:t>
      </w:r>
      <w:r>
        <w:rPr>
          <w:b/>
          <w:bCs/>
          <w:szCs w:val="24"/>
        </w:rPr>
        <w:t>,</w:t>
      </w:r>
      <w:r>
        <w:rPr>
          <w:szCs w:val="24"/>
        </w:rPr>
        <w:t xml:space="preserve"> 784–90.</w:t>
      </w:r>
      <w:proofErr w:type="gramEnd"/>
    </w:p>
    <w:p w:rsidR="00AD5452" w:rsidRDefault="00AD5452" w:rsidP="00AD5452">
      <w:pPr>
        <w:spacing w:line="480" w:lineRule="auto"/>
        <w:jc w:val="both"/>
        <w:rPr>
          <w:szCs w:val="24"/>
        </w:rPr>
      </w:pPr>
      <w:proofErr w:type="gramStart"/>
      <w:r>
        <w:rPr>
          <w:szCs w:val="24"/>
        </w:rPr>
        <w:t>AL-NAZHAN, S. &amp; AL-JUDAI, A. 2003.</w:t>
      </w:r>
      <w:proofErr w:type="gramEnd"/>
      <w:r>
        <w:rPr>
          <w:szCs w:val="24"/>
        </w:rPr>
        <w:t xml:space="preserve"> </w:t>
      </w:r>
      <w:proofErr w:type="gramStart"/>
      <w:r>
        <w:rPr>
          <w:szCs w:val="24"/>
        </w:rPr>
        <w:t>Evaluation of antifungal activity of mineral trioxide aggregate.</w:t>
      </w:r>
      <w:proofErr w:type="gramEnd"/>
      <w:r>
        <w:rPr>
          <w:szCs w:val="24"/>
        </w:rPr>
        <w:t xml:space="preserve"> </w:t>
      </w:r>
      <w:proofErr w:type="gramStart"/>
      <w:r>
        <w:rPr>
          <w:i/>
          <w:iCs/>
          <w:szCs w:val="24"/>
        </w:rPr>
        <w:t>J Endod,</w:t>
      </w:r>
      <w:r>
        <w:rPr>
          <w:szCs w:val="24"/>
        </w:rPr>
        <w:t xml:space="preserve"> 29</w:t>
      </w:r>
      <w:r>
        <w:rPr>
          <w:b/>
          <w:bCs/>
          <w:szCs w:val="24"/>
        </w:rPr>
        <w:t>,</w:t>
      </w:r>
      <w:r>
        <w:rPr>
          <w:szCs w:val="24"/>
        </w:rPr>
        <w:t xml:space="preserve"> 826–7.</w:t>
      </w:r>
      <w:proofErr w:type="gramEnd"/>
    </w:p>
    <w:p w:rsidR="00AD5452" w:rsidRDefault="00AD5452" w:rsidP="00AD5452">
      <w:pPr>
        <w:spacing w:line="480" w:lineRule="auto"/>
        <w:jc w:val="both"/>
        <w:rPr>
          <w:szCs w:val="24"/>
        </w:rPr>
      </w:pPr>
      <w:r>
        <w:rPr>
          <w:szCs w:val="24"/>
        </w:rPr>
        <w:t xml:space="preserve">ANDERSSON, L. 2013. </w:t>
      </w:r>
      <w:proofErr w:type="gramStart"/>
      <w:r>
        <w:rPr>
          <w:szCs w:val="24"/>
        </w:rPr>
        <w:t>Epidemiology of Traumatic Dental Injuries.</w:t>
      </w:r>
      <w:proofErr w:type="gramEnd"/>
      <w:r>
        <w:rPr>
          <w:szCs w:val="24"/>
        </w:rPr>
        <w:t xml:space="preserve"> </w:t>
      </w:r>
      <w:proofErr w:type="gramStart"/>
      <w:r>
        <w:rPr>
          <w:i/>
          <w:iCs/>
          <w:szCs w:val="24"/>
        </w:rPr>
        <w:t>J Endod,</w:t>
      </w:r>
      <w:r>
        <w:rPr>
          <w:szCs w:val="24"/>
        </w:rPr>
        <w:t xml:space="preserve"> 39</w:t>
      </w:r>
      <w:r>
        <w:rPr>
          <w:b/>
          <w:bCs/>
          <w:szCs w:val="24"/>
        </w:rPr>
        <w:t>,</w:t>
      </w:r>
      <w:r>
        <w:rPr>
          <w:szCs w:val="24"/>
        </w:rPr>
        <w:t xml:space="preserve"> S2–S5.</w:t>
      </w:r>
      <w:proofErr w:type="gramEnd"/>
    </w:p>
    <w:p w:rsidR="00AD5452" w:rsidRDefault="00AD5452" w:rsidP="00AD5452">
      <w:pPr>
        <w:spacing w:line="480" w:lineRule="auto"/>
        <w:jc w:val="both"/>
        <w:rPr>
          <w:szCs w:val="24"/>
        </w:rPr>
      </w:pPr>
      <w:proofErr w:type="gramStart"/>
      <w:r>
        <w:rPr>
          <w:szCs w:val="24"/>
        </w:rPr>
        <w:lastRenderedPageBreak/>
        <w:t>ANDREASEN, F. &amp; ANDREASEN, J. 1985.</w:t>
      </w:r>
      <w:proofErr w:type="gramEnd"/>
      <w:r>
        <w:rPr>
          <w:szCs w:val="24"/>
        </w:rPr>
        <w:t xml:space="preserve"> Diagnosis Of luxation injuries: The importance of standardised clinical, radiographic and photographic techniques in clinical investigations. </w:t>
      </w:r>
      <w:r>
        <w:rPr>
          <w:i/>
          <w:iCs/>
          <w:szCs w:val="24"/>
        </w:rPr>
        <w:t xml:space="preserve">Endod Dent Traumatol </w:t>
      </w:r>
      <w:r>
        <w:rPr>
          <w:szCs w:val="24"/>
        </w:rPr>
        <w:t>1</w:t>
      </w:r>
      <w:r>
        <w:rPr>
          <w:b/>
          <w:bCs/>
          <w:szCs w:val="24"/>
        </w:rPr>
        <w:t>,</w:t>
      </w:r>
      <w:r>
        <w:rPr>
          <w:szCs w:val="24"/>
        </w:rPr>
        <w:t xml:space="preserve"> 160-169.</w:t>
      </w:r>
    </w:p>
    <w:p w:rsidR="00AD5452" w:rsidRDefault="00AD5452" w:rsidP="00AD5452">
      <w:pPr>
        <w:spacing w:line="480" w:lineRule="auto"/>
        <w:jc w:val="both"/>
        <w:rPr>
          <w:szCs w:val="24"/>
        </w:rPr>
      </w:pPr>
      <w:r>
        <w:rPr>
          <w:szCs w:val="24"/>
        </w:rPr>
        <w:t xml:space="preserve">ANDREASEN, J. 1985. </w:t>
      </w:r>
      <w:proofErr w:type="gramStart"/>
      <w:r>
        <w:rPr>
          <w:szCs w:val="24"/>
        </w:rPr>
        <w:t>Challenges in clinical dental traumatology.</w:t>
      </w:r>
      <w:proofErr w:type="gramEnd"/>
      <w:r>
        <w:rPr>
          <w:i/>
          <w:iCs/>
          <w:szCs w:val="24"/>
        </w:rPr>
        <w:t xml:space="preserve"> Endod Dent Traumatol,</w:t>
      </w:r>
      <w:r>
        <w:rPr>
          <w:szCs w:val="24"/>
        </w:rPr>
        <w:t xml:space="preserve"> 1</w:t>
      </w:r>
      <w:r>
        <w:rPr>
          <w:b/>
          <w:bCs/>
          <w:szCs w:val="24"/>
        </w:rPr>
        <w:t>,</w:t>
      </w:r>
      <w:r>
        <w:rPr>
          <w:szCs w:val="24"/>
        </w:rPr>
        <w:t xml:space="preserve"> 45-55.</w:t>
      </w:r>
    </w:p>
    <w:p w:rsidR="00AD5452" w:rsidRDefault="00AD5452" w:rsidP="00AD5452">
      <w:pPr>
        <w:spacing w:line="480" w:lineRule="auto"/>
        <w:jc w:val="both"/>
        <w:rPr>
          <w:szCs w:val="24"/>
        </w:rPr>
      </w:pPr>
      <w:proofErr w:type="gramStart"/>
      <w:r>
        <w:rPr>
          <w:szCs w:val="24"/>
        </w:rPr>
        <w:t>ANDREASEN, J., ANDREASEN, F. &amp; ANDERSSON, L. 2009.</w:t>
      </w:r>
      <w:proofErr w:type="gramEnd"/>
      <w:r>
        <w:rPr>
          <w:szCs w:val="24"/>
        </w:rPr>
        <w:t xml:space="preserve"> </w:t>
      </w:r>
      <w:proofErr w:type="gramStart"/>
      <w:r>
        <w:rPr>
          <w:i/>
          <w:iCs/>
          <w:szCs w:val="24"/>
        </w:rPr>
        <w:t>Textbook and Color Atlas of Traumatic Injuries to the Teeth</w:t>
      </w:r>
      <w:r>
        <w:rPr>
          <w:szCs w:val="24"/>
        </w:rPr>
        <w:t>, Blackwell Munksgaard.</w:t>
      </w:r>
      <w:proofErr w:type="gramEnd"/>
    </w:p>
    <w:p w:rsidR="00AD5452" w:rsidRDefault="00AD5452" w:rsidP="00AD5452">
      <w:pPr>
        <w:spacing w:line="480" w:lineRule="auto"/>
        <w:jc w:val="both"/>
        <w:rPr>
          <w:szCs w:val="24"/>
        </w:rPr>
      </w:pPr>
      <w:proofErr w:type="gramStart"/>
      <w:r>
        <w:rPr>
          <w:szCs w:val="24"/>
        </w:rPr>
        <w:t>ANDREASEN, J., ANDREASEN, F. &amp; ANDREASEN, L. 2007.</w:t>
      </w:r>
      <w:proofErr w:type="gramEnd"/>
      <w:r>
        <w:rPr>
          <w:szCs w:val="24"/>
        </w:rPr>
        <w:t xml:space="preserve"> </w:t>
      </w:r>
      <w:r>
        <w:rPr>
          <w:i/>
          <w:iCs/>
          <w:szCs w:val="24"/>
        </w:rPr>
        <w:t>Textbook and color atlas of traumatic injuries to the teeth</w:t>
      </w:r>
      <w:r>
        <w:rPr>
          <w:szCs w:val="24"/>
        </w:rPr>
        <w:t>, Blackwell Munksgaard, Oxford.</w:t>
      </w:r>
    </w:p>
    <w:p w:rsidR="00AD5452" w:rsidRDefault="00AD5452" w:rsidP="00AD5452">
      <w:pPr>
        <w:spacing w:line="480" w:lineRule="auto"/>
        <w:jc w:val="both"/>
        <w:rPr>
          <w:szCs w:val="24"/>
        </w:rPr>
      </w:pPr>
      <w:proofErr w:type="gramStart"/>
      <w:r>
        <w:rPr>
          <w:szCs w:val="24"/>
        </w:rPr>
        <w:t>ANDREASEN, J., BAKLAND, L., MATRAS, R. &amp; ANDREASEN, F. 2006.</w:t>
      </w:r>
      <w:proofErr w:type="gramEnd"/>
      <w:r>
        <w:rPr>
          <w:szCs w:val="24"/>
        </w:rPr>
        <w:t xml:space="preserve"> </w:t>
      </w:r>
      <w:proofErr w:type="gramStart"/>
      <w:r>
        <w:rPr>
          <w:szCs w:val="24"/>
        </w:rPr>
        <w:t>traumatic</w:t>
      </w:r>
      <w:proofErr w:type="gramEnd"/>
      <w:r>
        <w:rPr>
          <w:szCs w:val="24"/>
        </w:rPr>
        <w:t xml:space="preserve"> intrusion of permanent teeth part 1. An epidemiological study of 216 intruded permanent teeth. </w:t>
      </w:r>
      <w:r>
        <w:rPr>
          <w:i/>
          <w:iCs/>
          <w:szCs w:val="24"/>
        </w:rPr>
        <w:t>Dental Traumatology,</w:t>
      </w:r>
      <w:r>
        <w:rPr>
          <w:szCs w:val="24"/>
        </w:rPr>
        <w:t xml:space="preserve"> 22</w:t>
      </w:r>
      <w:r>
        <w:rPr>
          <w:b/>
          <w:bCs/>
          <w:szCs w:val="24"/>
        </w:rPr>
        <w:t>,</w:t>
      </w:r>
      <w:r>
        <w:rPr>
          <w:szCs w:val="24"/>
        </w:rPr>
        <w:t xml:space="preserve"> 83-89.</w:t>
      </w:r>
    </w:p>
    <w:p w:rsidR="00AD5452" w:rsidRDefault="00AD5452" w:rsidP="00AD5452">
      <w:pPr>
        <w:spacing w:line="480" w:lineRule="auto"/>
        <w:jc w:val="both"/>
        <w:rPr>
          <w:szCs w:val="24"/>
        </w:rPr>
      </w:pPr>
      <w:proofErr w:type="gramStart"/>
      <w:r>
        <w:rPr>
          <w:szCs w:val="24"/>
        </w:rPr>
        <w:t>ANDREASEN, J., FARIK, B. &amp; MUNKSGAARD, E. 2002.</w:t>
      </w:r>
      <w:proofErr w:type="gramEnd"/>
      <w:r>
        <w:rPr>
          <w:szCs w:val="24"/>
        </w:rPr>
        <w:t xml:space="preserve"> Long-term calcium hydroxide as root canal dressing may increase risk of root fracture. </w:t>
      </w:r>
      <w:r>
        <w:rPr>
          <w:i/>
          <w:iCs/>
          <w:szCs w:val="24"/>
        </w:rPr>
        <w:t>Dental Traumatology,</w:t>
      </w:r>
      <w:r>
        <w:rPr>
          <w:szCs w:val="24"/>
        </w:rPr>
        <w:t xml:space="preserve"> 18</w:t>
      </w:r>
      <w:r>
        <w:rPr>
          <w:b/>
          <w:bCs/>
          <w:szCs w:val="24"/>
        </w:rPr>
        <w:t>,</w:t>
      </w:r>
      <w:r>
        <w:rPr>
          <w:szCs w:val="24"/>
        </w:rPr>
        <w:t xml:space="preserve"> 134-7.a </w:t>
      </w:r>
    </w:p>
    <w:p w:rsidR="00AD5452" w:rsidRDefault="00AD5452" w:rsidP="00AD5452">
      <w:pPr>
        <w:spacing w:line="480" w:lineRule="auto"/>
        <w:jc w:val="both"/>
        <w:rPr>
          <w:szCs w:val="24"/>
        </w:rPr>
      </w:pPr>
      <w:proofErr w:type="gramStart"/>
      <w:r>
        <w:rPr>
          <w:szCs w:val="24"/>
        </w:rPr>
        <w:t>ANDREASEN, J., JACOBSEN, H. &amp; ANDREASEN, F. 1995.</w:t>
      </w:r>
      <w:proofErr w:type="gramEnd"/>
      <w:r>
        <w:rPr>
          <w:szCs w:val="24"/>
        </w:rPr>
        <w:t xml:space="preserve"> Replantation of 400 avulsed permanent incisors: 2-factors related to pulpal healing. </w:t>
      </w:r>
      <w:r>
        <w:rPr>
          <w:i/>
          <w:iCs/>
          <w:szCs w:val="24"/>
        </w:rPr>
        <w:t xml:space="preserve">Endod Dent Traumatol </w:t>
      </w:r>
      <w:r>
        <w:rPr>
          <w:szCs w:val="24"/>
        </w:rPr>
        <w:t>11</w:t>
      </w:r>
      <w:r>
        <w:rPr>
          <w:b/>
          <w:bCs/>
          <w:szCs w:val="24"/>
        </w:rPr>
        <w:t>,</w:t>
      </w:r>
      <w:r>
        <w:rPr>
          <w:szCs w:val="24"/>
        </w:rPr>
        <w:t xml:space="preserve"> 59-68.</w:t>
      </w:r>
    </w:p>
    <w:p w:rsidR="00AD5452" w:rsidRDefault="00AD5452" w:rsidP="00AD5452">
      <w:pPr>
        <w:spacing w:line="480" w:lineRule="auto"/>
        <w:jc w:val="both"/>
        <w:rPr>
          <w:szCs w:val="24"/>
        </w:rPr>
      </w:pPr>
      <w:proofErr w:type="gramStart"/>
      <w:r>
        <w:rPr>
          <w:szCs w:val="24"/>
        </w:rPr>
        <w:t>ANDREASEN, J., MUNKSGAARD, E. &amp; BAKLAND, L. 2006.</w:t>
      </w:r>
      <w:proofErr w:type="gramEnd"/>
      <w:r>
        <w:rPr>
          <w:szCs w:val="24"/>
        </w:rPr>
        <w:t xml:space="preserve"> </w:t>
      </w:r>
      <w:proofErr w:type="gramStart"/>
      <w:r>
        <w:rPr>
          <w:szCs w:val="24"/>
        </w:rPr>
        <w:t>Comparison of fracture resistance in root canals of immature sheep teeth after filling with calcium hydroxide or MTA.</w:t>
      </w:r>
      <w:proofErr w:type="gramEnd"/>
      <w:r>
        <w:rPr>
          <w:szCs w:val="24"/>
        </w:rPr>
        <w:t xml:space="preserve"> </w:t>
      </w:r>
      <w:r>
        <w:rPr>
          <w:i/>
          <w:iCs/>
          <w:szCs w:val="24"/>
        </w:rPr>
        <w:t xml:space="preserve">Dent Traumatol </w:t>
      </w:r>
      <w:r>
        <w:rPr>
          <w:szCs w:val="24"/>
        </w:rPr>
        <w:t>22</w:t>
      </w:r>
      <w:r>
        <w:rPr>
          <w:b/>
          <w:bCs/>
          <w:szCs w:val="24"/>
        </w:rPr>
        <w:t>,</w:t>
      </w:r>
      <w:r>
        <w:rPr>
          <w:szCs w:val="24"/>
        </w:rPr>
        <w:t xml:space="preserve"> 154–6.</w:t>
      </w:r>
    </w:p>
    <w:p w:rsidR="00AD5452" w:rsidRDefault="00AD5452" w:rsidP="00AD5452">
      <w:pPr>
        <w:spacing w:line="480" w:lineRule="auto"/>
        <w:jc w:val="both"/>
        <w:rPr>
          <w:szCs w:val="24"/>
        </w:rPr>
      </w:pPr>
      <w:proofErr w:type="gramStart"/>
      <w:r>
        <w:rPr>
          <w:szCs w:val="24"/>
        </w:rPr>
        <w:t>ANGKER, L., NOCKOLDS, C., SWAIN, M. &amp; KILPATRICK, M. 2004.</w:t>
      </w:r>
      <w:proofErr w:type="gramEnd"/>
      <w:r>
        <w:rPr>
          <w:szCs w:val="24"/>
        </w:rPr>
        <w:t xml:space="preserve"> Correlating the mechanical properties to the mineral content of carious </w:t>
      </w:r>
      <w:r>
        <w:rPr>
          <w:szCs w:val="24"/>
        </w:rPr>
        <w:lastRenderedPageBreak/>
        <w:t xml:space="preserve">dentineâ€”a comparative study using an ultra-micro indentation system (UMIS) and SEM-BSE signals. </w:t>
      </w:r>
      <w:proofErr w:type="gramStart"/>
      <w:r>
        <w:rPr>
          <w:i/>
          <w:iCs/>
          <w:szCs w:val="24"/>
        </w:rPr>
        <w:t>Archives of oral biology,</w:t>
      </w:r>
      <w:r>
        <w:rPr>
          <w:szCs w:val="24"/>
        </w:rPr>
        <w:t xml:space="preserve"> 49</w:t>
      </w:r>
      <w:r>
        <w:rPr>
          <w:b/>
          <w:bCs/>
          <w:szCs w:val="24"/>
        </w:rPr>
        <w:t>,</w:t>
      </w:r>
      <w:r>
        <w:rPr>
          <w:szCs w:val="24"/>
        </w:rPr>
        <w:t xml:space="preserve"> 369-378.</w:t>
      </w:r>
      <w:proofErr w:type="gramEnd"/>
    </w:p>
    <w:p w:rsidR="00AD5452" w:rsidRDefault="00AD5452" w:rsidP="00AD5452">
      <w:pPr>
        <w:spacing w:line="480" w:lineRule="auto"/>
        <w:jc w:val="both"/>
        <w:rPr>
          <w:szCs w:val="24"/>
        </w:rPr>
      </w:pPr>
      <w:proofErr w:type="gramStart"/>
      <w:r>
        <w:rPr>
          <w:szCs w:val="24"/>
        </w:rPr>
        <w:t>ANGKER, L. &amp; SWAIN, M. 2006.</w:t>
      </w:r>
      <w:proofErr w:type="gramEnd"/>
      <w:r>
        <w:rPr>
          <w:szCs w:val="24"/>
        </w:rPr>
        <w:t xml:space="preserve"> Nanoindentation: Aplication to dental hard tissue investigations. </w:t>
      </w:r>
      <w:r>
        <w:rPr>
          <w:i/>
          <w:iCs/>
          <w:szCs w:val="24"/>
        </w:rPr>
        <w:t>J Material Research,</w:t>
      </w:r>
      <w:r>
        <w:rPr>
          <w:szCs w:val="24"/>
        </w:rPr>
        <w:t xml:space="preserve"> 21</w:t>
      </w:r>
      <w:r>
        <w:rPr>
          <w:b/>
          <w:bCs/>
          <w:szCs w:val="24"/>
        </w:rPr>
        <w:t>,</w:t>
      </w:r>
      <w:r>
        <w:rPr>
          <w:szCs w:val="24"/>
        </w:rPr>
        <w:t xml:space="preserve"> 1893-1905.</w:t>
      </w:r>
    </w:p>
    <w:p w:rsidR="00AD5452" w:rsidRDefault="00AD5452" w:rsidP="00AD5452">
      <w:pPr>
        <w:spacing w:line="480" w:lineRule="auto"/>
        <w:jc w:val="both"/>
        <w:rPr>
          <w:szCs w:val="24"/>
        </w:rPr>
      </w:pPr>
      <w:proofErr w:type="gramStart"/>
      <w:r>
        <w:rPr>
          <w:szCs w:val="24"/>
        </w:rPr>
        <w:t>APAYDIN, E., SHABAHANG, S. &amp; TORABINEJAD, M. 2004.</w:t>
      </w:r>
      <w:proofErr w:type="gramEnd"/>
      <w:r>
        <w:rPr>
          <w:szCs w:val="24"/>
        </w:rPr>
        <w:t xml:space="preserve"> </w:t>
      </w:r>
      <w:proofErr w:type="gramStart"/>
      <w:r>
        <w:rPr>
          <w:szCs w:val="24"/>
        </w:rPr>
        <w:t>Hard tissue healing after application of fresh or set MTA as root-end-filling material.</w:t>
      </w:r>
      <w:proofErr w:type="gramEnd"/>
      <w:r>
        <w:rPr>
          <w:szCs w:val="24"/>
        </w:rPr>
        <w:t xml:space="preserve"> </w:t>
      </w:r>
      <w:r>
        <w:rPr>
          <w:i/>
          <w:iCs/>
          <w:szCs w:val="24"/>
        </w:rPr>
        <w:t xml:space="preserve">J Endod </w:t>
      </w:r>
      <w:r>
        <w:rPr>
          <w:szCs w:val="24"/>
        </w:rPr>
        <w:t>30</w:t>
      </w:r>
      <w:r>
        <w:rPr>
          <w:b/>
          <w:bCs/>
          <w:szCs w:val="24"/>
        </w:rPr>
        <w:t>,</w:t>
      </w:r>
      <w:r>
        <w:rPr>
          <w:szCs w:val="24"/>
        </w:rPr>
        <w:t xml:space="preserve"> 21-24.</w:t>
      </w:r>
    </w:p>
    <w:p w:rsidR="00AD5452" w:rsidRDefault="00AD5452" w:rsidP="00AD5452">
      <w:pPr>
        <w:spacing w:line="480" w:lineRule="auto"/>
        <w:jc w:val="both"/>
        <w:rPr>
          <w:szCs w:val="24"/>
        </w:rPr>
      </w:pPr>
      <w:proofErr w:type="gramStart"/>
      <w:r>
        <w:rPr>
          <w:szCs w:val="24"/>
        </w:rPr>
        <w:t>ASGARY, S. &amp; KAMRANI, F. 2008.</w:t>
      </w:r>
      <w:proofErr w:type="gramEnd"/>
      <w:r>
        <w:rPr>
          <w:szCs w:val="24"/>
        </w:rPr>
        <w:t xml:space="preserve"> </w:t>
      </w:r>
      <w:proofErr w:type="gramStart"/>
      <w:r>
        <w:rPr>
          <w:szCs w:val="24"/>
        </w:rPr>
        <w:t>Antibacterial effects of five different root canal sealing materials.</w:t>
      </w:r>
      <w:proofErr w:type="gramEnd"/>
      <w:r>
        <w:rPr>
          <w:szCs w:val="24"/>
        </w:rPr>
        <w:t xml:space="preserve"> </w:t>
      </w:r>
      <w:proofErr w:type="gramStart"/>
      <w:r>
        <w:rPr>
          <w:i/>
          <w:iCs/>
          <w:szCs w:val="24"/>
        </w:rPr>
        <w:t xml:space="preserve">J Oral Sci </w:t>
      </w:r>
      <w:r>
        <w:rPr>
          <w:szCs w:val="24"/>
        </w:rPr>
        <w:t>50</w:t>
      </w:r>
      <w:r>
        <w:rPr>
          <w:b/>
          <w:bCs/>
          <w:szCs w:val="24"/>
        </w:rPr>
        <w:t>,</w:t>
      </w:r>
      <w:r>
        <w:rPr>
          <w:szCs w:val="24"/>
        </w:rPr>
        <w:t xml:space="preserve"> 469–74.</w:t>
      </w:r>
      <w:proofErr w:type="gramEnd"/>
    </w:p>
    <w:p w:rsidR="00AD5452" w:rsidRDefault="00AD5452" w:rsidP="00AD5452">
      <w:pPr>
        <w:spacing w:line="480" w:lineRule="auto"/>
        <w:jc w:val="both"/>
        <w:rPr>
          <w:szCs w:val="24"/>
        </w:rPr>
      </w:pPr>
      <w:proofErr w:type="gramStart"/>
      <w:r>
        <w:rPr>
          <w:szCs w:val="24"/>
        </w:rPr>
        <w:t>ASGARY, S., PARIROKH, M., EGBBAL, M. &amp; BRINK, F. 2005.</w:t>
      </w:r>
      <w:proofErr w:type="gramEnd"/>
      <w:r>
        <w:rPr>
          <w:szCs w:val="24"/>
        </w:rPr>
        <w:t xml:space="preserve"> Chemical differences between white and gray mineral trioxide aggregate.</w:t>
      </w:r>
      <w:r>
        <w:rPr>
          <w:i/>
          <w:iCs/>
          <w:szCs w:val="24"/>
        </w:rPr>
        <w:t xml:space="preserve"> J Endod,</w:t>
      </w:r>
      <w:r>
        <w:rPr>
          <w:szCs w:val="24"/>
        </w:rPr>
        <w:t xml:space="preserve"> 31</w:t>
      </w:r>
      <w:r>
        <w:rPr>
          <w:b/>
          <w:bCs/>
          <w:szCs w:val="24"/>
        </w:rPr>
        <w:t>,</w:t>
      </w:r>
      <w:r>
        <w:rPr>
          <w:szCs w:val="24"/>
        </w:rPr>
        <w:t xml:space="preserve"> 101-103.</w:t>
      </w:r>
    </w:p>
    <w:p w:rsidR="00AD5452" w:rsidRDefault="00AD5452" w:rsidP="00AD5452">
      <w:pPr>
        <w:spacing w:line="480" w:lineRule="auto"/>
        <w:jc w:val="both"/>
        <w:rPr>
          <w:szCs w:val="24"/>
        </w:rPr>
      </w:pPr>
      <w:proofErr w:type="gramStart"/>
      <w:r>
        <w:rPr>
          <w:szCs w:val="24"/>
        </w:rPr>
        <w:t>ASGARY, S., PARIROKH, M., EGHBAL, M., STOWE, S. &amp; BRINK, F. 2006.</w:t>
      </w:r>
      <w:proofErr w:type="gramEnd"/>
      <w:r>
        <w:rPr>
          <w:szCs w:val="24"/>
        </w:rPr>
        <w:t xml:space="preserve"> </w:t>
      </w:r>
      <w:proofErr w:type="gramStart"/>
      <w:r>
        <w:rPr>
          <w:szCs w:val="24"/>
        </w:rPr>
        <w:t>A qualitative X-ray analysis of white and grey mineral trioxide aggregate using compositional imaging.</w:t>
      </w:r>
      <w:proofErr w:type="gramEnd"/>
      <w:r>
        <w:rPr>
          <w:szCs w:val="24"/>
        </w:rPr>
        <w:t xml:space="preserve"> </w:t>
      </w:r>
      <w:proofErr w:type="gramStart"/>
      <w:r>
        <w:rPr>
          <w:i/>
          <w:iCs/>
          <w:szCs w:val="24"/>
        </w:rPr>
        <w:t>Journal of Materials Science.</w:t>
      </w:r>
      <w:proofErr w:type="gramEnd"/>
      <w:r>
        <w:rPr>
          <w:i/>
          <w:iCs/>
          <w:szCs w:val="24"/>
        </w:rPr>
        <w:t xml:space="preserve"> Materials in </w:t>
      </w:r>
      <w:proofErr w:type="gramStart"/>
      <w:r>
        <w:rPr>
          <w:i/>
          <w:iCs/>
          <w:szCs w:val="24"/>
        </w:rPr>
        <w:t>Medicine.,</w:t>
      </w:r>
      <w:proofErr w:type="gramEnd"/>
      <w:r>
        <w:rPr>
          <w:szCs w:val="24"/>
        </w:rPr>
        <w:t xml:space="preserve"> 17</w:t>
      </w:r>
      <w:r>
        <w:rPr>
          <w:b/>
          <w:bCs/>
          <w:szCs w:val="24"/>
        </w:rPr>
        <w:t>,</w:t>
      </w:r>
      <w:r>
        <w:rPr>
          <w:szCs w:val="24"/>
        </w:rPr>
        <w:t xml:space="preserve"> 187-91.</w:t>
      </w:r>
    </w:p>
    <w:p w:rsidR="00AD5452" w:rsidRDefault="00AD5452" w:rsidP="00AD5452">
      <w:pPr>
        <w:spacing w:line="480" w:lineRule="auto"/>
        <w:jc w:val="both"/>
        <w:rPr>
          <w:szCs w:val="24"/>
        </w:rPr>
      </w:pPr>
      <w:r>
        <w:rPr>
          <w:szCs w:val="24"/>
        </w:rPr>
        <w:t xml:space="preserve">ATLAS, R. 1997. </w:t>
      </w:r>
      <w:r>
        <w:rPr>
          <w:i/>
          <w:iCs/>
          <w:szCs w:val="24"/>
        </w:rPr>
        <w:t>Principles of Microbiology</w:t>
      </w:r>
      <w:r>
        <w:rPr>
          <w:szCs w:val="24"/>
        </w:rPr>
        <w:t>, Dubuque, IA: WCB Publishers.</w:t>
      </w:r>
    </w:p>
    <w:p w:rsidR="00AD5452" w:rsidRDefault="00AD5452" w:rsidP="00AD5452">
      <w:pPr>
        <w:spacing w:line="480" w:lineRule="auto"/>
        <w:jc w:val="both"/>
        <w:rPr>
          <w:szCs w:val="24"/>
        </w:rPr>
      </w:pPr>
      <w:proofErr w:type="gramStart"/>
      <w:r>
        <w:rPr>
          <w:szCs w:val="24"/>
        </w:rPr>
        <w:t>ATMEH, A., CHONG, E. &amp; RICHARD, G. 2012.</w:t>
      </w:r>
      <w:proofErr w:type="gramEnd"/>
      <w:r>
        <w:rPr>
          <w:szCs w:val="24"/>
        </w:rPr>
        <w:t xml:space="preserve"> Dentin-cement interfacial interaction: calcium silicates and polyalkenoates. </w:t>
      </w:r>
      <w:proofErr w:type="gramStart"/>
      <w:r>
        <w:rPr>
          <w:i/>
          <w:iCs/>
          <w:szCs w:val="24"/>
        </w:rPr>
        <w:t xml:space="preserve">J Dent Res </w:t>
      </w:r>
      <w:r>
        <w:rPr>
          <w:szCs w:val="24"/>
        </w:rPr>
        <w:t>91</w:t>
      </w:r>
      <w:r>
        <w:rPr>
          <w:b/>
          <w:bCs/>
          <w:szCs w:val="24"/>
        </w:rPr>
        <w:t>,</w:t>
      </w:r>
      <w:r>
        <w:rPr>
          <w:szCs w:val="24"/>
        </w:rPr>
        <w:t xml:space="preserve"> 454–9.</w:t>
      </w:r>
      <w:proofErr w:type="gramEnd"/>
    </w:p>
    <w:p w:rsidR="00AD5452" w:rsidRDefault="00AD5452" w:rsidP="00AD5452">
      <w:pPr>
        <w:spacing w:line="480" w:lineRule="auto"/>
        <w:jc w:val="both"/>
        <w:rPr>
          <w:szCs w:val="24"/>
        </w:rPr>
      </w:pPr>
      <w:proofErr w:type="gramStart"/>
      <w:r>
        <w:rPr>
          <w:szCs w:val="24"/>
        </w:rPr>
        <w:t>BAL, C., PADDA, B. &amp; BALA, R. 1993.</w:t>
      </w:r>
      <w:proofErr w:type="gramEnd"/>
      <w:r>
        <w:rPr>
          <w:szCs w:val="24"/>
        </w:rPr>
        <w:t xml:space="preserve"> Evaluation of apical seal with renew (calcium hydroxide) and synthograft (tricalcium phosphate) in teeth with open </w:t>
      </w:r>
      <w:proofErr w:type="gramStart"/>
      <w:r>
        <w:rPr>
          <w:szCs w:val="24"/>
        </w:rPr>
        <w:t xml:space="preserve">apices </w:t>
      </w:r>
      <w:r>
        <w:rPr>
          <w:i/>
          <w:iCs/>
          <w:szCs w:val="24"/>
        </w:rPr>
        <w:t xml:space="preserve"> Indian</w:t>
      </w:r>
      <w:proofErr w:type="gramEnd"/>
      <w:r>
        <w:rPr>
          <w:i/>
          <w:iCs/>
          <w:szCs w:val="24"/>
        </w:rPr>
        <w:t xml:space="preserve"> Journal of dental Research,</w:t>
      </w:r>
      <w:r>
        <w:rPr>
          <w:szCs w:val="24"/>
        </w:rPr>
        <w:t xml:space="preserve"> 4</w:t>
      </w:r>
      <w:r>
        <w:rPr>
          <w:b/>
          <w:bCs/>
          <w:szCs w:val="24"/>
        </w:rPr>
        <w:t>,</w:t>
      </w:r>
      <w:r>
        <w:rPr>
          <w:szCs w:val="24"/>
        </w:rPr>
        <w:t xml:space="preserve"> 7-12.</w:t>
      </w:r>
    </w:p>
    <w:p w:rsidR="00AD5452" w:rsidRDefault="00AD5452" w:rsidP="00AD5452">
      <w:pPr>
        <w:spacing w:line="480" w:lineRule="auto"/>
        <w:jc w:val="both"/>
        <w:rPr>
          <w:i/>
          <w:iCs/>
          <w:szCs w:val="24"/>
        </w:rPr>
      </w:pPr>
      <w:r>
        <w:rPr>
          <w:szCs w:val="24"/>
        </w:rPr>
        <w:lastRenderedPageBreak/>
        <w:t xml:space="preserve">BALL, J. 1964. </w:t>
      </w:r>
      <w:proofErr w:type="gramStart"/>
      <w:r>
        <w:rPr>
          <w:szCs w:val="24"/>
        </w:rPr>
        <w:t>Apical root in non-vital immature permanent incisor.</w:t>
      </w:r>
      <w:proofErr w:type="gramEnd"/>
      <w:r>
        <w:rPr>
          <w:szCs w:val="24"/>
        </w:rPr>
        <w:t xml:space="preserve"> </w:t>
      </w:r>
      <w:proofErr w:type="gramStart"/>
      <w:r>
        <w:rPr>
          <w:i/>
          <w:iCs/>
          <w:szCs w:val="24"/>
        </w:rPr>
        <w:t>British Dental Journal.</w:t>
      </w:r>
      <w:proofErr w:type="gramEnd"/>
    </w:p>
    <w:p w:rsidR="00AD5452" w:rsidRDefault="00AD5452" w:rsidP="00AD5452">
      <w:pPr>
        <w:spacing w:line="480" w:lineRule="auto"/>
        <w:jc w:val="both"/>
        <w:rPr>
          <w:szCs w:val="24"/>
        </w:rPr>
      </w:pPr>
      <w:proofErr w:type="gramStart"/>
      <w:r>
        <w:rPr>
          <w:szCs w:val="24"/>
        </w:rPr>
        <w:t>BALOOCH, M., WU-MAGIDI, I. &amp; BALAZS, A. 1998.</w:t>
      </w:r>
      <w:proofErr w:type="gramEnd"/>
      <w:r>
        <w:rPr>
          <w:szCs w:val="24"/>
        </w:rPr>
        <w:t xml:space="preserve"> Viscoelastic properties of demineralized human dentine measured in water with atomic force microscope (AFM) based indentation. </w:t>
      </w:r>
      <w:r>
        <w:rPr>
          <w:i/>
          <w:iCs/>
          <w:szCs w:val="24"/>
        </w:rPr>
        <w:t>J Biomed Material Res,</w:t>
      </w:r>
      <w:r>
        <w:rPr>
          <w:szCs w:val="24"/>
        </w:rPr>
        <w:t xml:space="preserve"> 40</w:t>
      </w:r>
      <w:r>
        <w:rPr>
          <w:b/>
          <w:bCs/>
          <w:szCs w:val="24"/>
        </w:rPr>
        <w:t>,</w:t>
      </w:r>
      <w:r>
        <w:rPr>
          <w:szCs w:val="24"/>
        </w:rPr>
        <w:t xml:space="preserve"> 539-543.</w:t>
      </w:r>
    </w:p>
    <w:p w:rsidR="00AD5452" w:rsidRDefault="00AD5452" w:rsidP="00AD5452">
      <w:pPr>
        <w:spacing w:line="480" w:lineRule="auto"/>
        <w:jc w:val="both"/>
        <w:rPr>
          <w:szCs w:val="24"/>
        </w:rPr>
      </w:pPr>
      <w:proofErr w:type="gramStart"/>
      <w:r>
        <w:rPr>
          <w:szCs w:val="24"/>
        </w:rPr>
        <w:t>BANCHS, F. &amp; TROPE, M. 2004.</w:t>
      </w:r>
      <w:proofErr w:type="gramEnd"/>
      <w:r>
        <w:rPr>
          <w:szCs w:val="24"/>
        </w:rPr>
        <w:t xml:space="preserve"> Revascularization of Immature Permanent Teeth </w:t>
      </w:r>
      <w:proofErr w:type="gramStart"/>
      <w:r>
        <w:rPr>
          <w:szCs w:val="24"/>
        </w:rPr>
        <w:t>With</w:t>
      </w:r>
      <w:proofErr w:type="gramEnd"/>
      <w:r>
        <w:rPr>
          <w:szCs w:val="24"/>
        </w:rPr>
        <w:t xml:space="preserve"> Apical Periodontitis: New Treatment Protocol. </w:t>
      </w:r>
      <w:r>
        <w:rPr>
          <w:i/>
          <w:iCs/>
          <w:szCs w:val="24"/>
        </w:rPr>
        <w:t xml:space="preserve">Journal of Endodontics </w:t>
      </w:r>
      <w:r>
        <w:rPr>
          <w:szCs w:val="24"/>
        </w:rPr>
        <w:t>30</w:t>
      </w:r>
      <w:r>
        <w:rPr>
          <w:b/>
          <w:bCs/>
          <w:szCs w:val="24"/>
        </w:rPr>
        <w:t>,</w:t>
      </w:r>
      <w:r>
        <w:rPr>
          <w:szCs w:val="24"/>
        </w:rPr>
        <w:t xml:space="preserve"> 196-200.</w:t>
      </w:r>
    </w:p>
    <w:p w:rsidR="00AD5452" w:rsidRDefault="00AD5452" w:rsidP="00AD5452">
      <w:pPr>
        <w:spacing w:line="480" w:lineRule="auto"/>
        <w:jc w:val="both"/>
        <w:rPr>
          <w:szCs w:val="24"/>
        </w:rPr>
      </w:pPr>
      <w:proofErr w:type="gramStart"/>
      <w:r>
        <w:rPr>
          <w:szCs w:val="24"/>
        </w:rPr>
        <w:t>BANCHS, F. &amp; TROPE, M. 2004.</w:t>
      </w:r>
      <w:proofErr w:type="gramEnd"/>
      <w:r>
        <w:rPr>
          <w:szCs w:val="24"/>
        </w:rPr>
        <w:t xml:space="preserve"> Revascularization of immature permanent teeth with apical periodontitis: new treatment protocol? </w:t>
      </w:r>
      <w:proofErr w:type="gramStart"/>
      <w:r>
        <w:rPr>
          <w:i/>
          <w:iCs/>
          <w:szCs w:val="24"/>
        </w:rPr>
        <w:t xml:space="preserve">J Endod </w:t>
      </w:r>
      <w:r>
        <w:rPr>
          <w:szCs w:val="24"/>
        </w:rPr>
        <w:t>30</w:t>
      </w:r>
      <w:r>
        <w:rPr>
          <w:b/>
          <w:bCs/>
          <w:szCs w:val="24"/>
        </w:rPr>
        <w:t>,</w:t>
      </w:r>
      <w:r>
        <w:rPr>
          <w:szCs w:val="24"/>
        </w:rPr>
        <w:t xml:space="preserve"> 196 -200.</w:t>
      </w:r>
      <w:proofErr w:type="gramEnd"/>
    </w:p>
    <w:p w:rsidR="00AD5452" w:rsidRDefault="00AD5452" w:rsidP="00AD5452">
      <w:pPr>
        <w:spacing w:line="480" w:lineRule="auto"/>
        <w:jc w:val="both"/>
        <w:rPr>
          <w:szCs w:val="24"/>
        </w:rPr>
      </w:pPr>
      <w:proofErr w:type="gramStart"/>
      <w:r>
        <w:rPr>
          <w:szCs w:val="24"/>
        </w:rPr>
        <w:t>BASTONE, E., FREER, T. &amp; MCNAMARA, J. 2000.</w:t>
      </w:r>
      <w:proofErr w:type="gramEnd"/>
      <w:r>
        <w:rPr>
          <w:szCs w:val="24"/>
        </w:rPr>
        <w:t xml:space="preserve"> Epidemiology of dental trauma: A review of the literature. . </w:t>
      </w:r>
      <w:r>
        <w:rPr>
          <w:i/>
          <w:iCs/>
          <w:szCs w:val="24"/>
        </w:rPr>
        <w:t xml:space="preserve">Australian Dental Journal </w:t>
      </w:r>
      <w:r>
        <w:rPr>
          <w:szCs w:val="24"/>
        </w:rPr>
        <w:t>45</w:t>
      </w:r>
      <w:r>
        <w:rPr>
          <w:b/>
          <w:bCs/>
          <w:szCs w:val="24"/>
        </w:rPr>
        <w:t>,</w:t>
      </w:r>
      <w:r>
        <w:rPr>
          <w:szCs w:val="24"/>
        </w:rPr>
        <w:t xml:space="preserve"> 2-9.</w:t>
      </w:r>
    </w:p>
    <w:p w:rsidR="00AD5452" w:rsidRDefault="00AD5452" w:rsidP="00AD5452">
      <w:pPr>
        <w:spacing w:line="480" w:lineRule="auto"/>
        <w:jc w:val="both"/>
        <w:rPr>
          <w:szCs w:val="24"/>
        </w:rPr>
      </w:pPr>
      <w:proofErr w:type="gramStart"/>
      <w:r>
        <w:rPr>
          <w:szCs w:val="24"/>
        </w:rPr>
        <w:t>BATEMAN, G., RICKETTS, D. &amp; SAUNDERS, W. 2003.</w:t>
      </w:r>
      <w:proofErr w:type="gramEnd"/>
      <w:r>
        <w:rPr>
          <w:szCs w:val="24"/>
        </w:rPr>
        <w:t xml:space="preserve"> Fibre-based post systems: a review. </w:t>
      </w:r>
      <w:r>
        <w:rPr>
          <w:i/>
          <w:iCs/>
          <w:szCs w:val="24"/>
        </w:rPr>
        <w:t>British Dental Journal,</w:t>
      </w:r>
      <w:r>
        <w:rPr>
          <w:szCs w:val="24"/>
        </w:rPr>
        <w:t xml:space="preserve"> 195</w:t>
      </w:r>
      <w:r>
        <w:rPr>
          <w:b/>
          <w:bCs/>
          <w:szCs w:val="24"/>
        </w:rPr>
        <w:t>,</w:t>
      </w:r>
      <w:r>
        <w:rPr>
          <w:szCs w:val="24"/>
        </w:rPr>
        <w:t xml:space="preserve"> 43-48.</w:t>
      </w:r>
    </w:p>
    <w:p w:rsidR="00AD5452" w:rsidRDefault="00AD5452" w:rsidP="00AD5452">
      <w:pPr>
        <w:spacing w:line="480" w:lineRule="auto"/>
        <w:jc w:val="both"/>
        <w:rPr>
          <w:szCs w:val="24"/>
        </w:rPr>
      </w:pPr>
      <w:proofErr w:type="gramStart"/>
      <w:r>
        <w:rPr>
          <w:szCs w:val="24"/>
        </w:rPr>
        <w:t>BATOULI, S., MIURA, M., BRAHIM, J., TSUTSUI, T., FISHER, L., GRONTHOS, S., ROBEY, P. &amp; SHI, S. 2003.</w:t>
      </w:r>
      <w:proofErr w:type="gramEnd"/>
      <w:r>
        <w:rPr>
          <w:szCs w:val="24"/>
        </w:rPr>
        <w:t xml:space="preserve"> </w:t>
      </w:r>
      <w:proofErr w:type="gramStart"/>
      <w:r>
        <w:rPr>
          <w:szCs w:val="24"/>
        </w:rPr>
        <w:t>Comparison of stem-cell-mediated osteogenesis and dentinogenesis.</w:t>
      </w:r>
      <w:proofErr w:type="gramEnd"/>
      <w:r>
        <w:rPr>
          <w:szCs w:val="24"/>
        </w:rPr>
        <w:t xml:space="preserve"> </w:t>
      </w:r>
      <w:proofErr w:type="gramStart"/>
      <w:r>
        <w:rPr>
          <w:i/>
          <w:iCs/>
          <w:szCs w:val="24"/>
        </w:rPr>
        <w:t>J Dent Res,</w:t>
      </w:r>
      <w:r>
        <w:rPr>
          <w:szCs w:val="24"/>
        </w:rPr>
        <w:t xml:space="preserve"> 82</w:t>
      </w:r>
      <w:r>
        <w:rPr>
          <w:b/>
          <w:bCs/>
          <w:szCs w:val="24"/>
        </w:rPr>
        <w:t>,</w:t>
      </w:r>
      <w:r>
        <w:rPr>
          <w:szCs w:val="24"/>
        </w:rPr>
        <w:t xml:space="preserve"> 976-81.</w:t>
      </w:r>
      <w:proofErr w:type="gramEnd"/>
    </w:p>
    <w:p w:rsidR="00AD5452" w:rsidRDefault="00AD5452" w:rsidP="00AD5452">
      <w:pPr>
        <w:spacing w:line="480" w:lineRule="auto"/>
        <w:jc w:val="both"/>
        <w:rPr>
          <w:szCs w:val="24"/>
        </w:rPr>
      </w:pPr>
      <w:r>
        <w:rPr>
          <w:szCs w:val="24"/>
        </w:rPr>
        <w:t xml:space="preserve">BERNARDO, M., EMONS, J., KARPERIEN, M., NAUTA, A. J., WILLEMZE, R., ROELOFS, H., ROMEO, S., MARCHINI, A., RAPPOLD, G. A., VUKICEVIC, S., LOCATELLI, F. &amp; FIBBE, W. 2007a. Human mesenchymal stem cells derived from bone marrow display a better chondrogenic differentiation compared with other sources. </w:t>
      </w:r>
      <w:r>
        <w:rPr>
          <w:i/>
          <w:iCs/>
          <w:szCs w:val="24"/>
        </w:rPr>
        <w:t>Connect Tissue Res,</w:t>
      </w:r>
      <w:r>
        <w:rPr>
          <w:szCs w:val="24"/>
        </w:rPr>
        <w:t xml:space="preserve"> 48</w:t>
      </w:r>
      <w:r>
        <w:rPr>
          <w:b/>
          <w:bCs/>
          <w:szCs w:val="24"/>
        </w:rPr>
        <w:t>,</w:t>
      </w:r>
      <w:r>
        <w:rPr>
          <w:szCs w:val="24"/>
        </w:rPr>
        <w:t xml:space="preserve"> 132-40.</w:t>
      </w:r>
    </w:p>
    <w:p w:rsidR="00AD5452" w:rsidRDefault="00AD5452" w:rsidP="00AD5452">
      <w:pPr>
        <w:spacing w:line="480" w:lineRule="auto"/>
        <w:jc w:val="both"/>
        <w:rPr>
          <w:szCs w:val="24"/>
        </w:rPr>
      </w:pPr>
      <w:r>
        <w:rPr>
          <w:szCs w:val="24"/>
        </w:rPr>
        <w:t xml:space="preserve">BHASKER, S. 1991. </w:t>
      </w:r>
      <w:r>
        <w:rPr>
          <w:i/>
          <w:iCs/>
          <w:szCs w:val="24"/>
        </w:rPr>
        <w:t>Orban's oral histology and embryology</w:t>
      </w:r>
      <w:r>
        <w:rPr>
          <w:szCs w:val="24"/>
        </w:rPr>
        <w:t>, St. Louis: Mosby.</w:t>
      </w:r>
    </w:p>
    <w:p w:rsidR="00AD5452" w:rsidRDefault="00AD5452" w:rsidP="00AD5452">
      <w:pPr>
        <w:spacing w:line="480" w:lineRule="auto"/>
        <w:jc w:val="both"/>
        <w:rPr>
          <w:szCs w:val="24"/>
        </w:rPr>
      </w:pPr>
      <w:proofErr w:type="gramStart"/>
      <w:r>
        <w:rPr>
          <w:szCs w:val="24"/>
        </w:rPr>
        <w:lastRenderedPageBreak/>
        <w:t>BIDAR, M., DISFANI, R., GHARAGOZLOO, S., KHOYNEZHAD, S. &amp; ROUHANI, A. 2010.</w:t>
      </w:r>
      <w:proofErr w:type="gramEnd"/>
      <w:r>
        <w:rPr>
          <w:szCs w:val="24"/>
        </w:rPr>
        <w:t xml:space="preserve"> Medication with Calcium Hydroxide Improved Marginal Adaptation of Mineral Trioxide Aggregate Apical Barrier </w:t>
      </w:r>
      <w:r>
        <w:rPr>
          <w:i/>
          <w:iCs/>
          <w:szCs w:val="24"/>
        </w:rPr>
        <w:t xml:space="preserve">J Endod </w:t>
      </w:r>
      <w:r>
        <w:rPr>
          <w:szCs w:val="24"/>
        </w:rPr>
        <w:t>36</w:t>
      </w:r>
      <w:r>
        <w:rPr>
          <w:b/>
          <w:bCs/>
          <w:szCs w:val="24"/>
        </w:rPr>
        <w:t>,</w:t>
      </w:r>
      <w:r>
        <w:rPr>
          <w:szCs w:val="24"/>
        </w:rPr>
        <w:t xml:space="preserve"> 1679–1682.</w:t>
      </w:r>
    </w:p>
    <w:p w:rsidR="00AD5452" w:rsidRDefault="00AD5452" w:rsidP="00AD5452">
      <w:pPr>
        <w:spacing w:line="480" w:lineRule="auto"/>
        <w:jc w:val="both"/>
        <w:rPr>
          <w:szCs w:val="24"/>
        </w:rPr>
      </w:pPr>
      <w:r>
        <w:rPr>
          <w:szCs w:val="24"/>
        </w:rPr>
        <w:t xml:space="preserve">BIDAR, M., MORADI, S., JAFARZADEH, H. &amp; BIDAD, S. 2007. </w:t>
      </w:r>
      <w:proofErr w:type="gramStart"/>
      <w:r>
        <w:rPr>
          <w:szCs w:val="24"/>
        </w:rPr>
        <w:t>Comparative SEM study of the marginal adaptation of white and grey MTA and Portland cement.</w:t>
      </w:r>
      <w:proofErr w:type="gramEnd"/>
      <w:r>
        <w:rPr>
          <w:szCs w:val="24"/>
        </w:rPr>
        <w:t xml:space="preserve"> .</w:t>
      </w:r>
      <w:r>
        <w:rPr>
          <w:i/>
          <w:iCs/>
          <w:szCs w:val="24"/>
        </w:rPr>
        <w:t xml:space="preserve"> Aust Endod J,</w:t>
      </w:r>
      <w:r>
        <w:rPr>
          <w:szCs w:val="24"/>
        </w:rPr>
        <w:t xml:space="preserve"> 33</w:t>
      </w:r>
      <w:r>
        <w:rPr>
          <w:b/>
          <w:bCs/>
          <w:szCs w:val="24"/>
        </w:rPr>
        <w:t>,</w:t>
      </w:r>
      <w:r>
        <w:rPr>
          <w:szCs w:val="24"/>
        </w:rPr>
        <w:t xml:space="preserve"> 2–6.</w:t>
      </w:r>
    </w:p>
    <w:p w:rsidR="00AD5452" w:rsidRDefault="00AD5452" w:rsidP="00AD5452">
      <w:pPr>
        <w:spacing w:line="480" w:lineRule="auto"/>
        <w:jc w:val="both"/>
        <w:rPr>
          <w:szCs w:val="24"/>
        </w:rPr>
      </w:pPr>
      <w:r>
        <w:rPr>
          <w:szCs w:val="24"/>
        </w:rPr>
        <w:t xml:space="preserve">BIRK, D., ZYCBAND, E. &amp; WOODRUFF, S. 1997. Collagen fibrillogenesis in situ: Fibril segments become long fibrils as the developing tendon matures. </w:t>
      </w:r>
      <w:r>
        <w:rPr>
          <w:i/>
          <w:iCs/>
          <w:szCs w:val="24"/>
        </w:rPr>
        <w:t>Developmental Dynamics,</w:t>
      </w:r>
      <w:r>
        <w:rPr>
          <w:szCs w:val="24"/>
        </w:rPr>
        <w:t xml:space="preserve"> 208</w:t>
      </w:r>
      <w:r>
        <w:rPr>
          <w:b/>
          <w:bCs/>
          <w:szCs w:val="24"/>
        </w:rPr>
        <w:t>,</w:t>
      </w:r>
      <w:r>
        <w:rPr>
          <w:szCs w:val="24"/>
        </w:rPr>
        <w:t xml:space="preserve"> 291–298.</w:t>
      </w:r>
    </w:p>
    <w:p w:rsidR="00AD5452" w:rsidRDefault="00AD5452" w:rsidP="00AD5452">
      <w:pPr>
        <w:spacing w:line="480" w:lineRule="auto"/>
        <w:jc w:val="both"/>
        <w:rPr>
          <w:szCs w:val="24"/>
        </w:rPr>
      </w:pPr>
      <w:proofErr w:type="gramStart"/>
      <w:r>
        <w:rPr>
          <w:szCs w:val="24"/>
        </w:rPr>
        <w:t>BORTOLUZZI, E., SOUZA, E. &amp; REIS, J. 2007.</w:t>
      </w:r>
      <w:proofErr w:type="gramEnd"/>
      <w:r>
        <w:rPr>
          <w:szCs w:val="24"/>
        </w:rPr>
        <w:t xml:space="preserve"> Fracture strength of bovine incisors after intra-radicular treatment with MTA in an experimental immature tooth model. </w:t>
      </w:r>
      <w:r>
        <w:rPr>
          <w:i/>
          <w:iCs/>
          <w:szCs w:val="24"/>
        </w:rPr>
        <w:t xml:space="preserve">Int Endod J </w:t>
      </w:r>
      <w:r>
        <w:rPr>
          <w:szCs w:val="24"/>
        </w:rPr>
        <w:t>40</w:t>
      </w:r>
      <w:r>
        <w:rPr>
          <w:b/>
          <w:bCs/>
          <w:szCs w:val="24"/>
        </w:rPr>
        <w:t>,</w:t>
      </w:r>
      <w:r>
        <w:rPr>
          <w:szCs w:val="24"/>
        </w:rPr>
        <w:t xml:space="preserve"> 684–91.</w:t>
      </w:r>
    </w:p>
    <w:p w:rsidR="00AD5452" w:rsidRDefault="00AD5452" w:rsidP="00AD5452">
      <w:pPr>
        <w:spacing w:line="480" w:lineRule="auto"/>
        <w:jc w:val="both"/>
        <w:rPr>
          <w:szCs w:val="24"/>
        </w:rPr>
      </w:pPr>
      <w:proofErr w:type="gramStart"/>
      <w:r>
        <w:rPr>
          <w:szCs w:val="24"/>
        </w:rPr>
        <w:t>BOSE, R., NUMMIKOSKI, P. &amp; HARGREAVES, K. 2009.</w:t>
      </w:r>
      <w:proofErr w:type="gramEnd"/>
      <w:r>
        <w:rPr>
          <w:szCs w:val="24"/>
        </w:rPr>
        <w:t xml:space="preserve"> A retrospective evaluation of radiographic outcomes in immature teeth with necrotic root canal systems treated with regenerative endodontic procedures. </w:t>
      </w:r>
      <w:r>
        <w:rPr>
          <w:i/>
          <w:iCs/>
          <w:szCs w:val="24"/>
        </w:rPr>
        <w:t xml:space="preserve">Journal </w:t>
      </w:r>
      <w:proofErr w:type="gramStart"/>
      <w:r>
        <w:rPr>
          <w:i/>
          <w:iCs/>
          <w:szCs w:val="24"/>
        </w:rPr>
        <w:t>of  Endodontics</w:t>
      </w:r>
      <w:proofErr w:type="gramEnd"/>
      <w:r>
        <w:rPr>
          <w:i/>
          <w:iCs/>
          <w:szCs w:val="24"/>
        </w:rPr>
        <w:t>,</w:t>
      </w:r>
      <w:r>
        <w:rPr>
          <w:szCs w:val="24"/>
        </w:rPr>
        <w:t xml:space="preserve"> 35</w:t>
      </w:r>
      <w:r>
        <w:rPr>
          <w:b/>
          <w:bCs/>
          <w:szCs w:val="24"/>
        </w:rPr>
        <w:t>,</w:t>
      </w:r>
      <w:r>
        <w:rPr>
          <w:szCs w:val="24"/>
        </w:rPr>
        <w:t xml:space="preserve"> 1343-9.</w:t>
      </w:r>
    </w:p>
    <w:p w:rsidR="00AD5452" w:rsidRDefault="00AD5452" w:rsidP="00AD5452">
      <w:pPr>
        <w:spacing w:line="480" w:lineRule="auto"/>
        <w:jc w:val="both"/>
        <w:rPr>
          <w:szCs w:val="24"/>
        </w:rPr>
      </w:pPr>
      <w:proofErr w:type="gramStart"/>
      <w:r>
        <w:rPr>
          <w:szCs w:val="24"/>
        </w:rPr>
        <w:t>BURTON, J., PRYKE, L., ROB, M. &amp; LAWSON, J. 1985.</w:t>
      </w:r>
      <w:proofErr w:type="gramEnd"/>
      <w:r>
        <w:rPr>
          <w:szCs w:val="24"/>
        </w:rPr>
        <w:t xml:space="preserve"> </w:t>
      </w:r>
      <w:proofErr w:type="gramStart"/>
      <w:r>
        <w:rPr>
          <w:szCs w:val="24"/>
        </w:rPr>
        <w:t>Traumatized anterior teeth amongst high school students in northern Sydney.</w:t>
      </w:r>
      <w:proofErr w:type="gramEnd"/>
      <w:r>
        <w:rPr>
          <w:szCs w:val="24"/>
        </w:rPr>
        <w:t xml:space="preserve"> </w:t>
      </w:r>
      <w:r>
        <w:rPr>
          <w:i/>
          <w:iCs/>
          <w:szCs w:val="24"/>
        </w:rPr>
        <w:t xml:space="preserve">Aust Dent J </w:t>
      </w:r>
      <w:r>
        <w:rPr>
          <w:szCs w:val="24"/>
        </w:rPr>
        <w:t>30</w:t>
      </w:r>
      <w:r>
        <w:rPr>
          <w:b/>
          <w:bCs/>
          <w:szCs w:val="24"/>
        </w:rPr>
        <w:t>,</w:t>
      </w:r>
      <w:r>
        <w:rPr>
          <w:szCs w:val="24"/>
        </w:rPr>
        <w:t xml:space="preserve"> 346-348.</w:t>
      </w:r>
    </w:p>
    <w:p w:rsidR="00AD5452" w:rsidRDefault="00AD5452" w:rsidP="00AD5452">
      <w:pPr>
        <w:spacing w:line="480" w:lineRule="auto"/>
        <w:jc w:val="both"/>
        <w:rPr>
          <w:szCs w:val="24"/>
        </w:rPr>
      </w:pPr>
      <w:proofErr w:type="gramStart"/>
      <w:r>
        <w:rPr>
          <w:szCs w:val="24"/>
        </w:rPr>
        <w:t>BYSTROM, A., CLAESSON, R. &amp; SUNDQVIST, G. 1985.</w:t>
      </w:r>
      <w:proofErr w:type="gramEnd"/>
      <w:r>
        <w:rPr>
          <w:szCs w:val="24"/>
        </w:rPr>
        <w:t xml:space="preserve"> The antimicrobial effect of camphorated paramonochlorophenol, camphorated phenol and calcium hydroxide in treatment of infected root canals. </w:t>
      </w:r>
      <w:proofErr w:type="gramStart"/>
      <w:r>
        <w:rPr>
          <w:i/>
          <w:iCs/>
          <w:szCs w:val="24"/>
        </w:rPr>
        <w:t xml:space="preserve">Endod Dent Traumatol </w:t>
      </w:r>
      <w:r>
        <w:rPr>
          <w:szCs w:val="24"/>
        </w:rPr>
        <w:t>1</w:t>
      </w:r>
      <w:r>
        <w:rPr>
          <w:b/>
          <w:bCs/>
          <w:szCs w:val="24"/>
        </w:rPr>
        <w:t>,</w:t>
      </w:r>
      <w:r>
        <w:rPr>
          <w:szCs w:val="24"/>
        </w:rPr>
        <w:t xml:space="preserve"> 170–5.</w:t>
      </w:r>
      <w:proofErr w:type="gramEnd"/>
    </w:p>
    <w:p w:rsidR="00AD5452" w:rsidRDefault="00AD5452" w:rsidP="00AD5452">
      <w:pPr>
        <w:spacing w:line="480" w:lineRule="auto"/>
        <w:jc w:val="both"/>
        <w:rPr>
          <w:szCs w:val="24"/>
        </w:rPr>
      </w:pPr>
      <w:proofErr w:type="gramStart"/>
      <w:r>
        <w:rPr>
          <w:szCs w:val="24"/>
        </w:rPr>
        <w:lastRenderedPageBreak/>
        <w:t>CALT, S. &amp; SERPER, A. 1999.</w:t>
      </w:r>
      <w:proofErr w:type="gramEnd"/>
      <w:r>
        <w:rPr>
          <w:szCs w:val="24"/>
        </w:rPr>
        <w:t xml:space="preserve"> </w:t>
      </w:r>
      <w:proofErr w:type="gramStart"/>
      <w:r>
        <w:rPr>
          <w:szCs w:val="24"/>
        </w:rPr>
        <w:t>Dentinal tubule penetration of root canal sealers after root canal dressing with calcium hydroxide.</w:t>
      </w:r>
      <w:proofErr w:type="gramEnd"/>
      <w:r>
        <w:rPr>
          <w:i/>
          <w:iCs/>
          <w:szCs w:val="24"/>
        </w:rPr>
        <w:t xml:space="preserve"> </w:t>
      </w:r>
      <w:proofErr w:type="gramStart"/>
      <w:r>
        <w:rPr>
          <w:i/>
          <w:iCs/>
          <w:szCs w:val="24"/>
        </w:rPr>
        <w:t xml:space="preserve">J Endod </w:t>
      </w:r>
      <w:r>
        <w:rPr>
          <w:szCs w:val="24"/>
        </w:rPr>
        <w:t>25</w:t>
      </w:r>
      <w:r>
        <w:rPr>
          <w:b/>
          <w:bCs/>
          <w:szCs w:val="24"/>
        </w:rPr>
        <w:t>,</w:t>
      </w:r>
      <w:r>
        <w:rPr>
          <w:szCs w:val="24"/>
        </w:rPr>
        <w:t xml:space="preserve"> 431–3.</w:t>
      </w:r>
      <w:proofErr w:type="gramEnd"/>
    </w:p>
    <w:p w:rsidR="00AD5452" w:rsidRDefault="00AD5452" w:rsidP="00AD5452">
      <w:pPr>
        <w:spacing w:line="480" w:lineRule="auto"/>
        <w:jc w:val="both"/>
        <w:rPr>
          <w:szCs w:val="24"/>
        </w:rPr>
      </w:pPr>
      <w:r>
        <w:rPr>
          <w:szCs w:val="24"/>
        </w:rPr>
        <w:t xml:space="preserve">CAMILLERI, J. 2007. Hydration mechanisms of mineral trioxide aggregate. </w:t>
      </w:r>
      <w:r>
        <w:rPr>
          <w:i/>
          <w:iCs/>
          <w:szCs w:val="24"/>
        </w:rPr>
        <w:t xml:space="preserve">Int Endod J </w:t>
      </w:r>
      <w:r>
        <w:rPr>
          <w:szCs w:val="24"/>
        </w:rPr>
        <w:t>40</w:t>
      </w:r>
      <w:r>
        <w:rPr>
          <w:b/>
          <w:bCs/>
          <w:szCs w:val="24"/>
        </w:rPr>
        <w:t>,</w:t>
      </w:r>
      <w:r>
        <w:rPr>
          <w:szCs w:val="24"/>
        </w:rPr>
        <w:t xml:space="preserve"> 462–70.</w:t>
      </w:r>
    </w:p>
    <w:p w:rsidR="00AD5452" w:rsidRDefault="00AD5452" w:rsidP="00AD5452">
      <w:pPr>
        <w:spacing w:line="480" w:lineRule="auto"/>
        <w:jc w:val="both"/>
        <w:rPr>
          <w:szCs w:val="24"/>
        </w:rPr>
      </w:pPr>
      <w:proofErr w:type="gramStart"/>
      <w:r>
        <w:rPr>
          <w:szCs w:val="24"/>
        </w:rPr>
        <w:t>CAMILLERI, J., MONTESIN, F., BRADY, K., SWEENEY, R., CURTIS, R. &amp; FORD, T. 2005.</w:t>
      </w:r>
      <w:proofErr w:type="gramEnd"/>
      <w:r>
        <w:rPr>
          <w:szCs w:val="24"/>
        </w:rPr>
        <w:t xml:space="preserve"> </w:t>
      </w:r>
      <w:proofErr w:type="gramStart"/>
      <w:r>
        <w:rPr>
          <w:szCs w:val="24"/>
        </w:rPr>
        <w:t>The constitution of mineral trioxide aggregate.</w:t>
      </w:r>
      <w:proofErr w:type="gramEnd"/>
      <w:r>
        <w:rPr>
          <w:szCs w:val="24"/>
        </w:rPr>
        <w:t xml:space="preserve"> </w:t>
      </w:r>
      <w:r>
        <w:rPr>
          <w:i/>
          <w:iCs/>
          <w:szCs w:val="24"/>
        </w:rPr>
        <w:t xml:space="preserve">Dent Mater </w:t>
      </w:r>
      <w:r>
        <w:rPr>
          <w:szCs w:val="24"/>
        </w:rPr>
        <w:t>21</w:t>
      </w:r>
      <w:r>
        <w:rPr>
          <w:b/>
          <w:bCs/>
          <w:szCs w:val="24"/>
        </w:rPr>
        <w:t>,</w:t>
      </w:r>
      <w:r>
        <w:rPr>
          <w:szCs w:val="24"/>
        </w:rPr>
        <w:t xml:space="preserve"> 297–303.</w:t>
      </w:r>
    </w:p>
    <w:p w:rsidR="00AD5452" w:rsidRDefault="00AD5452" w:rsidP="00AD5452">
      <w:pPr>
        <w:spacing w:line="480" w:lineRule="auto"/>
        <w:jc w:val="both"/>
        <w:rPr>
          <w:szCs w:val="24"/>
        </w:rPr>
      </w:pPr>
      <w:r>
        <w:rPr>
          <w:szCs w:val="24"/>
        </w:rPr>
        <w:t xml:space="preserve">CAMILLERI, J., MONTESIN, F., BRADY, K., SWEENEY, R., CURTIS, R. &amp; PITT FORD, T. 2005. </w:t>
      </w:r>
      <w:proofErr w:type="gramStart"/>
      <w:r>
        <w:rPr>
          <w:szCs w:val="24"/>
        </w:rPr>
        <w:t>The constitution of mineral trioxide aggregate.</w:t>
      </w:r>
      <w:proofErr w:type="gramEnd"/>
      <w:r>
        <w:rPr>
          <w:szCs w:val="24"/>
        </w:rPr>
        <w:t xml:space="preserve"> </w:t>
      </w:r>
      <w:r>
        <w:rPr>
          <w:i/>
          <w:iCs/>
          <w:szCs w:val="24"/>
        </w:rPr>
        <w:t>Dental Materials,</w:t>
      </w:r>
      <w:r>
        <w:rPr>
          <w:szCs w:val="24"/>
        </w:rPr>
        <w:t xml:space="preserve"> 21</w:t>
      </w:r>
      <w:r>
        <w:rPr>
          <w:b/>
          <w:bCs/>
          <w:szCs w:val="24"/>
        </w:rPr>
        <w:t>,</w:t>
      </w:r>
      <w:r>
        <w:rPr>
          <w:szCs w:val="24"/>
        </w:rPr>
        <w:t xml:space="preserve"> 297-303.</w:t>
      </w:r>
    </w:p>
    <w:p w:rsidR="00AD5452" w:rsidRDefault="00AD5452" w:rsidP="00AD5452">
      <w:pPr>
        <w:spacing w:line="480" w:lineRule="auto"/>
        <w:jc w:val="both"/>
        <w:rPr>
          <w:szCs w:val="24"/>
        </w:rPr>
      </w:pPr>
      <w:r>
        <w:rPr>
          <w:szCs w:val="24"/>
        </w:rPr>
        <w:t xml:space="preserve">CAMILLERI, J., MONTESIN, F., DI SILVIO, L. &amp; PITT FORD, T. 2005. The chemical constitution and biocompatibility of accelerated Portland cement for endodontic use. </w:t>
      </w:r>
      <w:r>
        <w:rPr>
          <w:i/>
          <w:iCs/>
          <w:szCs w:val="24"/>
        </w:rPr>
        <w:t>Int Endod J,</w:t>
      </w:r>
      <w:r>
        <w:rPr>
          <w:szCs w:val="24"/>
        </w:rPr>
        <w:t xml:space="preserve"> 38 834-842.</w:t>
      </w:r>
    </w:p>
    <w:p w:rsidR="00AD5452" w:rsidRDefault="00AD5452" w:rsidP="00AD5452">
      <w:pPr>
        <w:spacing w:line="480" w:lineRule="auto"/>
        <w:jc w:val="both"/>
        <w:rPr>
          <w:szCs w:val="24"/>
        </w:rPr>
      </w:pPr>
      <w:proofErr w:type="gramStart"/>
      <w:r>
        <w:rPr>
          <w:szCs w:val="24"/>
        </w:rPr>
        <w:t>CAMILLERI, J., MONTESIN, F., PAPAIOANNOU, S., MCDONALD, F. &amp; PITT FORD, T. 2004.</w:t>
      </w:r>
      <w:proofErr w:type="gramEnd"/>
      <w:r>
        <w:rPr>
          <w:szCs w:val="24"/>
        </w:rPr>
        <w:t xml:space="preserve"> </w:t>
      </w:r>
      <w:proofErr w:type="gramStart"/>
      <w:r>
        <w:rPr>
          <w:szCs w:val="24"/>
        </w:rPr>
        <w:t>Biocompatibility of two commercial forms of mineral trioxide aggregate.</w:t>
      </w:r>
      <w:proofErr w:type="gramEnd"/>
      <w:r>
        <w:rPr>
          <w:szCs w:val="24"/>
        </w:rPr>
        <w:t xml:space="preserve"> </w:t>
      </w:r>
      <w:r>
        <w:rPr>
          <w:i/>
          <w:iCs/>
          <w:szCs w:val="24"/>
        </w:rPr>
        <w:t xml:space="preserve">Int Endod J </w:t>
      </w:r>
      <w:r>
        <w:rPr>
          <w:szCs w:val="24"/>
        </w:rPr>
        <w:t>37</w:t>
      </w:r>
      <w:r>
        <w:rPr>
          <w:b/>
          <w:bCs/>
          <w:szCs w:val="24"/>
        </w:rPr>
        <w:t>,</w:t>
      </w:r>
      <w:r>
        <w:rPr>
          <w:szCs w:val="24"/>
        </w:rPr>
        <w:t xml:space="preserve"> 699–704.</w:t>
      </w:r>
    </w:p>
    <w:p w:rsidR="00AD5452" w:rsidRDefault="00AD5452" w:rsidP="00AD5452">
      <w:pPr>
        <w:spacing w:line="480" w:lineRule="auto"/>
        <w:jc w:val="both"/>
        <w:rPr>
          <w:szCs w:val="24"/>
        </w:rPr>
      </w:pPr>
      <w:proofErr w:type="gramStart"/>
      <w:r>
        <w:rPr>
          <w:szCs w:val="24"/>
        </w:rPr>
        <w:t>CANNON, M., CERNIGLIARO, J., VIEIRA, A., PERCINOTO, C. &amp; JURADO, R. 2008.</w:t>
      </w:r>
      <w:proofErr w:type="gramEnd"/>
      <w:r>
        <w:rPr>
          <w:szCs w:val="24"/>
        </w:rPr>
        <w:t xml:space="preserve"> Effectsofantibacterial agents on dental pulps of monkeys mechanically exposed and contaminated. </w:t>
      </w:r>
      <w:r>
        <w:rPr>
          <w:i/>
          <w:iCs/>
          <w:szCs w:val="24"/>
        </w:rPr>
        <w:t>Clin PediatrDent,</w:t>
      </w:r>
      <w:r>
        <w:rPr>
          <w:szCs w:val="24"/>
        </w:rPr>
        <w:t xml:space="preserve"> 33</w:t>
      </w:r>
      <w:r>
        <w:rPr>
          <w:b/>
          <w:bCs/>
          <w:szCs w:val="24"/>
        </w:rPr>
        <w:t>,</w:t>
      </w:r>
      <w:r>
        <w:rPr>
          <w:szCs w:val="24"/>
        </w:rPr>
        <w:t xml:space="preserve"> 21–8.</w:t>
      </w:r>
    </w:p>
    <w:p w:rsidR="00AD5452" w:rsidRDefault="00AD5452" w:rsidP="00AD5452">
      <w:pPr>
        <w:spacing w:line="480" w:lineRule="auto"/>
        <w:jc w:val="both"/>
        <w:rPr>
          <w:szCs w:val="24"/>
        </w:rPr>
      </w:pPr>
      <w:proofErr w:type="gramStart"/>
      <w:r>
        <w:rPr>
          <w:szCs w:val="24"/>
        </w:rPr>
        <w:t>CAPLAN, A. 1991.</w:t>
      </w:r>
      <w:proofErr w:type="gramEnd"/>
      <w:r>
        <w:rPr>
          <w:szCs w:val="24"/>
        </w:rPr>
        <w:t xml:space="preserve"> </w:t>
      </w:r>
      <w:proofErr w:type="gramStart"/>
      <w:r>
        <w:rPr>
          <w:szCs w:val="24"/>
        </w:rPr>
        <w:t>Mesenchymal stem cells.</w:t>
      </w:r>
      <w:proofErr w:type="gramEnd"/>
      <w:r>
        <w:rPr>
          <w:szCs w:val="24"/>
        </w:rPr>
        <w:t xml:space="preserve"> </w:t>
      </w:r>
      <w:proofErr w:type="gramStart"/>
      <w:r>
        <w:rPr>
          <w:i/>
          <w:iCs/>
          <w:szCs w:val="24"/>
        </w:rPr>
        <w:t>J Orthop Res,</w:t>
      </w:r>
      <w:r>
        <w:rPr>
          <w:szCs w:val="24"/>
        </w:rPr>
        <w:t xml:space="preserve"> 9</w:t>
      </w:r>
      <w:r>
        <w:rPr>
          <w:b/>
          <w:bCs/>
          <w:szCs w:val="24"/>
        </w:rPr>
        <w:t>,</w:t>
      </w:r>
      <w:r>
        <w:rPr>
          <w:szCs w:val="24"/>
        </w:rPr>
        <w:t xml:space="preserve"> 641-50.</w:t>
      </w:r>
      <w:proofErr w:type="gramEnd"/>
    </w:p>
    <w:p w:rsidR="00AD5452" w:rsidRDefault="00AD5452" w:rsidP="00AD5452">
      <w:pPr>
        <w:spacing w:line="480" w:lineRule="auto"/>
        <w:jc w:val="both"/>
        <w:rPr>
          <w:szCs w:val="24"/>
        </w:rPr>
      </w:pPr>
      <w:proofErr w:type="gramStart"/>
      <w:r>
        <w:rPr>
          <w:szCs w:val="24"/>
        </w:rPr>
        <w:t>CASTRO-MALASPINA, H., RABELLINO, E., YEN, A., NACHMAN, R. &amp; MOORE, M. 1981.</w:t>
      </w:r>
      <w:proofErr w:type="gramEnd"/>
      <w:r>
        <w:rPr>
          <w:szCs w:val="24"/>
        </w:rPr>
        <w:t xml:space="preserve"> </w:t>
      </w:r>
      <w:proofErr w:type="gramStart"/>
      <w:r>
        <w:rPr>
          <w:szCs w:val="24"/>
        </w:rPr>
        <w:t>Human megakaryocyte stimulation of proliferation of bone marrow fibroblasts.</w:t>
      </w:r>
      <w:proofErr w:type="gramEnd"/>
      <w:r>
        <w:rPr>
          <w:szCs w:val="24"/>
        </w:rPr>
        <w:t xml:space="preserve"> </w:t>
      </w:r>
      <w:proofErr w:type="gramStart"/>
      <w:r>
        <w:rPr>
          <w:i/>
          <w:iCs/>
          <w:szCs w:val="24"/>
        </w:rPr>
        <w:t>Blood,</w:t>
      </w:r>
      <w:r>
        <w:rPr>
          <w:szCs w:val="24"/>
        </w:rPr>
        <w:t xml:space="preserve"> 57</w:t>
      </w:r>
      <w:r>
        <w:rPr>
          <w:b/>
          <w:bCs/>
          <w:szCs w:val="24"/>
        </w:rPr>
        <w:t>,</w:t>
      </w:r>
      <w:r>
        <w:rPr>
          <w:szCs w:val="24"/>
        </w:rPr>
        <w:t xml:space="preserve"> 781-7.</w:t>
      </w:r>
      <w:proofErr w:type="gramEnd"/>
    </w:p>
    <w:p w:rsidR="00AD5452" w:rsidRDefault="00AD5452" w:rsidP="00AD5452">
      <w:pPr>
        <w:spacing w:line="480" w:lineRule="auto"/>
        <w:jc w:val="both"/>
        <w:rPr>
          <w:i/>
          <w:iCs/>
          <w:szCs w:val="24"/>
        </w:rPr>
      </w:pPr>
      <w:r>
        <w:rPr>
          <w:szCs w:val="24"/>
        </w:rPr>
        <w:lastRenderedPageBreak/>
        <w:t xml:space="preserve">CHACKO, V. &amp; KURIKOSE, S. 2006. Human pulpal response to mineral trioxide aggregate (MTA): a histologic study. </w:t>
      </w:r>
      <w:r>
        <w:rPr>
          <w:i/>
          <w:iCs/>
          <w:szCs w:val="24"/>
        </w:rPr>
        <w:t>J Clin</w:t>
      </w:r>
    </w:p>
    <w:p w:rsidR="00AD5452" w:rsidRDefault="00AD5452" w:rsidP="00AD5452">
      <w:pPr>
        <w:spacing w:line="480" w:lineRule="auto"/>
        <w:jc w:val="both"/>
        <w:rPr>
          <w:szCs w:val="24"/>
        </w:rPr>
      </w:pPr>
      <w:r>
        <w:rPr>
          <w:i/>
          <w:iCs/>
          <w:szCs w:val="24"/>
        </w:rPr>
        <w:t>Pediatr Dent,</w:t>
      </w:r>
      <w:r>
        <w:rPr>
          <w:szCs w:val="24"/>
        </w:rPr>
        <w:t xml:space="preserve"> 30</w:t>
      </w:r>
      <w:r>
        <w:rPr>
          <w:b/>
          <w:bCs/>
          <w:szCs w:val="24"/>
        </w:rPr>
        <w:t>,</w:t>
      </w:r>
      <w:r>
        <w:rPr>
          <w:szCs w:val="24"/>
        </w:rPr>
        <w:t xml:space="preserve"> 203–9.</w:t>
      </w:r>
    </w:p>
    <w:p w:rsidR="00AD5452" w:rsidRDefault="00AD5452" w:rsidP="00AD5452">
      <w:pPr>
        <w:spacing w:line="480" w:lineRule="auto"/>
        <w:jc w:val="both"/>
        <w:rPr>
          <w:szCs w:val="24"/>
        </w:rPr>
      </w:pPr>
      <w:proofErr w:type="gramStart"/>
      <w:r>
        <w:rPr>
          <w:szCs w:val="24"/>
        </w:rPr>
        <w:t>CHADWICK, B. &amp; PENDRY, L. 2004.</w:t>
      </w:r>
      <w:proofErr w:type="gramEnd"/>
      <w:r>
        <w:rPr>
          <w:szCs w:val="24"/>
        </w:rPr>
        <w:t xml:space="preserve"> Children’s Dental Health in the United Kingdom Non Carious Dental Condition. </w:t>
      </w:r>
      <w:proofErr w:type="gramStart"/>
      <w:r>
        <w:rPr>
          <w:i/>
          <w:iCs/>
          <w:szCs w:val="24"/>
        </w:rPr>
        <w:t>National Statistics</w:t>
      </w:r>
      <w:r>
        <w:rPr>
          <w:szCs w:val="24"/>
        </w:rPr>
        <w:t>.</w:t>
      </w:r>
      <w:proofErr w:type="gramEnd"/>
    </w:p>
    <w:p w:rsidR="00AD5452" w:rsidRDefault="00AD5452" w:rsidP="00AD5452">
      <w:pPr>
        <w:spacing w:line="480" w:lineRule="auto"/>
        <w:jc w:val="both"/>
        <w:rPr>
          <w:szCs w:val="24"/>
        </w:rPr>
      </w:pPr>
      <w:proofErr w:type="gramStart"/>
      <w:r>
        <w:rPr>
          <w:szCs w:val="24"/>
        </w:rPr>
        <w:t>CHNG, H., ISLAM, I., YAP, A., TONG, Y. &amp; KOH, E. 2005.</w:t>
      </w:r>
      <w:proofErr w:type="gramEnd"/>
      <w:r>
        <w:rPr>
          <w:szCs w:val="24"/>
        </w:rPr>
        <w:t xml:space="preserve"> </w:t>
      </w:r>
      <w:proofErr w:type="gramStart"/>
      <w:r>
        <w:rPr>
          <w:szCs w:val="24"/>
        </w:rPr>
        <w:t>Properties of a new root-end filling material.</w:t>
      </w:r>
      <w:proofErr w:type="gramEnd"/>
      <w:r>
        <w:rPr>
          <w:szCs w:val="24"/>
        </w:rPr>
        <w:t xml:space="preserve"> </w:t>
      </w:r>
      <w:proofErr w:type="gramStart"/>
      <w:r>
        <w:rPr>
          <w:i/>
          <w:iCs/>
          <w:szCs w:val="24"/>
        </w:rPr>
        <w:t xml:space="preserve">J Endod </w:t>
      </w:r>
      <w:r>
        <w:rPr>
          <w:szCs w:val="24"/>
        </w:rPr>
        <w:t>31</w:t>
      </w:r>
      <w:r>
        <w:rPr>
          <w:b/>
          <w:bCs/>
          <w:szCs w:val="24"/>
        </w:rPr>
        <w:t>,</w:t>
      </w:r>
      <w:r>
        <w:rPr>
          <w:szCs w:val="24"/>
        </w:rPr>
        <w:t xml:space="preserve"> 665–8.</w:t>
      </w:r>
      <w:proofErr w:type="gramEnd"/>
    </w:p>
    <w:p w:rsidR="00AD5452" w:rsidRDefault="00AD5452" w:rsidP="00AD5452">
      <w:pPr>
        <w:spacing w:line="480" w:lineRule="auto"/>
        <w:jc w:val="both"/>
        <w:rPr>
          <w:szCs w:val="24"/>
        </w:rPr>
      </w:pPr>
      <w:proofErr w:type="gramStart"/>
      <w:r>
        <w:rPr>
          <w:szCs w:val="24"/>
        </w:rPr>
        <w:t>CHNG, H., PALAMARA, J. &amp; MESSER, H. 2002.</w:t>
      </w:r>
      <w:proofErr w:type="gramEnd"/>
      <w:r>
        <w:rPr>
          <w:szCs w:val="24"/>
        </w:rPr>
        <w:t xml:space="preserve"> </w:t>
      </w:r>
      <w:proofErr w:type="gramStart"/>
      <w:r>
        <w:rPr>
          <w:szCs w:val="24"/>
        </w:rPr>
        <w:t>Effect of hydrogen peroxide and sodium perborate on biomechanical properties of human dentine.</w:t>
      </w:r>
      <w:proofErr w:type="gramEnd"/>
      <w:r>
        <w:rPr>
          <w:szCs w:val="24"/>
        </w:rPr>
        <w:t xml:space="preserve"> </w:t>
      </w:r>
      <w:r>
        <w:rPr>
          <w:i/>
          <w:iCs/>
          <w:szCs w:val="24"/>
        </w:rPr>
        <w:t>J Endodont,</w:t>
      </w:r>
      <w:r>
        <w:rPr>
          <w:szCs w:val="24"/>
        </w:rPr>
        <w:t xml:space="preserve"> 28</w:t>
      </w:r>
      <w:r>
        <w:rPr>
          <w:b/>
          <w:bCs/>
          <w:szCs w:val="24"/>
        </w:rPr>
        <w:t>,</w:t>
      </w:r>
      <w:r>
        <w:rPr>
          <w:szCs w:val="24"/>
        </w:rPr>
        <w:t xml:space="preserve"> 62-67.</w:t>
      </w:r>
    </w:p>
    <w:p w:rsidR="00AD5452" w:rsidRDefault="00AD5452" w:rsidP="00AD5452">
      <w:pPr>
        <w:spacing w:line="480" w:lineRule="auto"/>
        <w:jc w:val="both"/>
        <w:rPr>
          <w:szCs w:val="24"/>
        </w:rPr>
      </w:pPr>
      <w:proofErr w:type="gramStart"/>
      <w:r>
        <w:rPr>
          <w:szCs w:val="24"/>
        </w:rPr>
        <w:t>CHUEH, L., HO, Y., KUO, T., LA.I, W., CHEN, Y. &amp; CHIANG, C. 2009.</w:t>
      </w:r>
      <w:proofErr w:type="gramEnd"/>
      <w:r>
        <w:rPr>
          <w:szCs w:val="24"/>
        </w:rPr>
        <w:t xml:space="preserve"> </w:t>
      </w:r>
      <w:proofErr w:type="gramStart"/>
      <w:r>
        <w:rPr>
          <w:szCs w:val="24"/>
        </w:rPr>
        <w:t>Regenerative Endodontic Treatment for Necrotic Immature Permanent Teeth.</w:t>
      </w:r>
      <w:proofErr w:type="gramEnd"/>
      <w:r>
        <w:rPr>
          <w:szCs w:val="24"/>
        </w:rPr>
        <w:t xml:space="preserve"> </w:t>
      </w:r>
      <w:proofErr w:type="gramStart"/>
      <w:r>
        <w:rPr>
          <w:i/>
          <w:iCs/>
          <w:szCs w:val="24"/>
        </w:rPr>
        <w:t>JOE.,</w:t>
      </w:r>
      <w:proofErr w:type="gramEnd"/>
      <w:r>
        <w:rPr>
          <w:szCs w:val="24"/>
        </w:rPr>
        <w:t xml:space="preserve"> 35</w:t>
      </w:r>
      <w:r>
        <w:rPr>
          <w:b/>
          <w:bCs/>
          <w:szCs w:val="24"/>
        </w:rPr>
        <w:t>,</w:t>
      </w:r>
      <w:r>
        <w:rPr>
          <w:szCs w:val="24"/>
        </w:rPr>
        <w:t xml:space="preserve"> 160-164.</w:t>
      </w:r>
    </w:p>
    <w:p w:rsidR="00AD5452" w:rsidRDefault="00AD5452" w:rsidP="00AD5452">
      <w:pPr>
        <w:spacing w:line="480" w:lineRule="auto"/>
        <w:jc w:val="both"/>
        <w:rPr>
          <w:szCs w:val="24"/>
        </w:rPr>
      </w:pPr>
      <w:proofErr w:type="gramStart"/>
      <w:r>
        <w:rPr>
          <w:szCs w:val="24"/>
        </w:rPr>
        <w:t>CHUEH, L. &amp; HUANG, G. 2006.</w:t>
      </w:r>
      <w:proofErr w:type="gramEnd"/>
      <w:r>
        <w:rPr>
          <w:szCs w:val="24"/>
        </w:rPr>
        <w:t xml:space="preserve"> Immature Teeth with Periradicular Periodontitis or Abscess Undergoing Apexogenesis: A Paradigm Shift. </w:t>
      </w:r>
      <w:r>
        <w:rPr>
          <w:i/>
          <w:iCs/>
          <w:szCs w:val="24"/>
        </w:rPr>
        <w:t xml:space="preserve">Journal of Endodontics </w:t>
      </w:r>
      <w:r>
        <w:rPr>
          <w:szCs w:val="24"/>
        </w:rPr>
        <w:t>32</w:t>
      </w:r>
      <w:r>
        <w:rPr>
          <w:b/>
          <w:bCs/>
          <w:szCs w:val="24"/>
        </w:rPr>
        <w:t>,</w:t>
      </w:r>
      <w:r>
        <w:rPr>
          <w:szCs w:val="24"/>
        </w:rPr>
        <w:t xml:space="preserve"> 1205-13.</w:t>
      </w:r>
    </w:p>
    <w:p w:rsidR="00AD5452" w:rsidRDefault="00AD5452" w:rsidP="00AD5452">
      <w:pPr>
        <w:spacing w:line="480" w:lineRule="auto"/>
        <w:jc w:val="both"/>
        <w:rPr>
          <w:szCs w:val="24"/>
        </w:rPr>
      </w:pPr>
      <w:proofErr w:type="gramStart"/>
      <w:r>
        <w:rPr>
          <w:szCs w:val="24"/>
        </w:rPr>
        <w:t>CHUENSOMBAT, S., KHEMALEELAKUL, S., CHATTIPAKORN, S. &amp; SRISUWAN, T. 2013.</w:t>
      </w:r>
      <w:proofErr w:type="gramEnd"/>
      <w:r>
        <w:rPr>
          <w:szCs w:val="24"/>
        </w:rPr>
        <w:t xml:space="preserve"> Cytotoxic Effects and Antibacterial Efficacy of a 3-Antibiotic Combination: An In Vitro Study. </w:t>
      </w:r>
      <w:r>
        <w:rPr>
          <w:i/>
          <w:iCs/>
          <w:szCs w:val="24"/>
        </w:rPr>
        <w:t xml:space="preserve">J Endod </w:t>
      </w:r>
      <w:r>
        <w:rPr>
          <w:szCs w:val="24"/>
        </w:rPr>
        <w:t>39</w:t>
      </w:r>
      <w:r>
        <w:rPr>
          <w:b/>
          <w:bCs/>
          <w:szCs w:val="24"/>
        </w:rPr>
        <w:t>,</w:t>
      </w:r>
      <w:r>
        <w:rPr>
          <w:szCs w:val="24"/>
        </w:rPr>
        <w:t xml:space="preserve"> 813–819.</w:t>
      </w:r>
    </w:p>
    <w:p w:rsidR="00AD5452" w:rsidRDefault="00AD5452" w:rsidP="00AD5452">
      <w:pPr>
        <w:spacing w:line="480" w:lineRule="auto"/>
        <w:jc w:val="both"/>
        <w:rPr>
          <w:szCs w:val="24"/>
        </w:rPr>
      </w:pPr>
      <w:proofErr w:type="gramStart"/>
      <w:r>
        <w:rPr>
          <w:szCs w:val="24"/>
        </w:rPr>
        <w:t>COLLAS, P. &amp; HAKELIEN, A. 2003.</w:t>
      </w:r>
      <w:proofErr w:type="gramEnd"/>
      <w:r>
        <w:rPr>
          <w:szCs w:val="24"/>
        </w:rPr>
        <w:t xml:space="preserve"> Teaching cells new tricks. </w:t>
      </w:r>
      <w:proofErr w:type="gramStart"/>
      <w:r>
        <w:rPr>
          <w:i/>
          <w:iCs/>
          <w:szCs w:val="24"/>
        </w:rPr>
        <w:t>Trends Biotechnol,</w:t>
      </w:r>
      <w:r>
        <w:rPr>
          <w:szCs w:val="24"/>
        </w:rPr>
        <w:t xml:space="preserve"> 21</w:t>
      </w:r>
      <w:r>
        <w:rPr>
          <w:b/>
          <w:bCs/>
          <w:szCs w:val="24"/>
        </w:rPr>
        <w:t>,</w:t>
      </w:r>
      <w:r>
        <w:rPr>
          <w:szCs w:val="24"/>
        </w:rPr>
        <w:t xml:space="preserve"> 354-61.</w:t>
      </w:r>
      <w:proofErr w:type="gramEnd"/>
    </w:p>
    <w:p w:rsidR="00AD5452" w:rsidRDefault="00AD5452" w:rsidP="00AD5452">
      <w:pPr>
        <w:spacing w:line="480" w:lineRule="auto"/>
        <w:jc w:val="both"/>
        <w:rPr>
          <w:szCs w:val="24"/>
        </w:rPr>
      </w:pPr>
      <w:proofErr w:type="gramStart"/>
      <w:r>
        <w:rPr>
          <w:szCs w:val="24"/>
        </w:rPr>
        <w:lastRenderedPageBreak/>
        <w:t>COTTI, E., MEREU, M. &amp; LUSSO, D. 2008.</w:t>
      </w:r>
      <w:proofErr w:type="gramEnd"/>
      <w:r>
        <w:rPr>
          <w:szCs w:val="24"/>
        </w:rPr>
        <w:t xml:space="preserve"> Regenerative treatment of an immature, traumatized tooth with apical periodontitis: report of a case. </w:t>
      </w:r>
      <w:r>
        <w:rPr>
          <w:i/>
          <w:iCs/>
          <w:szCs w:val="24"/>
        </w:rPr>
        <w:t>J Endod,</w:t>
      </w:r>
      <w:r>
        <w:rPr>
          <w:szCs w:val="24"/>
        </w:rPr>
        <w:t xml:space="preserve"> 34</w:t>
      </w:r>
      <w:r>
        <w:rPr>
          <w:b/>
          <w:bCs/>
          <w:szCs w:val="24"/>
        </w:rPr>
        <w:t>,</w:t>
      </w:r>
      <w:r>
        <w:rPr>
          <w:szCs w:val="24"/>
        </w:rPr>
        <w:t xml:space="preserve"> 611–616.</w:t>
      </w:r>
    </w:p>
    <w:p w:rsidR="00AD5452" w:rsidRDefault="00AD5452" w:rsidP="00AD5452">
      <w:pPr>
        <w:spacing w:line="480" w:lineRule="auto"/>
        <w:jc w:val="both"/>
        <w:rPr>
          <w:szCs w:val="24"/>
        </w:rPr>
      </w:pPr>
      <w:proofErr w:type="gramStart"/>
      <w:r>
        <w:rPr>
          <w:szCs w:val="24"/>
        </w:rPr>
        <w:t>COUBLE, M., FARGES, J., BLEICHER, F., PERRAT-MABILLON, B., BOUDEULLE, M. &amp; MAGLOIRE, H. 2000.</w:t>
      </w:r>
      <w:proofErr w:type="gramEnd"/>
      <w:r>
        <w:rPr>
          <w:szCs w:val="24"/>
        </w:rPr>
        <w:t xml:space="preserve"> Odontoblast differentiation of human dental pulp cells in explant cultures. </w:t>
      </w:r>
      <w:r>
        <w:rPr>
          <w:i/>
          <w:iCs/>
          <w:szCs w:val="24"/>
        </w:rPr>
        <w:t>Calcif Tissue Int</w:t>
      </w:r>
      <w:proofErr w:type="gramStart"/>
      <w:r>
        <w:rPr>
          <w:i/>
          <w:iCs/>
          <w:szCs w:val="24"/>
        </w:rPr>
        <w:t>,,</w:t>
      </w:r>
      <w:proofErr w:type="gramEnd"/>
      <w:r>
        <w:rPr>
          <w:szCs w:val="24"/>
        </w:rPr>
        <w:t xml:space="preserve"> 66</w:t>
      </w:r>
      <w:r>
        <w:rPr>
          <w:b/>
          <w:bCs/>
          <w:szCs w:val="24"/>
        </w:rPr>
        <w:t>,</w:t>
      </w:r>
      <w:r>
        <w:rPr>
          <w:szCs w:val="24"/>
        </w:rPr>
        <w:t xml:space="preserve"> 129-38.</w:t>
      </w:r>
    </w:p>
    <w:p w:rsidR="00AD5452" w:rsidRDefault="00AD5452" w:rsidP="00AD5452">
      <w:pPr>
        <w:spacing w:line="480" w:lineRule="auto"/>
        <w:jc w:val="both"/>
        <w:rPr>
          <w:szCs w:val="24"/>
        </w:rPr>
      </w:pPr>
      <w:proofErr w:type="gramStart"/>
      <w:r>
        <w:rPr>
          <w:szCs w:val="24"/>
        </w:rPr>
        <w:t>COVIELLO, J. &amp; BRILLIANT, J. 1979.</w:t>
      </w:r>
      <w:proofErr w:type="gramEnd"/>
      <w:r>
        <w:rPr>
          <w:szCs w:val="24"/>
        </w:rPr>
        <w:t xml:space="preserve"> A preliminary clinical study on the use of tricalcium </w:t>
      </w:r>
      <w:proofErr w:type="gramStart"/>
      <w:r>
        <w:rPr>
          <w:szCs w:val="24"/>
        </w:rPr>
        <w:t>phosphate  as</w:t>
      </w:r>
      <w:proofErr w:type="gramEnd"/>
      <w:r>
        <w:rPr>
          <w:szCs w:val="24"/>
        </w:rPr>
        <w:t xml:space="preserve"> an apical barrier. </w:t>
      </w:r>
      <w:r>
        <w:rPr>
          <w:i/>
          <w:iCs/>
          <w:szCs w:val="24"/>
        </w:rPr>
        <w:t xml:space="preserve">Journal of Endodontics </w:t>
      </w:r>
      <w:r>
        <w:rPr>
          <w:szCs w:val="24"/>
        </w:rPr>
        <w:t>5</w:t>
      </w:r>
      <w:r>
        <w:rPr>
          <w:b/>
          <w:bCs/>
          <w:szCs w:val="24"/>
        </w:rPr>
        <w:t>,</w:t>
      </w:r>
      <w:r>
        <w:rPr>
          <w:szCs w:val="24"/>
        </w:rPr>
        <w:t xml:space="preserve"> 6-13.</w:t>
      </w:r>
    </w:p>
    <w:p w:rsidR="00AD5452" w:rsidRDefault="00AD5452" w:rsidP="00AD5452">
      <w:pPr>
        <w:spacing w:line="480" w:lineRule="auto"/>
        <w:jc w:val="both"/>
        <w:rPr>
          <w:szCs w:val="24"/>
        </w:rPr>
      </w:pPr>
      <w:r>
        <w:rPr>
          <w:szCs w:val="24"/>
        </w:rPr>
        <w:t xml:space="preserve">CVEK, M. 1974. </w:t>
      </w:r>
      <w:proofErr w:type="gramStart"/>
      <w:r>
        <w:rPr>
          <w:szCs w:val="24"/>
        </w:rPr>
        <w:t>Treatment of non-vital permanent incisors with calcium hydroxide.</w:t>
      </w:r>
      <w:proofErr w:type="gramEnd"/>
      <w:r>
        <w:rPr>
          <w:szCs w:val="24"/>
        </w:rPr>
        <w:t xml:space="preserve"> </w:t>
      </w:r>
      <w:proofErr w:type="gramStart"/>
      <w:r>
        <w:rPr>
          <w:i/>
          <w:iCs/>
          <w:szCs w:val="24"/>
        </w:rPr>
        <w:t xml:space="preserve">Odont Revy </w:t>
      </w:r>
      <w:r>
        <w:rPr>
          <w:szCs w:val="24"/>
        </w:rPr>
        <w:t>25</w:t>
      </w:r>
      <w:r>
        <w:rPr>
          <w:b/>
          <w:bCs/>
          <w:szCs w:val="24"/>
        </w:rPr>
        <w:t>,</w:t>
      </w:r>
      <w:r>
        <w:rPr>
          <w:szCs w:val="24"/>
        </w:rPr>
        <w:t xml:space="preserve"> 239.</w:t>
      </w:r>
      <w:proofErr w:type="gramEnd"/>
    </w:p>
    <w:p w:rsidR="00AD5452" w:rsidRDefault="00AD5452" w:rsidP="00AD5452">
      <w:pPr>
        <w:spacing w:line="480" w:lineRule="auto"/>
        <w:jc w:val="both"/>
        <w:rPr>
          <w:szCs w:val="24"/>
        </w:rPr>
      </w:pPr>
      <w:r>
        <w:rPr>
          <w:szCs w:val="24"/>
        </w:rPr>
        <w:t xml:space="preserve">CVEK, M. 1992. Prognosis of luxated non-vital maxillary incisors treated with </w:t>
      </w:r>
      <w:proofErr w:type="gramStart"/>
      <w:r>
        <w:rPr>
          <w:szCs w:val="24"/>
        </w:rPr>
        <w:t>calcium  hydroxide</w:t>
      </w:r>
      <w:proofErr w:type="gramEnd"/>
      <w:r>
        <w:rPr>
          <w:szCs w:val="24"/>
        </w:rPr>
        <w:t xml:space="preserve"> and filled with gutta-percha. </w:t>
      </w:r>
      <w:proofErr w:type="gramStart"/>
      <w:r>
        <w:rPr>
          <w:szCs w:val="24"/>
        </w:rPr>
        <w:t>A retrospective clinical study.</w:t>
      </w:r>
      <w:proofErr w:type="gramEnd"/>
      <w:r>
        <w:rPr>
          <w:szCs w:val="24"/>
        </w:rPr>
        <w:t xml:space="preserve"> </w:t>
      </w:r>
      <w:r>
        <w:rPr>
          <w:i/>
          <w:iCs/>
          <w:szCs w:val="24"/>
        </w:rPr>
        <w:t>Endodontics &amp; Dental Traumatology,</w:t>
      </w:r>
      <w:r>
        <w:rPr>
          <w:szCs w:val="24"/>
        </w:rPr>
        <w:t xml:space="preserve"> 8</w:t>
      </w:r>
      <w:r>
        <w:rPr>
          <w:b/>
          <w:bCs/>
          <w:szCs w:val="24"/>
        </w:rPr>
        <w:t>,</w:t>
      </w:r>
      <w:r>
        <w:rPr>
          <w:szCs w:val="24"/>
        </w:rPr>
        <w:t xml:space="preserve"> 45-55.</w:t>
      </w:r>
    </w:p>
    <w:p w:rsidR="00AD5452" w:rsidRDefault="00AD5452" w:rsidP="00AD5452">
      <w:pPr>
        <w:spacing w:line="480" w:lineRule="auto"/>
        <w:jc w:val="both"/>
        <w:rPr>
          <w:szCs w:val="24"/>
        </w:rPr>
      </w:pPr>
      <w:r>
        <w:rPr>
          <w:szCs w:val="24"/>
        </w:rPr>
        <w:t xml:space="preserve">CVEK, M., P </w:t>
      </w:r>
      <w:proofErr w:type="gramStart"/>
      <w:r>
        <w:rPr>
          <w:szCs w:val="24"/>
        </w:rPr>
        <w:t>E ,</w:t>
      </w:r>
      <w:proofErr w:type="gramEnd"/>
      <w:r>
        <w:rPr>
          <w:szCs w:val="24"/>
        </w:rPr>
        <w:t xml:space="preserve"> CLEATON-JONES, P., AUSTIN, J. &amp; ANDREASEN, J. 1982. Pulp reaction to exposure after experimental crown fractures of grinding in adult monkeys. </w:t>
      </w:r>
      <w:proofErr w:type="gramStart"/>
      <w:r>
        <w:rPr>
          <w:i/>
          <w:iCs/>
          <w:szCs w:val="24"/>
        </w:rPr>
        <w:t>J Endod,</w:t>
      </w:r>
      <w:r>
        <w:rPr>
          <w:szCs w:val="24"/>
        </w:rPr>
        <w:t xml:space="preserve"> 9</w:t>
      </w:r>
      <w:r>
        <w:rPr>
          <w:b/>
          <w:bCs/>
          <w:szCs w:val="24"/>
        </w:rPr>
        <w:t>,</w:t>
      </w:r>
      <w:r>
        <w:rPr>
          <w:szCs w:val="24"/>
        </w:rPr>
        <w:t xml:space="preserve"> 391-7.</w:t>
      </w:r>
      <w:proofErr w:type="gramEnd"/>
    </w:p>
    <w:p w:rsidR="003E2FE6" w:rsidRDefault="003E2FE6" w:rsidP="003E2FE6">
      <w:pPr>
        <w:spacing w:line="480" w:lineRule="auto"/>
        <w:rPr>
          <w:szCs w:val="24"/>
        </w:rPr>
      </w:pPr>
      <w:proofErr w:type="gramStart"/>
      <w:r w:rsidRPr="003E2FE6">
        <w:rPr>
          <w:szCs w:val="24"/>
        </w:rPr>
        <w:t>Dahl JE, Frangou-Polyzois MJ, Polyzois GL (2006) In vitro</w:t>
      </w:r>
      <w:r>
        <w:rPr>
          <w:szCs w:val="24"/>
        </w:rPr>
        <w:t xml:space="preserve"> </w:t>
      </w:r>
      <w:r w:rsidRPr="003E2FE6">
        <w:rPr>
          <w:szCs w:val="24"/>
        </w:rPr>
        <w:t>biocompatibility of denture relining materials.</w:t>
      </w:r>
      <w:proofErr w:type="gramEnd"/>
      <w:r w:rsidRPr="003E2FE6">
        <w:rPr>
          <w:szCs w:val="24"/>
        </w:rPr>
        <w:t xml:space="preserve"> Gerodontology</w:t>
      </w:r>
      <w:r>
        <w:rPr>
          <w:szCs w:val="24"/>
        </w:rPr>
        <w:t xml:space="preserve"> </w:t>
      </w:r>
      <w:r w:rsidRPr="003E2FE6">
        <w:rPr>
          <w:szCs w:val="24"/>
        </w:rPr>
        <w:t>23, 17–22.</w:t>
      </w:r>
    </w:p>
    <w:p w:rsidR="00AD5452" w:rsidRDefault="00AD5452" w:rsidP="00AD5452">
      <w:pPr>
        <w:spacing w:line="480" w:lineRule="auto"/>
        <w:jc w:val="both"/>
        <w:rPr>
          <w:szCs w:val="24"/>
        </w:rPr>
      </w:pPr>
      <w:proofErr w:type="gramStart"/>
      <w:r>
        <w:rPr>
          <w:szCs w:val="24"/>
        </w:rPr>
        <w:t>DAMMASCHKE, T., ZUCHNER, H. &amp; SCHAFER, E. 2005.</w:t>
      </w:r>
      <w:proofErr w:type="gramEnd"/>
      <w:r>
        <w:rPr>
          <w:szCs w:val="24"/>
        </w:rPr>
        <w:t xml:space="preserve"> Chemical and physical surface and bulk material characterization of white ProRoot MTA and two Portland cements. </w:t>
      </w:r>
      <w:r>
        <w:rPr>
          <w:i/>
          <w:iCs/>
          <w:szCs w:val="24"/>
        </w:rPr>
        <w:t>Dent Mater,</w:t>
      </w:r>
      <w:r>
        <w:rPr>
          <w:szCs w:val="24"/>
        </w:rPr>
        <w:t xml:space="preserve"> 21.</w:t>
      </w:r>
    </w:p>
    <w:p w:rsidR="00AD5452" w:rsidRDefault="00AD5452" w:rsidP="00AD5452">
      <w:pPr>
        <w:spacing w:line="480" w:lineRule="auto"/>
        <w:jc w:val="both"/>
        <w:rPr>
          <w:szCs w:val="24"/>
        </w:rPr>
      </w:pPr>
      <w:proofErr w:type="gramStart"/>
      <w:r>
        <w:rPr>
          <w:szCs w:val="24"/>
        </w:rPr>
        <w:t>DARVELL, B. &amp; WU, R. 2011.</w:t>
      </w:r>
      <w:proofErr w:type="gramEnd"/>
      <w:r>
        <w:rPr>
          <w:szCs w:val="24"/>
        </w:rPr>
        <w:t xml:space="preserve"> MTA: </w:t>
      </w:r>
      <w:proofErr w:type="gramStart"/>
      <w:r>
        <w:rPr>
          <w:szCs w:val="24"/>
        </w:rPr>
        <w:t>an</w:t>
      </w:r>
      <w:proofErr w:type="gramEnd"/>
      <w:r>
        <w:rPr>
          <w:szCs w:val="24"/>
        </w:rPr>
        <w:t xml:space="preserve"> hydraulic silicate cement—review update and setting reaction. </w:t>
      </w:r>
      <w:r>
        <w:rPr>
          <w:i/>
          <w:iCs/>
          <w:szCs w:val="24"/>
        </w:rPr>
        <w:t>Dent Mater,</w:t>
      </w:r>
      <w:r>
        <w:rPr>
          <w:szCs w:val="24"/>
        </w:rPr>
        <w:t xml:space="preserve"> 27</w:t>
      </w:r>
      <w:r>
        <w:rPr>
          <w:b/>
          <w:bCs/>
          <w:szCs w:val="24"/>
        </w:rPr>
        <w:t>,</w:t>
      </w:r>
      <w:r>
        <w:rPr>
          <w:szCs w:val="24"/>
        </w:rPr>
        <w:t xml:space="preserve"> 407–22.</w:t>
      </w:r>
    </w:p>
    <w:p w:rsidR="00AD5452" w:rsidRDefault="00AD5452" w:rsidP="00AD5452">
      <w:pPr>
        <w:spacing w:line="480" w:lineRule="auto"/>
        <w:jc w:val="both"/>
        <w:rPr>
          <w:szCs w:val="24"/>
        </w:rPr>
      </w:pPr>
      <w:proofErr w:type="gramStart"/>
      <w:r>
        <w:rPr>
          <w:szCs w:val="24"/>
        </w:rPr>
        <w:lastRenderedPageBreak/>
        <w:t>DENTISTRY.,</w:t>
      </w:r>
      <w:proofErr w:type="gramEnd"/>
      <w:r>
        <w:rPr>
          <w:szCs w:val="24"/>
        </w:rPr>
        <w:t xml:space="preserve"> A. A. O. P. 2004. </w:t>
      </w:r>
      <w:proofErr w:type="gramStart"/>
      <w:r>
        <w:rPr>
          <w:szCs w:val="24"/>
        </w:rPr>
        <w:t>Guideline on pulp therapy for primary and young permanent teeth.</w:t>
      </w:r>
      <w:proofErr w:type="gramEnd"/>
      <w:r>
        <w:rPr>
          <w:szCs w:val="24"/>
        </w:rPr>
        <w:t xml:space="preserve"> . </w:t>
      </w:r>
      <w:r>
        <w:rPr>
          <w:i/>
          <w:iCs/>
          <w:szCs w:val="24"/>
        </w:rPr>
        <w:t>J Clin Pediatr Dent,</w:t>
      </w:r>
      <w:r>
        <w:rPr>
          <w:szCs w:val="24"/>
        </w:rPr>
        <w:t xml:space="preserve"> 26</w:t>
      </w:r>
      <w:r>
        <w:rPr>
          <w:b/>
          <w:bCs/>
          <w:szCs w:val="24"/>
        </w:rPr>
        <w:t>,</w:t>
      </w:r>
      <w:r>
        <w:rPr>
          <w:szCs w:val="24"/>
        </w:rPr>
        <w:t xml:space="preserve"> 115-119.</w:t>
      </w:r>
    </w:p>
    <w:p w:rsidR="00AD5452" w:rsidRDefault="00AD5452" w:rsidP="00AD5452">
      <w:pPr>
        <w:spacing w:line="480" w:lineRule="auto"/>
        <w:jc w:val="both"/>
        <w:rPr>
          <w:szCs w:val="24"/>
        </w:rPr>
      </w:pPr>
      <w:proofErr w:type="gramStart"/>
      <w:r>
        <w:rPr>
          <w:szCs w:val="24"/>
        </w:rPr>
        <w:t>DESAI, S. &amp; CHANDLER, N. 2009.</w:t>
      </w:r>
      <w:proofErr w:type="gramEnd"/>
      <w:r>
        <w:rPr>
          <w:szCs w:val="24"/>
        </w:rPr>
        <w:t xml:space="preserve"> Calcium Hydroxide–Based Root Canal Sealers: A Review. </w:t>
      </w:r>
      <w:r>
        <w:rPr>
          <w:i/>
          <w:iCs/>
          <w:szCs w:val="24"/>
        </w:rPr>
        <w:t>Journal of Endodontics,</w:t>
      </w:r>
      <w:r>
        <w:rPr>
          <w:szCs w:val="24"/>
        </w:rPr>
        <w:t xml:space="preserve"> 35</w:t>
      </w:r>
      <w:r>
        <w:rPr>
          <w:b/>
          <w:bCs/>
          <w:szCs w:val="24"/>
        </w:rPr>
        <w:t>,</w:t>
      </w:r>
      <w:r>
        <w:rPr>
          <w:szCs w:val="24"/>
        </w:rPr>
        <w:t xml:space="preserve"> 475-480.</w:t>
      </w:r>
    </w:p>
    <w:p w:rsidR="00AD5452" w:rsidRDefault="00AD5452" w:rsidP="00AD5452">
      <w:pPr>
        <w:spacing w:line="480" w:lineRule="auto"/>
        <w:jc w:val="both"/>
        <w:rPr>
          <w:szCs w:val="24"/>
        </w:rPr>
      </w:pPr>
      <w:r>
        <w:rPr>
          <w:szCs w:val="24"/>
        </w:rPr>
        <w:t xml:space="preserve">DIMASHKIEH M. 1975. </w:t>
      </w:r>
      <w:proofErr w:type="gramStart"/>
      <w:r>
        <w:rPr>
          <w:szCs w:val="24"/>
        </w:rPr>
        <w:t>A method of using silver amalgam in routine endodontic, and its use in open apices.</w:t>
      </w:r>
      <w:proofErr w:type="gramEnd"/>
      <w:r>
        <w:rPr>
          <w:szCs w:val="24"/>
        </w:rPr>
        <w:t xml:space="preserve"> </w:t>
      </w:r>
      <w:r>
        <w:rPr>
          <w:i/>
          <w:iCs/>
          <w:szCs w:val="24"/>
        </w:rPr>
        <w:t>British Dental Journal,</w:t>
      </w:r>
      <w:r>
        <w:rPr>
          <w:szCs w:val="24"/>
        </w:rPr>
        <w:t xml:space="preserve"> 138</w:t>
      </w:r>
      <w:r>
        <w:rPr>
          <w:b/>
          <w:bCs/>
          <w:szCs w:val="24"/>
        </w:rPr>
        <w:t>,</w:t>
      </w:r>
      <w:r>
        <w:rPr>
          <w:szCs w:val="24"/>
        </w:rPr>
        <w:t xml:space="preserve"> 298-300.</w:t>
      </w:r>
    </w:p>
    <w:p w:rsidR="00AD5452" w:rsidRDefault="00AD5452" w:rsidP="00AD5452">
      <w:pPr>
        <w:spacing w:line="480" w:lineRule="auto"/>
        <w:jc w:val="both"/>
        <w:rPr>
          <w:szCs w:val="24"/>
        </w:rPr>
      </w:pPr>
      <w:r>
        <w:rPr>
          <w:szCs w:val="24"/>
        </w:rPr>
        <w:t xml:space="preserve">DING, R., CHEUNG, G., CHEN, J., YIN, X., WANG, Q. &amp; ZHANG, C. 2009. Pulp revascularization of immature teeth with apical periodontitis: a clinical study. </w:t>
      </w:r>
      <w:proofErr w:type="gramStart"/>
      <w:r>
        <w:rPr>
          <w:i/>
          <w:iCs/>
          <w:szCs w:val="24"/>
        </w:rPr>
        <w:t>Journal of Endodontics,</w:t>
      </w:r>
      <w:r>
        <w:rPr>
          <w:szCs w:val="24"/>
        </w:rPr>
        <w:t xml:space="preserve"> 35</w:t>
      </w:r>
      <w:r>
        <w:rPr>
          <w:b/>
          <w:bCs/>
          <w:szCs w:val="24"/>
        </w:rPr>
        <w:t>,</w:t>
      </w:r>
      <w:r>
        <w:rPr>
          <w:szCs w:val="24"/>
        </w:rPr>
        <w:t xml:space="preserve"> 745-9.</w:t>
      </w:r>
      <w:proofErr w:type="gramEnd"/>
    </w:p>
    <w:p w:rsidR="00AD5452" w:rsidRDefault="00AD5452" w:rsidP="00AD5452">
      <w:pPr>
        <w:spacing w:line="480" w:lineRule="auto"/>
        <w:jc w:val="both"/>
        <w:rPr>
          <w:szCs w:val="24"/>
        </w:rPr>
      </w:pPr>
      <w:proofErr w:type="gramStart"/>
      <w:r>
        <w:rPr>
          <w:szCs w:val="24"/>
        </w:rPr>
        <w:t>DOMINGUEZ-REYES, D., MUN˜OZ, T. &amp; MARTı, A. 2005.</w:t>
      </w:r>
      <w:proofErr w:type="gramEnd"/>
      <w:r>
        <w:rPr>
          <w:szCs w:val="24"/>
        </w:rPr>
        <w:t xml:space="preserve"> </w:t>
      </w:r>
      <w:proofErr w:type="gramStart"/>
      <w:r>
        <w:rPr>
          <w:szCs w:val="24"/>
        </w:rPr>
        <w:t xml:space="preserve">Study of calcium hydroxide apexification in 26 young permanent incisors Dental </w:t>
      </w:r>
      <w:r>
        <w:rPr>
          <w:i/>
          <w:iCs/>
          <w:szCs w:val="24"/>
        </w:rPr>
        <w:t>Dental Traumatology,</w:t>
      </w:r>
      <w:r>
        <w:rPr>
          <w:szCs w:val="24"/>
        </w:rPr>
        <w:t xml:space="preserve"> 21</w:t>
      </w:r>
      <w:r>
        <w:rPr>
          <w:b/>
          <w:bCs/>
          <w:szCs w:val="24"/>
        </w:rPr>
        <w:t>,</w:t>
      </w:r>
      <w:r>
        <w:rPr>
          <w:szCs w:val="24"/>
        </w:rPr>
        <w:t xml:space="preserve"> 141-145.</w:t>
      </w:r>
      <w:proofErr w:type="gramEnd"/>
    </w:p>
    <w:p w:rsidR="00AD5452" w:rsidRDefault="00AD5452" w:rsidP="00AD5452">
      <w:pPr>
        <w:spacing w:line="480" w:lineRule="auto"/>
        <w:jc w:val="both"/>
        <w:rPr>
          <w:szCs w:val="24"/>
        </w:rPr>
      </w:pPr>
      <w:r>
        <w:rPr>
          <w:szCs w:val="24"/>
        </w:rPr>
        <w:t xml:space="preserve">DOYON, G., DUMSHA, T. &amp; VON FRAUNHOFER, A. 2005. Fracture resistance of human root dentine exposed to intracanal calcium hydroxide. </w:t>
      </w:r>
      <w:r>
        <w:rPr>
          <w:i/>
          <w:iCs/>
          <w:szCs w:val="24"/>
        </w:rPr>
        <w:t>Journal of Endodontics</w:t>
      </w:r>
      <w:r>
        <w:rPr>
          <w:b/>
          <w:bCs/>
          <w:szCs w:val="24"/>
        </w:rPr>
        <w:t>,</w:t>
      </w:r>
      <w:r>
        <w:rPr>
          <w:szCs w:val="24"/>
        </w:rPr>
        <w:t xml:space="preserve"> 895-897.</w:t>
      </w:r>
    </w:p>
    <w:p w:rsidR="00AD5452" w:rsidRDefault="00AD5452" w:rsidP="00AD5452">
      <w:pPr>
        <w:spacing w:line="480" w:lineRule="auto"/>
        <w:jc w:val="both"/>
        <w:rPr>
          <w:szCs w:val="24"/>
        </w:rPr>
      </w:pPr>
      <w:r>
        <w:rPr>
          <w:szCs w:val="24"/>
        </w:rPr>
        <w:t xml:space="preserve">DUARTE, M., DEMARCHI, C., YAMASHITA, J., KUGA, M. &amp; FRAGA, S. 2003. </w:t>
      </w:r>
      <w:proofErr w:type="gramStart"/>
      <w:r>
        <w:rPr>
          <w:szCs w:val="24"/>
        </w:rPr>
        <w:t>A pH and calcium ion release of 2 root-end filling materials.</w:t>
      </w:r>
      <w:proofErr w:type="gramEnd"/>
      <w:r>
        <w:rPr>
          <w:szCs w:val="24"/>
        </w:rPr>
        <w:t xml:space="preserve"> </w:t>
      </w:r>
      <w:proofErr w:type="gramStart"/>
      <w:r>
        <w:rPr>
          <w:i/>
          <w:iCs/>
          <w:szCs w:val="24"/>
        </w:rPr>
        <w:t>Oral Surg Oral Med Oral Pathol Oral Radiol Endod,</w:t>
      </w:r>
      <w:r>
        <w:rPr>
          <w:szCs w:val="24"/>
        </w:rPr>
        <w:t xml:space="preserve"> 95</w:t>
      </w:r>
      <w:r>
        <w:rPr>
          <w:b/>
          <w:bCs/>
          <w:szCs w:val="24"/>
        </w:rPr>
        <w:t>,</w:t>
      </w:r>
      <w:r>
        <w:rPr>
          <w:szCs w:val="24"/>
        </w:rPr>
        <w:t xml:space="preserve"> 345-7.</w:t>
      </w:r>
      <w:proofErr w:type="gramEnd"/>
    </w:p>
    <w:p w:rsidR="00AD5452" w:rsidRDefault="00AD5452" w:rsidP="00AD5452">
      <w:pPr>
        <w:spacing w:line="480" w:lineRule="auto"/>
        <w:jc w:val="both"/>
        <w:rPr>
          <w:szCs w:val="24"/>
        </w:rPr>
      </w:pPr>
      <w:r>
        <w:rPr>
          <w:szCs w:val="24"/>
        </w:rPr>
        <w:t xml:space="preserve">DUARTE, M., YAMASHITA, J., KUGA, M. &amp; FRAGA, S. 2003. </w:t>
      </w:r>
      <w:proofErr w:type="gramStart"/>
      <w:r>
        <w:rPr>
          <w:szCs w:val="24"/>
        </w:rPr>
        <w:t>pH</w:t>
      </w:r>
      <w:proofErr w:type="gramEnd"/>
      <w:r>
        <w:rPr>
          <w:szCs w:val="24"/>
        </w:rPr>
        <w:t xml:space="preserve"> and calcium ion release of 2 root-end filling materials. </w:t>
      </w:r>
      <w:proofErr w:type="gramStart"/>
      <w:r>
        <w:rPr>
          <w:i/>
          <w:iCs/>
          <w:szCs w:val="24"/>
        </w:rPr>
        <w:t>Oral Surgery Oral Medicine Oral Pathology Oral Radiology and Endodontics,</w:t>
      </w:r>
      <w:r>
        <w:rPr>
          <w:szCs w:val="24"/>
        </w:rPr>
        <w:t xml:space="preserve"> 95</w:t>
      </w:r>
      <w:r>
        <w:rPr>
          <w:b/>
          <w:bCs/>
          <w:szCs w:val="24"/>
        </w:rPr>
        <w:t>,</w:t>
      </w:r>
      <w:r>
        <w:rPr>
          <w:szCs w:val="24"/>
        </w:rPr>
        <w:t xml:space="preserve"> 345-7.</w:t>
      </w:r>
      <w:proofErr w:type="gramEnd"/>
    </w:p>
    <w:p w:rsidR="00AD5452" w:rsidRDefault="00AD5452" w:rsidP="00AD5452">
      <w:pPr>
        <w:spacing w:line="480" w:lineRule="auto"/>
        <w:jc w:val="both"/>
        <w:rPr>
          <w:szCs w:val="24"/>
        </w:rPr>
      </w:pPr>
      <w:r>
        <w:rPr>
          <w:szCs w:val="24"/>
        </w:rPr>
        <w:t xml:space="preserve">EL MELIGY, O. 2006. </w:t>
      </w:r>
      <w:proofErr w:type="gramStart"/>
      <w:r>
        <w:rPr>
          <w:szCs w:val="24"/>
        </w:rPr>
        <w:t>Comparison of apexofication with mineral trioxide Aggregate and calcium hydroxide.</w:t>
      </w:r>
      <w:proofErr w:type="gramEnd"/>
      <w:r>
        <w:rPr>
          <w:szCs w:val="24"/>
        </w:rPr>
        <w:t xml:space="preserve"> </w:t>
      </w:r>
      <w:r>
        <w:rPr>
          <w:i/>
          <w:iCs/>
          <w:szCs w:val="24"/>
        </w:rPr>
        <w:t>Paediatric Dentistry.,</w:t>
      </w:r>
      <w:r>
        <w:rPr>
          <w:szCs w:val="24"/>
        </w:rPr>
        <w:t xml:space="preserve"> 28</w:t>
      </w:r>
      <w:r>
        <w:rPr>
          <w:b/>
          <w:bCs/>
          <w:szCs w:val="24"/>
        </w:rPr>
        <w:t>,</w:t>
      </w:r>
      <w:r>
        <w:rPr>
          <w:szCs w:val="24"/>
        </w:rPr>
        <w:t xml:space="preserve"> 248-252.</w:t>
      </w:r>
    </w:p>
    <w:p w:rsidR="00AD5452" w:rsidRDefault="00AD5452" w:rsidP="00AD5452">
      <w:pPr>
        <w:spacing w:line="480" w:lineRule="auto"/>
        <w:jc w:val="both"/>
        <w:rPr>
          <w:szCs w:val="24"/>
        </w:rPr>
      </w:pPr>
      <w:proofErr w:type="gramStart"/>
      <w:r>
        <w:rPr>
          <w:szCs w:val="24"/>
        </w:rPr>
        <w:lastRenderedPageBreak/>
        <w:t>ELEAZER, P., MCDONALD, T., SINAI, I., FANTASIA, J., MICHELICH, R. &amp; YAGIELA, J. 1984.</w:t>
      </w:r>
      <w:proofErr w:type="gramEnd"/>
      <w:r>
        <w:rPr>
          <w:szCs w:val="24"/>
        </w:rPr>
        <w:t xml:space="preserve"> </w:t>
      </w:r>
      <w:proofErr w:type="gramStart"/>
      <w:r>
        <w:rPr>
          <w:szCs w:val="24"/>
        </w:rPr>
        <w:t>Proplast as an apical barrier in root canal therapy.</w:t>
      </w:r>
      <w:proofErr w:type="gramEnd"/>
      <w:r>
        <w:rPr>
          <w:i/>
          <w:iCs/>
          <w:szCs w:val="24"/>
        </w:rPr>
        <w:t xml:space="preserve"> </w:t>
      </w:r>
      <w:proofErr w:type="gramStart"/>
      <w:r>
        <w:rPr>
          <w:i/>
          <w:iCs/>
          <w:szCs w:val="24"/>
        </w:rPr>
        <w:t>Journal of Endodontics,</w:t>
      </w:r>
      <w:r>
        <w:rPr>
          <w:szCs w:val="24"/>
        </w:rPr>
        <w:t xml:space="preserve"> 10</w:t>
      </w:r>
      <w:r>
        <w:rPr>
          <w:b/>
          <w:bCs/>
          <w:szCs w:val="24"/>
        </w:rPr>
        <w:t>,</w:t>
      </w:r>
      <w:r>
        <w:rPr>
          <w:szCs w:val="24"/>
        </w:rPr>
        <w:t xml:space="preserve"> 487-90.</w:t>
      </w:r>
      <w:proofErr w:type="gramEnd"/>
    </w:p>
    <w:p w:rsidR="00AD5452" w:rsidRDefault="00AD5452" w:rsidP="00AD5452">
      <w:pPr>
        <w:spacing w:line="480" w:lineRule="auto"/>
        <w:jc w:val="both"/>
        <w:rPr>
          <w:szCs w:val="24"/>
        </w:rPr>
      </w:pPr>
      <w:proofErr w:type="gramStart"/>
      <w:r>
        <w:rPr>
          <w:szCs w:val="24"/>
        </w:rPr>
        <w:t>ENDODONTOLOGY.,</w:t>
      </w:r>
      <w:proofErr w:type="gramEnd"/>
      <w:r>
        <w:rPr>
          <w:szCs w:val="24"/>
        </w:rPr>
        <w:t xml:space="preserve"> E. S. O. 2006. Quality guidelines for endodontic treatment: consensus report of the European Society of Endodontology.</w:t>
      </w:r>
      <w:r>
        <w:rPr>
          <w:i/>
          <w:iCs/>
          <w:szCs w:val="24"/>
        </w:rPr>
        <w:t xml:space="preserve"> International Endodontic Journal,</w:t>
      </w:r>
      <w:r>
        <w:rPr>
          <w:szCs w:val="24"/>
        </w:rPr>
        <w:t xml:space="preserve"> 39</w:t>
      </w:r>
      <w:r>
        <w:rPr>
          <w:b/>
          <w:bCs/>
          <w:szCs w:val="24"/>
        </w:rPr>
        <w:t>,</w:t>
      </w:r>
      <w:r>
        <w:rPr>
          <w:szCs w:val="24"/>
        </w:rPr>
        <w:t xml:space="preserve"> 921-930.</w:t>
      </w:r>
    </w:p>
    <w:p w:rsidR="00AD5452" w:rsidRDefault="00AD5452" w:rsidP="00AD5452">
      <w:pPr>
        <w:spacing w:line="480" w:lineRule="auto"/>
        <w:jc w:val="both"/>
        <w:rPr>
          <w:szCs w:val="24"/>
        </w:rPr>
      </w:pPr>
      <w:proofErr w:type="gramStart"/>
      <w:r>
        <w:rPr>
          <w:szCs w:val="24"/>
        </w:rPr>
        <w:t>ENGLAND.,</w:t>
      </w:r>
      <w:proofErr w:type="gramEnd"/>
      <w:r>
        <w:rPr>
          <w:szCs w:val="24"/>
        </w:rPr>
        <w:t xml:space="preserve"> R. C. O. S. O. 1999. </w:t>
      </w:r>
      <w:proofErr w:type="gramStart"/>
      <w:r>
        <w:rPr>
          <w:i/>
          <w:iCs/>
          <w:szCs w:val="24"/>
        </w:rPr>
        <w:t>Paediatric Dentistry Clinical Guidelines.</w:t>
      </w:r>
      <w:proofErr w:type="gramEnd"/>
      <w:r>
        <w:rPr>
          <w:i/>
          <w:iCs/>
          <w:szCs w:val="24"/>
        </w:rPr>
        <w:t xml:space="preserve"> </w:t>
      </w:r>
      <w:proofErr w:type="gramStart"/>
      <w:r>
        <w:rPr>
          <w:szCs w:val="24"/>
        </w:rPr>
        <w:t>[Online].</w:t>
      </w:r>
      <w:proofErr w:type="gramEnd"/>
      <w:r>
        <w:rPr>
          <w:szCs w:val="24"/>
        </w:rPr>
        <w:t xml:space="preserve"> www.rcseng.ac.uk </w:t>
      </w:r>
    </w:p>
    <w:p w:rsidR="00AD5452" w:rsidRDefault="00AD5452" w:rsidP="00AD5452">
      <w:pPr>
        <w:spacing w:line="480" w:lineRule="auto"/>
        <w:jc w:val="both"/>
        <w:rPr>
          <w:szCs w:val="24"/>
        </w:rPr>
      </w:pPr>
      <w:proofErr w:type="gramStart"/>
      <w:r>
        <w:rPr>
          <w:szCs w:val="24"/>
        </w:rPr>
        <w:t>ESTRELA, C., BAMMANN, L., ESTRELA, C., SILVA, R. &amp; PE´CORA, J. 2000.</w:t>
      </w:r>
      <w:proofErr w:type="gramEnd"/>
      <w:r>
        <w:rPr>
          <w:szCs w:val="24"/>
        </w:rPr>
        <w:t xml:space="preserve"> </w:t>
      </w:r>
      <w:proofErr w:type="gramStart"/>
      <w:r>
        <w:rPr>
          <w:szCs w:val="24"/>
        </w:rPr>
        <w:t>Antimicrobial and chemical study of MTA, Portland cement, calcium hydroxide paste, Sealapex and Dycal.</w:t>
      </w:r>
      <w:proofErr w:type="gramEnd"/>
      <w:r>
        <w:rPr>
          <w:szCs w:val="24"/>
        </w:rPr>
        <w:t xml:space="preserve"> </w:t>
      </w:r>
      <w:r>
        <w:rPr>
          <w:i/>
          <w:iCs/>
          <w:szCs w:val="24"/>
        </w:rPr>
        <w:t xml:space="preserve">Braz Dent J </w:t>
      </w:r>
      <w:r>
        <w:rPr>
          <w:szCs w:val="24"/>
        </w:rPr>
        <w:t>11</w:t>
      </w:r>
      <w:r>
        <w:rPr>
          <w:b/>
          <w:bCs/>
          <w:szCs w:val="24"/>
        </w:rPr>
        <w:t>,</w:t>
      </w:r>
      <w:r>
        <w:rPr>
          <w:szCs w:val="24"/>
        </w:rPr>
        <w:t xml:space="preserve"> 3–9.</w:t>
      </w:r>
    </w:p>
    <w:p w:rsidR="00AD5452" w:rsidRDefault="00AD5452" w:rsidP="00AD5452">
      <w:pPr>
        <w:spacing w:line="480" w:lineRule="auto"/>
        <w:jc w:val="both"/>
        <w:rPr>
          <w:szCs w:val="24"/>
        </w:rPr>
      </w:pPr>
      <w:r>
        <w:rPr>
          <w:szCs w:val="24"/>
        </w:rPr>
        <w:t xml:space="preserve">FARGES, J., KELLER, J., CARROUEL, F., DURAND, S., ROMEAS, A., BLEICHER, F., LEBECQUE, S. &amp; STAQUET, M. 2009. </w:t>
      </w:r>
      <w:proofErr w:type="gramStart"/>
      <w:r>
        <w:rPr>
          <w:szCs w:val="24"/>
        </w:rPr>
        <w:t>Odontoblasts in the dental pulp immune response.</w:t>
      </w:r>
      <w:proofErr w:type="gramEnd"/>
      <w:r>
        <w:rPr>
          <w:szCs w:val="24"/>
        </w:rPr>
        <w:t xml:space="preserve"> </w:t>
      </w:r>
      <w:r>
        <w:rPr>
          <w:i/>
          <w:iCs/>
          <w:szCs w:val="24"/>
        </w:rPr>
        <w:t>J Exp Zool B Mol Dev Evol.,</w:t>
      </w:r>
      <w:r>
        <w:rPr>
          <w:szCs w:val="24"/>
        </w:rPr>
        <w:t xml:space="preserve"> 312B</w:t>
      </w:r>
      <w:r>
        <w:rPr>
          <w:b/>
          <w:bCs/>
          <w:szCs w:val="24"/>
        </w:rPr>
        <w:t>,</w:t>
      </w:r>
      <w:r>
        <w:rPr>
          <w:szCs w:val="24"/>
        </w:rPr>
        <w:t xml:space="preserve"> 425-36.</w:t>
      </w:r>
    </w:p>
    <w:p w:rsidR="00AD5452" w:rsidRDefault="00AD5452" w:rsidP="00AD5452">
      <w:pPr>
        <w:spacing w:line="480" w:lineRule="auto"/>
        <w:jc w:val="both"/>
        <w:rPr>
          <w:szCs w:val="24"/>
        </w:rPr>
      </w:pPr>
      <w:proofErr w:type="gramStart"/>
      <w:r>
        <w:rPr>
          <w:szCs w:val="24"/>
        </w:rPr>
        <w:t>FELIPPE, W., FELIPPE, M. &amp; ROCHA, M. 2006.</w:t>
      </w:r>
      <w:proofErr w:type="gramEnd"/>
      <w:r>
        <w:rPr>
          <w:szCs w:val="24"/>
        </w:rPr>
        <w:t xml:space="preserve"> </w:t>
      </w:r>
      <w:proofErr w:type="gramStart"/>
      <w:r>
        <w:rPr>
          <w:szCs w:val="24"/>
        </w:rPr>
        <w:t>The effect of mineral trioxide aggregate on the apexification and periapical healing of teeth with incomplete root formation.</w:t>
      </w:r>
      <w:proofErr w:type="gramEnd"/>
      <w:r>
        <w:rPr>
          <w:i/>
          <w:iCs/>
          <w:szCs w:val="24"/>
        </w:rPr>
        <w:t xml:space="preserve"> Int Endod J,</w:t>
      </w:r>
      <w:r>
        <w:rPr>
          <w:szCs w:val="24"/>
        </w:rPr>
        <w:t xml:space="preserve"> 39</w:t>
      </w:r>
      <w:r>
        <w:rPr>
          <w:b/>
          <w:bCs/>
          <w:szCs w:val="24"/>
        </w:rPr>
        <w:t>,</w:t>
      </w:r>
      <w:r>
        <w:rPr>
          <w:szCs w:val="24"/>
        </w:rPr>
        <w:t xml:space="preserve"> 2–9.</w:t>
      </w:r>
    </w:p>
    <w:p w:rsidR="00AD5452" w:rsidRDefault="00AD5452" w:rsidP="00AD5452">
      <w:pPr>
        <w:spacing w:line="480" w:lineRule="auto"/>
        <w:jc w:val="both"/>
        <w:rPr>
          <w:szCs w:val="24"/>
        </w:rPr>
      </w:pPr>
      <w:proofErr w:type="gramStart"/>
      <w:r>
        <w:rPr>
          <w:szCs w:val="24"/>
        </w:rPr>
        <w:t>FERREIRA, F., CAMPOS RABANG, H., PINHEIRO, E., GADÊ-NETO, C., ZAIA, A., FERRAZ, C., DE SOUZA-FILHO, F. &amp; GOMES, B. 2006.</w:t>
      </w:r>
      <w:proofErr w:type="gramEnd"/>
      <w:r>
        <w:rPr>
          <w:szCs w:val="24"/>
        </w:rPr>
        <w:t xml:space="preserve"> </w:t>
      </w:r>
      <w:proofErr w:type="gramStart"/>
      <w:r>
        <w:rPr>
          <w:szCs w:val="24"/>
        </w:rPr>
        <w:t>Root canal microbiota of dogs’ teeth with periapical lesions induced by two different methods.</w:t>
      </w:r>
      <w:proofErr w:type="gramEnd"/>
      <w:r>
        <w:rPr>
          <w:szCs w:val="24"/>
        </w:rPr>
        <w:t xml:space="preserve"> </w:t>
      </w:r>
      <w:proofErr w:type="gramStart"/>
      <w:r>
        <w:rPr>
          <w:i/>
          <w:iCs/>
          <w:szCs w:val="24"/>
        </w:rPr>
        <w:t>Oral Surg Oral Med Oral Pathol Oral Radiol Endod,</w:t>
      </w:r>
      <w:r>
        <w:rPr>
          <w:szCs w:val="24"/>
        </w:rPr>
        <w:t xml:space="preserve"> 102</w:t>
      </w:r>
      <w:r>
        <w:rPr>
          <w:b/>
          <w:bCs/>
          <w:szCs w:val="24"/>
        </w:rPr>
        <w:t>,</w:t>
      </w:r>
      <w:r>
        <w:rPr>
          <w:szCs w:val="24"/>
        </w:rPr>
        <w:t xml:space="preserve"> 564-70.</w:t>
      </w:r>
      <w:proofErr w:type="gramEnd"/>
    </w:p>
    <w:p w:rsidR="00AD5452" w:rsidRDefault="00AD5452" w:rsidP="00AD5452">
      <w:pPr>
        <w:spacing w:line="480" w:lineRule="auto"/>
        <w:jc w:val="both"/>
        <w:rPr>
          <w:szCs w:val="24"/>
        </w:rPr>
      </w:pPr>
      <w:proofErr w:type="gramStart"/>
      <w:r>
        <w:rPr>
          <w:szCs w:val="24"/>
        </w:rPr>
        <w:t>FISCHER-CRIPPS, A. 2002.</w:t>
      </w:r>
      <w:proofErr w:type="gramEnd"/>
      <w:r>
        <w:rPr>
          <w:szCs w:val="24"/>
        </w:rPr>
        <w:t xml:space="preserve"> </w:t>
      </w:r>
      <w:proofErr w:type="gramStart"/>
      <w:r>
        <w:rPr>
          <w:i/>
          <w:iCs/>
          <w:szCs w:val="24"/>
        </w:rPr>
        <w:t>Nanoindentation, mechanical engineering series</w:t>
      </w:r>
      <w:r>
        <w:rPr>
          <w:szCs w:val="24"/>
        </w:rPr>
        <w:t>, Springer-Verlag New York.</w:t>
      </w:r>
      <w:proofErr w:type="gramEnd"/>
    </w:p>
    <w:p w:rsidR="00AD5452" w:rsidRDefault="00AD5452" w:rsidP="00AD5452">
      <w:pPr>
        <w:spacing w:line="480" w:lineRule="auto"/>
        <w:jc w:val="both"/>
        <w:rPr>
          <w:szCs w:val="24"/>
        </w:rPr>
      </w:pPr>
      <w:proofErr w:type="gramStart"/>
      <w:r>
        <w:rPr>
          <w:szCs w:val="24"/>
        </w:rPr>
        <w:lastRenderedPageBreak/>
        <w:t>FITZGERALD, M., CHIEGO, D. &amp; HEYS, D. 1990.</w:t>
      </w:r>
      <w:proofErr w:type="gramEnd"/>
      <w:r>
        <w:rPr>
          <w:szCs w:val="24"/>
        </w:rPr>
        <w:t xml:space="preserve"> </w:t>
      </w:r>
      <w:proofErr w:type="gramStart"/>
      <w:r>
        <w:rPr>
          <w:szCs w:val="24"/>
        </w:rPr>
        <w:t>autoradiographic</w:t>
      </w:r>
      <w:proofErr w:type="gramEnd"/>
      <w:r>
        <w:rPr>
          <w:szCs w:val="24"/>
        </w:rPr>
        <w:t xml:space="preserve"> analysis of odontoblasts replacement following pulp exposure in primate teeth. </w:t>
      </w:r>
      <w:r>
        <w:rPr>
          <w:i/>
          <w:iCs/>
          <w:szCs w:val="24"/>
        </w:rPr>
        <w:t>Arch Oral Biol,</w:t>
      </w:r>
      <w:r>
        <w:rPr>
          <w:szCs w:val="24"/>
        </w:rPr>
        <w:t xml:space="preserve"> 35</w:t>
      </w:r>
      <w:r>
        <w:rPr>
          <w:b/>
          <w:bCs/>
          <w:szCs w:val="24"/>
        </w:rPr>
        <w:t>,</w:t>
      </w:r>
      <w:r>
        <w:rPr>
          <w:szCs w:val="24"/>
        </w:rPr>
        <w:t xml:space="preserve"> 707-715.</w:t>
      </w:r>
    </w:p>
    <w:p w:rsidR="00AD5452" w:rsidRDefault="00AD5452" w:rsidP="00AD5452">
      <w:pPr>
        <w:spacing w:line="480" w:lineRule="auto"/>
        <w:jc w:val="both"/>
        <w:rPr>
          <w:szCs w:val="24"/>
        </w:rPr>
      </w:pPr>
      <w:proofErr w:type="gramStart"/>
      <w:r>
        <w:rPr>
          <w:szCs w:val="24"/>
        </w:rPr>
        <w:t>FORSBERG, C. &amp; TEDESTAM, G. 1990.</w:t>
      </w:r>
      <w:proofErr w:type="gramEnd"/>
      <w:r>
        <w:rPr>
          <w:szCs w:val="24"/>
        </w:rPr>
        <w:t xml:space="preserve"> </w:t>
      </w:r>
      <w:proofErr w:type="gramStart"/>
      <w:r>
        <w:rPr>
          <w:szCs w:val="24"/>
        </w:rPr>
        <w:t>Traumatic injuries to teeth in Swe d i s h children living in an urban area.</w:t>
      </w:r>
      <w:proofErr w:type="gramEnd"/>
      <w:r>
        <w:rPr>
          <w:szCs w:val="24"/>
        </w:rPr>
        <w:t xml:space="preserve"> </w:t>
      </w:r>
      <w:r>
        <w:rPr>
          <w:i/>
          <w:iCs/>
          <w:szCs w:val="24"/>
        </w:rPr>
        <w:t xml:space="preserve">Swed Dent J </w:t>
      </w:r>
      <w:r>
        <w:rPr>
          <w:szCs w:val="24"/>
        </w:rPr>
        <w:t>14</w:t>
      </w:r>
      <w:r>
        <w:rPr>
          <w:b/>
          <w:bCs/>
          <w:szCs w:val="24"/>
        </w:rPr>
        <w:t>,</w:t>
      </w:r>
      <w:r>
        <w:rPr>
          <w:szCs w:val="24"/>
        </w:rPr>
        <w:t xml:space="preserve"> 115-122</w:t>
      </w:r>
    </w:p>
    <w:p w:rsidR="00AD5452" w:rsidRDefault="00AD5452" w:rsidP="00AD5452">
      <w:pPr>
        <w:spacing w:line="480" w:lineRule="auto"/>
        <w:jc w:val="both"/>
        <w:rPr>
          <w:szCs w:val="24"/>
        </w:rPr>
      </w:pPr>
      <w:r>
        <w:rPr>
          <w:szCs w:val="24"/>
        </w:rPr>
        <w:tab/>
      </w:r>
    </w:p>
    <w:p w:rsidR="00AD5452" w:rsidRDefault="00AD5452" w:rsidP="00AD5452">
      <w:pPr>
        <w:spacing w:line="480" w:lineRule="auto"/>
        <w:jc w:val="both"/>
        <w:rPr>
          <w:szCs w:val="24"/>
        </w:rPr>
      </w:pPr>
      <w:r>
        <w:rPr>
          <w:szCs w:val="24"/>
        </w:rPr>
        <w:t xml:space="preserve">FRANK A. 1966. Therapy for the divergent pulpless tooth by continued apical formation. </w:t>
      </w:r>
      <w:r>
        <w:rPr>
          <w:i/>
          <w:iCs/>
          <w:szCs w:val="24"/>
        </w:rPr>
        <w:t>Journal of American Dental Association,</w:t>
      </w:r>
      <w:r>
        <w:rPr>
          <w:szCs w:val="24"/>
        </w:rPr>
        <w:t xml:space="preserve"> 72</w:t>
      </w:r>
      <w:r>
        <w:rPr>
          <w:b/>
          <w:bCs/>
          <w:szCs w:val="24"/>
        </w:rPr>
        <w:t>,</w:t>
      </w:r>
      <w:r>
        <w:rPr>
          <w:szCs w:val="24"/>
        </w:rPr>
        <w:t xml:space="preserve"> 87-93.</w:t>
      </w:r>
    </w:p>
    <w:p w:rsidR="00AD5452" w:rsidRDefault="00AD5452" w:rsidP="00AD5452">
      <w:pPr>
        <w:spacing w:line="480" w:lineRule="auto"/>
        <w:jc w:val="both"/>
        <w:rPr>
          <w:szCs w:val="24"/>
        </w:rPr>
      </w:pPr>
      <w:proofErr w:type="gramStart"/>
      <w:r>
        <w:rPr>
          <w:szCs w:val="24"/>
        </w:rPr>
        <w:t>FRIDLAND, M. &amp; ROSADO, R. 2005.</w:t>
      </w:r>
      <w:proofErr w:type="gramEnd"/>
      <w:r>
        <w:rPr>
          <w:szCs w:val="24"/>
        </w:rPr>
        <w:t xml:space="preserve"> MTA solubility: a long term study. </w:t>
      </w:r>
      <w:proofErr w:type="gramStart"/>
      <w:r>
        <w:rPr>
          <w:i/>
          <w:iCs/>
          <w:szCs w:val="24"/>
        </w:rPr>
        <w:t>J Endod</w:t>
      </w:r>
      <w:r>
        <w:rPr>
          <w:b/>
          <w:bCs/>
          <w:szCs w:val="24"/>
        </w:rPr>
        <w:t>,</w:t>
      </w:r>
      <w:r>
        <w:rPr>
          <w:szCs w:val="24"/>
        </w:rPr>
        <w:t xml:space="preserve"> 376–9.</w:t>
      </w:r>
      <w:proofErr w:type="gramEnd"/>
    </w:p>
    <w:p w:rsidR="00AD5452" w:rsidRDefault="00AD5452" w:rsidP="00AD5452">
      <w:pPr>
        <w:spacing w:line="480" w:lineRule="auto"/>
        <w:jc w:val="both"/>
        <w:rPr>
          <w:szCs w:val="24"/>
        </w:rPr>
      </w:pPr>
      <w:proofErr w:type="gramStart"/>
      <w:r>
        <w:rPr>
          <w:szCs w:val="24"/>
        </w:rPr>
        <w:t>GAUTAM, S., RAJKUMAR, B., LANDGE, S., DUBEY, S., NEHETE, P. &amp; BORUAH, L. 2011.</w:t>
      </w:r>
      <w:proofErr w:type="gramEnd"/>
      <w:r>
        <w:rPr>
          <w:szCs w:val="24"/>
        </w:rPr>
        <w:t xml:space="preserve"> </w:t>
      </w:r>
      <w:proofErr w:type="gramStart"/>
      <w:r>
        <w:rPr>
          <w:szCs w:val="24"/>
        </w:rPr>
        <w:t>Antimicrobial efficacy of metapex (calcium hydroxide with iodoform formulation) at different concentrations against selected microorganisms--an in vitro study.</w:t>
      </w:r>
      <w:proofErr w:type="gramEnd"/>
      <w:r>
        <w:rPr>
          <w:szCs w:val="24"/>
        </w:rPr>
        <w:t xml:space="preserve"> </w:t>
      </w:r>
      <w:r>
        <w:rPr>
          <w:i/>
          <w:iCs/>
          <w:szCs w:val="24"/>
        </w:rPr>
        <w:t>Nepal Med Coll J.,</w:t>
      </w:r>
      <w:r>
        <w:rPr>
          <w:szCs w:val="24"/>
        </w:rPr>
        <w:t xml:space="preserve"> 13</w:t>
      </w:r>
      <w:r>
        <w:rPr>
          <w:b/>
          <w:bCs/>
          <w:szCs w:val="24"/>
        </w:rPr>
        <w:t>,</w:t>
      </w:r>
      <w:r>
        <w:rPr>
          <w:szCs w:val="24"/>
        </w:rPr>
        <w:t xml:space="preserve"> 297-300.</w:t>
      </w:r>
    </w:p>
    <w:p w:rsidR="00AD5452" w:rsidRDefault="00AD5452" w:rsidP="00AD5452">
      <w:pPr>
        <w:spacing w:line="480" w:lineRule="auto"/>
        <w:jc w:val="both"/>
        <w:rPr>
          <w:szCs w:val="24"/>
        </w:rPr>
      </w:pPr>
      <w:proofErr w:type="gramStart"/>
      <w:r>
        <w:rPr>
          <w:szCs w:val="24"/>
        </w:rPr>
        <w:t>GAZELLES, B., OLGART, L. &amp; EDWALL, B. 1988.</w:t>
      </w:r>
      <w:proofErr w:type="gramEnd"/>
      <w:r>
        <w:rPr>
          <w:szCs w:val="24"/>
        </w:rPr>
        <w:t xml:space="preserve"> Restored vitality in luxated teeth assessed by laser Doppler flowmeter. </w:t>
      </w:r>
      <w:proofErr w:type="gramStart"/>
      <w:r>
        <w:rPr>
          <w:i/>
          <w:iCs/>
          <w:szCs w:val="24"/>
        </w:rPr>
        <w:t xml:space="preserve">Endodontics &amp; Dental Traumatology </w:t>
      </w:r>
      <w:r>
        <w:rPr>
          <w:szCs w:val="24"/>
        </w:rPr>
        <w:t>4</w:t>
      </w:r>
      <w:r>
        <w:rPr>
          <w:b/>
          <w:bCs/>
          <w:szCs w:val="24"/>
        </w:rPr>
        <w:t>,</w:t>
      </w:r>
      <w:r>
        <w:rPr>
          <w:szCs w:val="24"/>
        </w:rPr>
        <w:t xml:space="preserve"> 265-8.</w:t>
      </w:r>
      <w:proofErr w:type="gramEnd"/>
    </w:p>
    <w:p w:rsidR="00AD5452" w:rsidRDefault="00AD5452" w:rsidP="00AD5452">
      <w:pPr>
        <w:spacing w:line="480" w:lineRule="auto"/>
        <w:jc w:val="both"/>
        <w:rPr>
          <w:szCs w:val="24"/>
        </w:rPr>
      </w:pPr>
      <w:proofErr w:type="gramStart"/>
      <w:r>
        <w:rPr>
          <w:szCs w:val="24"/>
        </w:rPr>
        <w:t>GEORGE T, HUANG, J., WATARU SONOYAMA, YI LIU, HE LIU, SONGLIN WANG, A. &amp; SHI., S. 2013.</w:t>
      </w:r>
      <w:proofErr w:type="gramEnd"/>
      <w:r>
        <w:rPr>
          <w:szCs w:val="24"/>
        </w:rPr>
        <w:t xml:space="preserve"> The Hidden Treasure in Apical Papilla: The Potential Rolein Pulp/Dentin Regeneration and BioRoot Engineering </w:t>
      </w:r>
      <w:r>
        <w:rPr>
          <w:i/>
          <w:iCs/>
          <w:szCs w:val="24"/>
        </w:rPr>
        <w:t xml:space="preserve">J Endod </w:t>
      </w:r>
      <w:r>
        <w:rPr>
          <w:szCs w:val="24"/>
        </w:rPr>
        <w:t>39</w:t>
      </w:r>
      <w:r>
        <w:rPr>
          <w:b/>
          <w:bCs/>
          <w:szCs w:val="24"/>
        </w:rPr>
        <w:t>,</w:t>
      </w:r>
      <w:r>
        <w:rPr>
          <w:szCs w:val="24"/>
        </w:rPr>
        <w:t xml:space="preserve"> 319–326.</w:t>
      </w:r>
    </w:p>
    <w:p w:rsidR="00AD5452" w:rsidRDefault="00AD5452" w:rsidP="00AD5452">
      <w:pPr>
        <w:spacing w:line="480" w:lineRule="auto"/>
        <w:jc w:val="both"/>
        <w:rPr>
          <w:szCs w:val="24"/>
        </w:rPr>
      </w:pPr>
      <w:proofErr w:type="gramStart"/>
      <w:r>
        <w:rPr>
          <w:szCs w:val="24"/>
        </w:rPr>
        <w:t>GIULIANI, V., BACCETI, T., PACE, R. &amp; PAGAVINO, G. 2002.</w:t>
      </w:r>
      <w:proofErr w:type="gramEnd"/>
      <w:r>
        <w:rPr>
          <w:szCs w:val="24"/>
        </w:rPr>
        <w:t xml:space="preserve"> </w:t>
      </w:r>
      <w:proofErr w:type="gramStart"/>
      <w:r>
        <w:rPr>
          <w:szCs w:val="24"/>
        </w:rPr>
        <w:t>The use of MTA in teeth with necrotic pulps and open apices.</w:t>
      </w:r>
      <w:proofErr w:type="gramEnd"/>
      <w:r>
        <w:rPr>
          <w:szCs w:val="24"/>
        </w:rPr>
        <w:t xml:space="preserve"> </w:t>
      </w:r>
      <w:proofErr w:type="gramStart"/>
      <w:r>
        <w:rPr>
          <w:i/>
          <w:iCs/>
          <w:szCs w:val="24"/>
        </w:rPr>
        <w:t>Dental Traumatology,</w:t>
      </w:r>
      <w:r>
        <w:rPr>
          <w:szCs w:val="24"/>
        </w:rPr>
        <w:t xml:space="preserve"> 18.</w:t>
      </w:r>
      <w:proofErr w:type="gramEnd"/>
    </w:p>
    <w:p w:rsidR="00AD5452" w:rsidRDefault="00AD5452" w:rsidP="00AD5452">
      <w:pPr>
        <w:spacing w:line="480" w:lineRule="auto"/>
        <w:jc w:val="both"/>
        <w:rPr>
          <w:szCs w:val="24"/>
        </w:rPr>
      </w:pPr>
      <w:r>
        <w:rPr>
          <w:szCs w:val="24"/>
        </w:rPr>
        <w:lastRenderedPageBreak/>
        <w:t xml:space="preserve">GOODIS, H., MARSHALL, G., WHITE, J., GEE, L., HORNBERGER, B. &amp; MARSHALL, S. 1993. Storage effects on dentin permeability and shear bond strengths. </w:t>
      </w:r>
      <w:r>
        <w:rPr>
          <w:i/>
          <w:iCs/>
          <w:szCs w:val="24"/>
        </w:rPr>
        <w:t>Dent Mater,</w:t>
      </w:r>
      <w:r>
        <w:rPr>
          <w:szCs w:val="24"/>
        </w:rPr>
        <w:t xml:space="preserve"> 9</w:t>
      </w:r>
      <w:r>
        <w:rPr>
          <w:b/>
          <w:bCs/>
          <w:szCs w:val="24"/>
        </w:rPr>
        <w:t>,</w:t>
      </w:r>
      <w:r>
        <w:rPr>
          <w:szCs w:val="24"/>
        </w:rPr>
        <w:t xml:space="preserve"> 79-84.</w:t>
      </w:r>
    </w:p>
    <w:p w:rsidR="00AD5452" w:rsidRDefault="00AD5452" w:rsidP="00AD5452">
      <w:pPr>
        <w:spacing w:line="480" w:lineRule="auto"/>
        <w:jc w:val="both"/>
        <w:rPr>
          <w:szCs w:val="24"/>
        </w:rPr>
      </w:pPr>
      <w:proofErr w:type="gramStart"/>
      <w:r>
        <w:rPr>
          <w:szCs w:val="24"/>
        </w:rPr>
        <w:t>GORDON, J., WALKER, C. &amp; MURPHY, J. 1981.</w:t>
      </w:r>
      <w:proofErr w:type="gramEnd"/>
      <w:r>
        <w:rPr>
          <w:szCs w:val="24"/>
        </w:rPr>
        <w:t xml:space="preserve"> </w:t>
      </w:r>
      <w:proofErr w:type="gramStart"/>
      <w:r>
        <w:rPr>
          <w:szCs w:val="24"/>
        </w:rPr>
        <w:t>Concentration of tetracycline in human gingival fluid after single doses.</w:t>
      </w:r>
      <w:proofErr w:type="gramEnd"/>
      <w:r>
        <w:rPr>
          <w:szCs w:val="24"/>
        </w:rPr>
        <w:t xml:space="preserve"> </w:t>
      </w:r>
      <w:r>
        <w:rPr>
          <w:i/>
          <w:iCs/>
          <w:szCs w:val="24"/>
        </w:rPr>
        <w:t>J Clin Periodontol,</w:t>
      </w:r>
      <w:r>
        <w:rPr>
          <w:szCs w:val="24"/>
        </w:rPr>
        <w:t xml:space="preserve"> 8</w:t>
      </w:r>
      <w:r>
        <w:rPr>
          <w:b/>
          <w:bCs/>
          <w:szCs w:val="24"/>
        </w:rPr>
        <w:t>,</w:t>
      </w:r>
      <w:r>
        <w:rPr>
          <w:szCs w:val="24"/>
        </w:rPr>
        <w:t xml:space="preserve"> 117.</w:t>
      </w:r>
    </w:p>
    <w:p w:rsidR="00AD5452" w:rsidRDefault="00AD5452" w:rsidP="00AD5452">
      <w:pPr>
        <w:spacing w:line="480" w:lineRule="auto"/>
        <w:jc w:val="both"/>
        <w:rPr>
          <w:szCs w:val="24"/>
        </w:rPr>
      </w:pPr>
      <w:r>
        <w:rPr>
          <w:szCs w:val="24"/>
        </w:rPr>
        <w:t xml:space="preserve">GRONTHOS, S., BRAHIM, J. &amp; LI, W. 2002. Stem cell properties of human dental pulp stem cells. </w:t>
      </w:r>
      <w:proofErr w:type="gramStart"/>
      <w:r>
        <w:rPr>
          <w:i/>
          <w:iCs/>
          <w:szCs w:val="24"/>
        </w:rPr>
        <w:t>J Dent Res,</w:t>
      </w:r>
      <w:r>
        <w:rPr>
          <w:szCs w:val="24"/>
        </w:rPr>
        <w:t xml:space="preserve"> 81.</w:t>
      </w:r>
      <w:proofErr w:type="gramEnd"/>
    </w:p>
    <w:p w:rsidR="00AD5452" w:rsidRDefault="00AD5452" w:rsidP="00AD5452">
      <w:pPr>
        <w:spacing w:line="480" w:lineRule="auto"/>
        <w:jc w:val="both"/>
        <w:rPr>
          <w:szCs w:val="24"/>
        </w:rPr>
      </w:pPr>
      <w:r>
        <w:rPr>
          <w:szCs w:val="24"/>
        </w:rPr>
        <w:t xml:space="preserve">GRONTHOS, S., BRAHIM, J., ROBEY, P. &amp; SHI, S. 2000. </w:t>
      </w:r>
      <w:proofErr w:type="gramStart"/>
      <w:r>
        <w:rPr>
          <w:szCs w:val="24"/>
        </w:rPr>
        <w:t>Postnatal human dental pulp stem cells (DPSCs) in vitro and in vivo.</w:t>
      </w:r>
      <w:proofErr w:type="gramEnd"/>
      <w:r>
        <w:rPr>
          <w:szCs w:val="24"/>
        </w:rPr>
        <w:t xml:space="preserve"> </w:t>
      </w:r>
      <w:proofErr w:type="gramStart"/>
      <w:r>
        <w:rPr>
          <w:i/>
          <w:iCs/>
          <w:szCs w:val="24"/>
        </w:rPr>
        <w:t xml:space="preserve">Proc Natl Acad Sci U S A </w:t>
      </w:r>
      <w:r>
        <w:rPr>
          <w:szCs w:val="24"/>
        </w:rPr>
        <w:t>97</w:t>
      </w:r>
      <w:r>
        <w:rPr>
          <w:b/>
          <w:bCs/>
          <w:szCs w:val="24"/>
        </w:rPr>
        <w:t>,</w:t>
      </w:r>
      <w:r>
        <w:rPr>
          <w:szCs w:val="24"/>
        </w:rPr>
        <w:t xml:space="preserve"> 13625-30.</w:t>
      </w:r>
      <w:proofErr w:type="gramEnd"/>
    </w:p>
    <w:p w:rsidR="00AD5452" w:rsidRDefault="00AD5452" w:rsidP="00AD5452">
      <w:pPr>
        <w:spacing w:line="480" w:lineRule="auto"/>
        <w:jc w:val="both"/>
        <w:rPr>
          <w:szCs w:val="24"/>
        </w:rPr>
      </w:pPr>
      <w:r>
        <w:rPr>
          <w:szCs w:val="24"/>
        </w:rPr>
        <w:t xml:space="preserve">GRONTHOS, S., BRAHIM, J., ROBEY, P. &amp; SHI, S. 2003. </w:t>
      </w:r>
      <w:proofErr w:type="gramStart"/>
      <w:r>
        <w:rPr>
          <w:szCs w:val="24"/>
        </w:rPr>
        <w:t>Perivascular Niche of Postnatal Mesenchymal Stem Cells in Human Bone Marrow and Dental Pulp.</w:t>
      </w:r>
      <w:proofErr w:type="gramEnd"/>
      <w:r>
        <w:rPr>
          <w:szCs w:val="24"/>
        </w:rPr>
        <w:t xml:space="preserve"> 18</w:t>
      </w:r>
      <w:r>
        <w:rPr>
          <w:b/>
          <w:bCs/>
          <w:szCs w:val="24"/>
        </w:rPr>
        <w:t>,</w:t>
      </w:r>
      <w:r>
        <w:rPr>
          <w:szCs w:val="24"/>
        </w:rPr>
        <w:t xml:space="preserve"> 696–704.</w:t>
      </w:r>
    </w:p>
    <w:p w:rsidR="00AD5452" w:rsidRDefault="00AD5452" w:rsidP="00AD5452">
      <w:pPr>
        <w:spacing w:line="480" w:lineRule="auto"/>
        <w:jc w:val="both"/>
        <w:rPr>
          <w:szCs w:val="24"/>
        </w:rPr>
      </w:pPr>
      <w:r>
        <w:rPr>
          <w:szCs w:val="24"/>
        </w:rPr>
        <w:t xml:space="preserve">GROSSMAN, L. 1988. </w:t>
      </w:r>
      <w:r>
        <w:rPr>
          <w:i/>
          <w:iCs/>
          <w:szCs w:val="24"/>
        </w:rPr>
        <w:t xml:space="preserve">Endodontic practice </w:t>
      </w:r>
      <w:r>
        <w:rPr>
          <w:szCs w:val="24"/>
        </w:rPr>
        <w:t xml:space="preserve">Lea &amp; Febiger, Philadelphia </w:t>
      </w:r>
    </w:p>
    <w:p w:rsidR="00AD5452" w:rsidRDefault="00AD5452" w:rsidP="00AD5452">
      <w:pPr>
        <w:spacing w:line="480" w:lineRule="auto"/>
        <w:jc w:val="both"/>
        <w:rPr>
          <w:szCs w:val="24"/>
        </w:rPr>
      </w:pPr>
      <w:proofErr w:type="gramStart"/>
      <w:r>
        <w:rPr>
          <w:szCs w:val="24"/>
        </w:rPr>
        <w:t>HAAPASALO, M., UDNÆS, T. &amp; ENDAL, U. 2003.</w:t>
      </w:r>
      <w:proofErr w:type="gramEnd"/>
      <w:r>
        <w:rPr>
          <w:szCs w:val="24"/>
        </w:rPr>
        <w:t xml:space="preserve"> </w:t>
      </w:r>
      <w:proofErr w:type="gramStart"/>
      <w:r>
        <w:rPr>
          <w:szCs w:val="24"/>
        </w:rPr>
        <w:t>Persistent, recurrent, and acquired infection of the root canal system post-treatment.</w:t>
      </w:r>
      <w:proofErr w:type="gramEnd"/>
      <w:r>
        <w:rPr>
          <w:szCs w:val="24"/>
        </w:rPr>
        <w:t xml:space="preserve"> </w:t>
      </w:r>
      <w:r>
        <w:rPr>
          <w:i/>
          <w:iCs/>
          <w:szCs w:val="24"/>
        </w:rPr>
        <w:t>Endodontic Topics,</w:t>
      </w:r>
      <w:r>
        <w:rPr>
          <w:szCs w:val="24"/>
        </w:rPr>
        <w:t xml:space="preserve"> 6</w:t>
      </w:r>
      <w:r>
        <w:rPr>
          <w:b/>
          <w:bCs/>
          <w:szCs w:val="24"/>
        </w:rPr>
        <w:t>,</w:t>
      </w:r>
      <w:r>
        <w:rPr>
          <w:szCs w:val="24"/>
        </w:rPr>
        <w:t xml:space="preserve"> 29-56.</w:t>
      </w:r>
    </w:p>
    <w:p w:rsidR="00AD5452" w:rsidRDefault="00AD5452" w:rsidP="00AD5452">
      <w:pPr>
        <w:spacing w:line="480" w:lineRule="auto"/>
        <w:jc w:val="both"/>
        <w:rPr>
          <w:szCs w:val="24"/>
        </w:rPr>
      </w:pPr>
      <w:proofErr w:type="gramStart"/>
      <w:r>
        <w:rPr>
          <w:szCs w:val="24"/>
        </w:rPr>
        <w:t>HABELITZ, S., MARSHALL, G., BALOOCH, M. &amp; MARSHALL, S. 2002.</w:t>
      </w:r>
      <w:proofErr w:type="gramEnd"/>
      <w:r>
        <w:rPr>
          <w:szCs w:val="24"/>
        </w:rPr>
        <w:t xml:space="preserve"> </w:t>
      </w:r>
      <w:proofErr w:type="gramStart"/>
      <w:r>
        <w:rPr>
          <w:szCs w:val="24"/>
        </w:rPr>
        <w:t>Nanoindentation and storage of teeth.</w:t>
      </w:r>
      <w:proofErr w:type="gramEnd"/>
      <w:r>
        <w:rPr>
          <w:szCs w:val="24"/>
        </w:rPr>
        <w:t xml:space="preserve"> </w:t>
      </w:r>
      <w:r>
        <w:rPr>
          <w:i/>
          <w:iCs/>
          <w:szCs w:val="24"/>
        </w:rPr>
        <w:t>Journal of Biomechanics,</w:t>
      </w:r>
      <w:r>
        <w:rPr>
          <w:szCs w:val="24"/>
        </w:rPr>
        <w:t xml:space="preserve"> 35</w:t>
      </w:r>
      <w:r>
        <w:rPr>
          <w:b/>
          <w:bCs/>
          <w:szCs w:val="24"/>
        </w:rPr>
        <w:t>,</w:t>
      </w:r>
      <w:r>
        <w:rPr>
          <w:szCs w:val="24"/>
        </w:rPr>
        <w:t xml:space="preserve"> 995-998.</w:t>
      </w:r>
    </w:p>
    <w:p w:rsidR="00AD5452" w:rsidRDefault="00AD5452" w:rsidP="00AD5452">
      <w:pPr>
        <w:spacing w:line="480" w:lineRule="auto"/>
        <w:jc w:val="both"/>
        <w:rPr>
          <w:szCs w:val="24"/>
        </w:rPr>
      </w:pPr>
      <w:r>
        <w:rPr>
          <w:szCs w:val="24"/>
        </w:rPr>
        <w:t xml:space="preserve">HACHMEISTER, D., SCHINDLER, W., WALKER, W. &amp; THOMAS, D. 2002. The sealing ability and retention characteristics of mineral trioxide aggregate in a model of apexification. </w:t>
      </w:r>
      <w:proofErr w:type="gramStart"/>
      <w:r>
        <w:rPr>
          <w:i/>
          <w:iCs/>
          <w:szCs w:val="24"/>
        </w:rPr>
        <w:t xml:space="preserve">J Endod </w:t>
      </w:r>
      <w:r>
        <w:rPr>
          <w:szCs w:val="24"/>
        </w:rPr>
        <w:t>28</w:t>
      </w:r>
      <w:r>
        <w:rPr>
          <w:b/>
          <w:bCs/>
          <w:szCs w:val="24"/>
        </w:rPr>
        <w:t>,</w:t>
      </w:r>
      <w:r>
        <w:rPr>
          <w:szCs w:val="24"/>
        </w:rPr>
        <w:t xml:space="preserve"> 386–90.</w:t>
      </w:r>
      <w:proofErr w:type="gramEnd"/>
    </w:p>
    <w:p w:rsidR="00AD5452" w:rsidRDefault="00AD5452" w:rsidP="00AD5452">
      <w:pPr>
        <w:spacing w:line="480" w:lineRule="auto"/>
        <w:jc w:val="both"/>
        <w:rPr>
          <w:szCs w:val="24"/>
        </w:rPr>
      </w:pPr>
      <w:r>
        <w:rPr>
          <w:szCs w:val="24"/>
        </w:rPr>
        <w:lastRenderedPageBreak/>
        <w:t xml:space="preserve">HAMILTON, F., HILL, F. &amp; HOLLOWAY, P. 1997. </w:t>
      </w:r>
      <w:proofErr w:type="gramStart"/>
      <w:r>
        <w:rPr>
          <w:szCs w:val="24"/>
        </w:rPr>
        <w:t>An investigation of dento-alveolar trauma and its treatment in an adolescent population.</w:t>
      </w:r>
      <w:proofErr w:type="gramEnd"/>
      <w:r>
        <w:rPr>
          <w:szCs w:val="24"/>
        </w:rPr>
        <w:t xml:space="preserve"> Part 1: The prevalence and incidence of injuries and the extent and adequacy of treatment received. </w:t>
      </w:r>
      <w:r>
        <w:rPr>
          <w:i/>
          <w:iCs/>
          <w:szCs w:val="24"/>
        </w:rPr>
        <w:t xml:space="preserve">Br Dent J </w:t>
      </w:r>
      <w:r>
        <w:rPr>
          <w:szCs w:val="24"/>
        </w:rPr>
        <w:t>182</w:t>
      </w:r>
      <w:r>
        <w:rPr>
          <w:b/>
          <w:bCs/>
          <w:szCs w:val="24"/>
        </w:rPr>
        <w:t>,</w:t>
      </w:r>
      <w:r>
        <w:rPr>
          <w:szCs w:val="24"/>
        </w:rPr>
        <w:t xml:space="preserve"> 91-95.</w:t>
      </w:r>
    </w:p>
    <w:p w:rsidR="00AD5452" w:rsidRDefault="00AD5452" w:rsidP="00AD5452">
      <w:pPr>
        <w:spacing w:line="480" w:lineRule="auto"/>
        <w:jc w:val="both"/>
        <w:rPr>
          <w:szCs w:val="24"/>
        </w:rPr>
      </w:pPr>
      <w:r>
        <w:rPr>
          <w:szCs w:val="24"/>
        </w:rPr>
        <w:t xml:space="preserve">HARBERT, H. 1996. One- step apexification without calcium hydroxide. </w:t>
      </w:r>
      <w:proofErr w:type="gramStart"/>
      <w:r>
        <w:rPr>
          <w:i/>
          <w:iCs/>
          <w:szCs w:val="24"/>
        </w:rPr>
        <w:t>J Endodon,</w:t>
      </w:r>
      <w:r>
        <w:rPr>
          <w:szCs w:val="24"/>
        </w:rPr>
        <w:t xml:space="preserve"> 22</w:t>
      </w:r>
      <w:r>
        <w:rPr>
          <w:b/>
          <w:bCs/>
          <w:szCs w:val="24"/>
        </w:rPr>
        <w:t>,</w:t>
      </w:r>
      <w:r>
        <w:rPr>
          <w:szCs w:val="24"/>
        </w:rPr>
        <w:t xml:space="preserve"> 690-2.</w:t>
      </w:r>
      <w:proofErr w:type="gramEnd"/>
    </w:p>
    <w:p w:rsidR="00AD5452" w:rsidRDefault="00AD5452" w:rsidP="00AD5452">
      <w:pPr>
        <w:spacing w:line="480" w:lineRule="auto"/>
        <w:jc w:val="both"/>
        <w:rPr>
          <w:szCs w:val="24"/>
        </w:rPr>
      </w:pPr>
      <w:proofErr w:type="gramStart"/>
      <w:r>
        <w:rPr>
          <w:szCs w:val="24"/>
        </w:rPr>
        <w:t>HARGREAVES, K., GEISLER, T., HENRY, M. &amp; WANG, Y. 2008.</w:t>
      </w:r>
      <w:proofErr w:type="gramEnd"/>
      <w:r>
        <w:rPr>
          <w:szCs w:val="24"/>
        </w:rPr>
        <w:t xml:space="preserve"> Regeneration Potential of the Young Permanent Tooth: What Does the Future Hold? </w:t>
      </w:r>
      <w:proofErr w:type="gramStart"/>
      <w:r>
        <w:rPr>
          <w:i/>
          <w:iCs/>
          <w:szCs w:val="24"/>
        </w:rPr>
        <w:t>JOE,</w:t>
      </w:r>
      <w:r>
        <w:rPr>
          <w:szCs w:val="24"/>
        </w:rPr>
        <w:t xml:space="preserve"> 34</w:t>
      </w:r>
      <w:r>
        <w:rPr>
          <w:b/>
          <w:bCs/>
          <w:szCs w:val="24"/>
        </w:rPr>
        <w:t>,</w:t>
      </w:r>
      <w:r>
        <w:rPr>
          <w:szCs w:val="24"/>
        </w:rPr>
        <w:t xml:space="preserve"> S51-S56.</w:t>
      </w:r>
      <w:proofErr w:type="gramEnd"/>
    </w:p>
    <w:p w:rsidR="00AD5452" w:rsidRDefault="00AD5452" w:rsidP="00AD5452">
      <w:pPr>
        <w:spacing w:line="480" w:lineRule="auto"/>
        <w:jc w:val="both"/>
        <w:rPr>
          <w:szCs w:val="24"/>
        </w:rPr>
      </w:pPr>
      <w:proofErr w:type="gramStart"/>
      <w:r>
        <w:rPr>
          <w:szCs w:val="24"/>
        </w:rPr>
        <w:t>HARGREAVES, K. &amp; LAW, A. 2011.</w:t>
      </w:r>
      <w:proofErr w:type="gramEnd"/>
      <w:r>
        <w:rPr>
          <w:szCs w:val="24"/>
        </w:rPr>
        <w:t xml:space="preserve"> </w:t>
      </w:r>
      <w:proofErr w:type="gramStart"/>
      <w:r>
        <w:rPr>
          <w:i/>
          <w:iCs/>
          <w:szCs w:val="24"/>
        </w:rPr>
        <w:t>Regenerative endodontics.</w:t>
      </w:r>
      <w:proofErr w:type="gramEnd"/>
      <w:r>
        <w:rPr>
          <w:i/>
          <w:iCs/>
          <w:szCs w:val="24"/>
        </w:rPr>
        <w:t xml:space="preserve"> In: Hargreaves K, Cohen S, eds. Pathways of the pulp</w:t>
      </w:r>
      <w:r>
        <w:rPr>
          <w:szCs w:val="24"/>
        </w:rPr>
        <w:t>, St Louis: Mosby Elsevier.</w:t>
      </w:r>
    </w:p>
    <w:p w:rsidR="00AD5452" w:rsidRDefault="00AD5452" w:rsidP="00AD5452">
      <w:pPr>
        <w:spacing w:line="480" w:lineRule="auto"/>
        <w:jc w:val="both"/>
        <w:rPr>
          <w:szCs w:val="24"/>
        </w:rPr>
      </w:pPr>
      <w:proofErr w:type="gramStart"/>
      <w:r>
        <w:rPr>
          <w:szCs w:val="24"/>
        </w:rPr>
        <w:t>HATIBOVIC-KOFMAN, S., RAIMUNDO, L., ZHENG, L. &amp; CHONG, L. 2008.</w:t>
      </w:r>
      <w:proofErr w:type="gramEnd"/>
      <w:r>
        <w:rPr>
          <w:szCs w:val="24"/>
        </w:rPr>
        <w:t xml:space="preserve"> Fracture resistance and histological findings of immature teeth treated with mineral trioxide aggregate.</w:t>
      </w:r>
      <w:r>
        <w:rPr>
          <w:i/>
          <w:iCs/>
          <w:szCs w:val="24"/>
        </w:rPr>
        <w:t xml:space="preserve"> Dent Traumatol,</w:t>
      </w:r>
      <w:r>
        <w:rPr>
          <w:szCs w:val="24"/>
        </w:rPr>
        <w:t xml:space="preserve"> 24</w:t>
      </w:r>
      <w:r>
        <w:rPr>
          <w:b/>
          <w:bCs/>
          <w:szCs w:val="24"/>
        </w:rPr>
        <w:t>,</w:t>
      </w:r>
      <w:r>
        <w:rPr>
          <w:szCs w:val="24"/>
        </w:rPr>
        <w:t xml:space="preserve"> 272–6.</w:t>
      </w:r>
    </w:p>
    <w:p w:rsidR="00AD5452" w:rsidRDefault="00AD5452" w:rsidP="00AD5452">
      <w:pPr>
        <w:spacing w:line="480" w:lineRule="auto"/>
        <w:jc w:val="both"/>
        <w:rPr>
          <w:szCs w:val="24"/>
        </w:rPr>
      </w:pPr>
      <w:proofErr w:type="gramStart"/>
      <w:r>
        <w:rPr>
          <w:szCs w:val="24"/>
        </w:rPr>
        <w:t>HELING, I. &amp; CHANDLER, N. 1996.</w:t>
      </w:r>
      <w:proofErr w:type="gramEnd"/>
      <w:r>
        <w:rPr>
          <w:szCs w:val="24"/>
        </w:rPr>
        <w:t xml:space="preserve"> The antimicrobial effect within dentinal tubules of four </w:t>
      </w:r>
      <w:proofErr w:type="gramStart"/>
      <w:r>
        <w:rPr>
          <w:szCs w:val="24"/>
        </w:rPr>
        <w:t>root</w:t>
      </w:r>
      <w:proofErr w:type="gramEnd"/>
    </w:p>
    <w:p w:rsidR="00AD5452" w:rsidRDefault="00AD5452" w:rsidP="00AD5452">
      <w:pPr>
        <w:spacing w:line="480" w:lineRule="auto"/>
        <w:jc w:val="both"/>
        <w:rPr>
          <w:szCs w:val="24"/>
        </w:rPr>
      </w:pPr>
      <w:proofErr w:type="gramStart"/>
      <w:r>
        <w:rPr>
          <w:szCs w:val="24"/>
        </w:rPr>
        <w:t>canal</w:t>
      </w:r>
      <w:proofErr w:type="gramEnd"/>
      <w:r>
        <w:rPr>
          <w:szCs w:val="24"/>
        </w:rPr>
        <w:t xml:space="preserve"> sealers. </w:t>
      </w:r>
      <w:proofErr w:type="gramStart"/>
      <w:r>
        <w:rPr>
          <w:i/>
          <w:iCs/>
          <w:szCs w:val="24"/>
        </w:rPr>
        <w:t>J Endod,</w:t>
      </w:r>
      <w:r>
        <w:rPr>
          <w:szCs w:val="24"/>
        </w:rPr>
        <w:t xml:space="preserve"> 22</w:t>
      </w:r>
      <w:r>
        <w:rPr>
          <w:b/>
          <w:bCs/>
          <w:szCs w:val="24"/>
        </w:rPr>
        <w:t>,</w:t>
      </w:r>
      <w:r>
        <w:rPr>
          <w:szCs w:val="24"/>
        </w:rPr>
        <w:t xml:space="preserve"> 257–9.</w:t>
      </w:r>
      <w:proofErr w:type="gramEnd"/>
    </w:p>
    <w:p w:rsidR="00AD5452" w:rsidRDefault="00AD5452" w:rsidP="00AD5452">
      <w:pPr>
        <w:spacing w:line="480" w:lineRule="auto"/>
        <w:jc w:val="both"/>
        <w:rPr>
          <w:szCs w:val="24"/>
        </w:rPr>
      </w:pPr>
      <w:proofErr w:type="gramStart"/>
      <w:r>
        <w:rPr>
          <w:szCs w:val="24"/>
        </w:rPr>
        <w:t>HENNINGSON, C., STANISLAUS, M. &amp; GEWIRTZ, A. 2003.</w:t>
      </w:r>
      <w:proofErr w:type="gramEnd"/>
      <w:r>
        <w:rPr>
          <w:szCs w:val="24"/>
        </w:rPr>
        <w:t xml:space="preserve"> Embryonic and adult stem cell therapy. </w:t>
      </w:r>
      <w:r>
        <w:rPr>
          <w:i/>
          <w:iCs/>
          <w:szCs w:val="24"/>
        </w:rPr>
        <w:t>J Allergy Clin Immunol,</w:t>
      </w:r>
      <w:r>
        <w:rPr>
          <w:szCs w:val="24"/>
        </w:rPr>
        <w:t xml:space="preserve"> 111</w:t>
      </w:r>
      <w:r>
        <w:rPr>
          <w:b/>
          <w:bCs/>
          <w:szCs w:val="24"/>
        </w:rPr>
        <w:t>,</w:t>
      </w:r>
      <w:r>
        <w:rPr>
          <w:szCs w:val="24"/>
        </w:rPr>
        <w:t xml:space="preserve"> S745-53.</w:t>
      </w:r>
    </w:p>
    <w:p w:rsidR="00AD5452" w:rsidRDefault="00AD5452" w:rsidP="00AD5452">
      <w:pPr>
        <w:spacing w:line="480" w:lineRule="auto"/>
        <w:jc w:val="both"/>
        <w:rPr>
          <w:szCs w:val="24"/>
        </w:rPr>
      </w:pPr>
      <w:proofErr w:type="gramStart"/>
      <w:r>
        <w:rPr>
          <w:szCs w:val="24"/>
        </w:rPr>
        <w:t>HERMANN, B. 1920.</w:t>
      </w:r>
      <w:proofErr w:type="gramEnd"/>
      <w:r>
        <w:rPr>
          <w:szCs w:val="24"/>
        </w:rPr>
        <w:t xml:space="preserve"> Calcium hydroxide Als Mittel Zum Behandein Und Fullen Von Zahnwurzlkanalen. </w:t>
      </w:r>
      <w:proofErr w:type="gramStart"/>
      <w:r>
        <w:rPr>
          <w:i/>
          <w:iCs/>
          <w:szCs w:val="24"/>
        </w:rPr>
        <w:t>Dissertation.Wurzburg, Med.Diss,</w:t>
      </w:r>
      <w:r>
        <w:rPr>
          <w:szCs w:val="24"/>
        </w:rPr>
        <w:t xml:space="preserve"> 29.</w:t>
      </w:r>
      <w:proofErr w:type="gramEnd"/>
    </w:p>
    <w:p w:rsidR="00AD5452" w:rsidRDefault="00AD5452" w:rsidP="00AD5452">
      <w:pPr>
        <w:spacing w:line="480" w:lineRule="auto"/>
        <w:jc w:val="both"/>
        <w:rPr>
          <w:szCs w:val="24"/>
        </w:rPr>
      </w:pPr>
      <w:proofErr w:type="gramStart"/>
      <w:r>
        <w:rPr>
          <w:szCs w:val="24"/>
        </w:rPr>
        <w:t>HERMANN, B. 1920.</w:t>
      </w:r>
      <w:proofErr w:type="gramEnd"/>
      <w:r>
        <w:rPr>
          <w:szCs w:val="24"/>
        </w:rPr>
        <w:t xml:space="preserve"> Calcium hydroxide Als Mittel Zum Behandein Und Fullen Von Zahnwurzlkanalen. </w:t>
      </w:r>
      <w:r>
        <w:rPr>
          <w:i/>
          <w:iCs/>
          <w:szCs w:val="24"/>
        </w:rPr>
        <w:t>Dissertation.Wurzburg</w:t>
      </w:r>
      <w:r>
        <w:rPr>
          <w:b/>
          <w:bCs/>
          <w:szCs w:val="24"/>
        </w:rPr>
        <w:t>,</w:t>
      </w:r>
      <w:r>
        <w:rPr>
          <w:szCs w:val="24"/>
        </w:rPr>
        <w:t xml:space="preserve"> Med.Diss29  </w:t>
      </w:r>
    </w:p>
    <w:p w:rsidR="00AD5452" w:rsidRDefault="00AD5452" w:rsidP="00AD5452">
      <w:pPr>
        <w:spacing w:line="480" w:lineRule="auto"/>
        <w:jc w:val="both"/>
        <w:rPr>
          <w:szCs w:val="24"/>
        </w:rPr>
      </w:pPr>
      <w:proofErr w:type="gramStart"/>
      <w:r>
        <w:rPr>
          <w:szCs w:val="24"/>
        </w:rPr>
        <w:lastRenderedPageBreak/>
        <w:t>HERMANN, B. 1920.</w:t>
      </w:r>
      <w:proofErr w:type="gramEnd"/>
      <w:r>
        <w:rPr>
          <w:szCs w:val="24"/>
        </w:rPr>
        <w:t xml:space="preserve"> Calcium hydroxide Als Mittel Zum Behandein Und Fullen Von Zahnwurzlkanalen. Dissertation.Wurzburg</w:t>
      </w:r>
      <w:proofErr w:type="gramStart"/>
      <w:r>
        <w:rPr>
          <w:szCs w:val="24"/>
        </w:rPr>
        <w:t>, .</w:t>
      </w:r>
      <w:proofErr w:type="gramEnd"/>
      <w:r>
        <w:rPr>
          <w:szCs w:val="24"/>
        </w:rPr>
        <w:t xml:space="preserve"> </w:t>
      </w:r>
      <w:proofErr w:type="gramStart"/>
      <w:r>
        <w:rPr>
          <w:i/>
          <w:iCs/>
          <w:szCs w:val="24"/>
        </w:rPr>
        <w:t>Med.Diss</w:t>
      </w:r>
      <w:r>
        <w:rPr>
          <w:b/>
          <w:bCs/>
          <w:szCs w:val="24"/>
        </w:rPr>
        <w:t>,</w:t>
      </w:r>
      <w:r>
        <w:rPr>
          <w:szCs w:val="24"/>
        </w:rPr>
        <w:t xml:space="preserve"> 29.</w:t>
      </w:r>
      <w:proofErr w:type="gramEnd"/>
    </w:p>
    <w:p w:rsidR="00AD5452" w:rsidRDefault="00AD5452" w:rsidP="00AD5452">
      <w:pPr>
        <w:spacing w:line="480" w:lineRule="auto"/>
        <w:jc w:val="both"/>
        <w:rPr>
          <w:szCs w:val="24"/>
        </w:rPr>
      </w:pPr>
      <w:proofErr w:type="gramStart"/>
      <w:r>
        <w:rPr>
          <w:szCs w:val="24"/>
        </w:rPr>
        <w:t>HERNANDEZ, E., BOTERO, T., MANTELLINI, M. &amp; MCDONALD, N. 2005.</w:t>
      </w:r>
      <w:proofErr w:type="gramEnd"/>
      <w:r>
        <w:rPr>
          <w:szCs w:val="24"/>
        </w:rPr>
        <w:t xml:space="preserve"> . Effect of ProRoot MTA mixed with chlorhexidine on apoptosis and cell cycle of fibroblasts and macrophages in vitro. </w:t>
      </w:r>
      <w:r>
        <w:rPr>
          <w:i/>
          <w:iCs/>
          <w:szCs w:val="24"/>
        </w:rPr>
        <w:t xml:space="preserve">. Int Endod J </w:t>
      </w:r>
      <w:r>
        <w:rPr>
          <w:szCs w:val="24"/>
        </w:rPr>
        <w:t>38</w:t>
      </w:r>
      <w:r>
        <w:rPr>
          <w:b/>
          <w:bCs/>
          <w:szCs w:val="24"/>
        </w:rPr>
        <w:t>,</w:t>
      </w:r>
      <w:r>
        <w:rPr>
          <w:szCs w:val="24"/>
        </w:rPr>
        <w:t xml:space="preserve"> 137–43.</w:t>
      </w:r>
    </w:p>
    <w:p w:rsidR="00AD5452" w:rsidRDefault="00AD5452" w:rsidP="00252DE2">
      <w:pPr>
        <w:spacing w:line="480" w:lineRule="auto"/>
        <w:rPr>
          <w:szCs w:val="24"/>
        </w:rPr>
      </w:pPr>
      <w:proofErr w:type="gramStart"/>
      <w:r>
        <w:rPr>
          <w:szCs w:val="24"/>
        </w:rPr>
        <w:t>.HIGGINS, J. &amp; GREEN, S. 2005.</w:t>
      </w:r>
      <w:proofErr w:type="gramEnd"/>
      <w:r>
        <w:rPr>
          <w:szCs w:val="24"/>
        </w:rPr>
        <w:t xml:space="preserve"> </w:t>
      </w:r>
      <w:proofErr w:type="gramStart"/>
      <w:r>
        <w:rPr>
          <w:i/>
          <w:iCs/>
          <w:szCs w:val="24"/>
        </w:rPr>
        <w:t>Cochrane Han</w:t>
      </w:r>
      <w:r w:rsidR="00252DE2">
        <w:rPr>
          <w:i/>
          <w:iCs/>
          <w:szCs w:val="24"/>
        </w:rPr>
        <w:t>dbook for Systematic Reviews of</w:t>
      </w:r>
      <w:r>
        <w:rPr>
          <w:i/>
          <w:iCs/>
          <w:szCs w:val="24"/>
        </w:rPr>
        <w:t>Interventions</w:t>
      </w:r>
      <w:r w:rsidR="00252DE2">
        <w:rPr>
          <w:i/>
          <w:iCs/>
          <w:szCs w:val="24"/>
        </w:rPr>
        <w:t xml:space="preserve"> </w:t>
      </w:r>
      <w:r>
        <w:rPr>
          <w:szCs w:val="24"/>
        </w:rPr>
        <w:t>[Online].</w:t>
      </w:r>
      <w:proofErr w:type="gramEnd"/>
      <w:r>
        <w:rPr>
          <w:szCs w:val="24"/>
        </w:rPr>
        <w:t xml:space="preserve"> http://www.cochrane.org/resources/handbook/hbook.htm </w:t>
      </w:r>
    </w:p>
    <w:p w:rsidR="00AD5452" w:rsidRDefault="00AD5452" w:rsidP="00AD5452">
      <w:pPr>
        <w:spacing w:line="480" w:lineRule="auto"/>
        <w:jc w:val="both"/>
        <w:rPr>
          <w:szCs w:val="24"/>
        </w:rPr>
      </w:pPr>
      <w:r>
        <w:rPr>
          <w:szCs w:val="24"/>
        </w:rPr>
        <w:t xml:space="preserve">HOLDEN, D., SCHWARTZ, S., KIRKPATRICK, T. &amp; SCHINDLER, W. 2008. Clinical outcomes of artificial root-end barriers with mineral trioxide aggregate in teeth with immature apices. </w:t>
      </w:r>
      <w:proofErr w:type="gramStart"/>
      <w:r>
        <w:rPr>
          <w:i/>
          <w:iCs/>
          <w:szCs w:val="24"/>
        </w:rPr>
        <w:t>Journal of Endodontics,</w:t>
      </w:r>
      <w:r>
        <w:rPr>
          <w:szCs w:val="24"/>
        </w:rPr>
        <w:t xml:space="preserve"> 34</w:t>
      </w:r>
      <w:r>
        <w:rPr>
          <w:b/>
          <w:bCs/>
          <w:szCs w:val="24"/>
        </w:rPr>
        <w:t>,</w:t>
      </w:r>
      <w:r>
        <w:rPr>
          <w:szCs w:val="24"/>
        </w:rPr>
        <w:t xml:space="preserve"> 812–7.</w:t>
      </w:r>
      <w:proofErr w:type="gramEnd"/>
    </w:p>
    <w:p w:rsidR="00AD5452" w:rsidRDefault="00AD5452" w:rsidP="00AD5452">
      <w:pPr>
        <w:spacing w:line="480" w:lineRule="auto"/>
        <w:jc w:val="both"/>
        <w:rPr>
          <w:szCs w:val="24"/>
        </w:rPr>
      </w:pPr>
      <w:proofErr w:type="gramStart"/>
      <w:r>
        <w:rPr>
          <w:szCs w:val="24"/>
        </w:rPr>
        <w:t>HOLT, D., WATTS, J., BEESON, T., KIRKPATRICK, T. &amp; RUTLEDGE, R. 2007.</w:t>
      </w:r>
      <w:proofErr w:type="gramEnd"/>
      <w:r>
        <w:rPr>
          <w:szCs w:val="24"/>
        </w:rPr>
        <w:t xml:space="preserve"> The anti-microbial effect against enterococcus faecalis and the compressive strength of two types of mineral trioxide aggregate mixed with sterile water or 2% chlorhexidine liquid. </w:t>
      </w:r>
      <w:proofErr w:type="gramStart"/>
      <w:r>
        <w:rPr>
          <w:i/>
          <w:iCs/>
          <w:szCs w:val="24"/>
        </w:rPr>
        <w:t xml:space="preserve">J Endod </w:t>
      </w:r>
      <w:r>
        <w:rPr>
          <w:szCs w:val="24"/>
        </w:rPr>
        <w:t>33</w:t>
      </w:r>
      <w:r>
        <w:rPr>
          <w:b/>
          <w:bCs/>
          <w:szCs w:val="24"/>
        </w:rPr>
        <w:t>,</w:t>
      </w:r>
      <w:r>
        <w:rPr>
          <w:szCs w:val="24"/>
        </w:rPr>
        <w:t xml:space="preserve"> 844-7.</w:t>
      </w:r>
      <w:proofErr w:type="gramEnd"/>
    </w:p>
    <w:p w:rsidR="00AD5452" w:rsidRDefault="00AD5452" w:rsidP="00AD5452">
      <w:pPr>
        <w:spacing w:line="480" w:lineRule="auto"/>
        <w:jc w:val="both"/>
        <w:rPr>
          <w:szCs w:val="24"/>
        </w:rPr>
      </w:pPr>
      <w:proofErr w:type="gramStart"/>
      <w:r>
        <w:rPr>
          <w:szCs w:val="24"/>
        </w:rPr>
        <w:t>HOOVER, C. &amp; NEWBRUN, E. 1977.</w:t>
      </w:r>
      <w:proofErr w:type="gramEnd"/>
      <w:r>
        <w:rPr>
          <w:szCs w:val="24"/>
        </w:rPr>
        <w:t xml:space="preserve"> Survival of Bacteria from Human Dental Plaque </w:t>
      </w:r>
      <w:proofErr w:type="gramStart"/>
      <w:r>
        <w:rPr>
          <w:szCs w:val="24"/>
        </w:rPr>
        <w:t>Under</w:t>
      </w:r>
      <w:proofErr w:type="gramEnd"/>
      <w:r>
        <w:rPr>
          <w:szCs w:val="24"/>
        </w:rPr>
        <w:t xml:space="preserve"> Various Transport Conditions. </w:t>
      </w:r>
      <w:r>
        <w:rPr>
          <w:i/>
          <w:iCs/>
          <w:szCs w:val="24"/>
        </w:rPr>
        <w:t xml:space="preserve">J. CLIN. </w:t>
      </w:r>
      <w:proofErr w:type="gramStart"/>
      <w:r>
        <w:rPr>
          <w:i/>
          <w:iCs/>
          <w:szCs w:val="24"/>
        </w:rPr>
        <w:t>MICROBIOL,</w:t>
      </w:r>
      <w:r>
        <w:rPr>
          <w:szCs w:val="24"/>
        </w:rPr>
        <w:t xml:space="preserve"> 6.</w:t>
      </w:r>
      <w:proofErr w:type="gramEnd"/>
    </w:p>
    <w:p w:rsidR="00AD5452" w:rsidRDefault="00AD5452" w:rsidP="00AD5452">
      <w:pPr>
        <w:spacing w:line="480" w:lineRule="auto"/>
        <w:jc w:val="both"/>
        <w:rPr>
          <w:szCs w:val="24"/>
        </w:rPr>
      </w:pPr>
      <w:proofErr w:type="gramStart"/>
      <w:r>
        <w:rPr>
          <w:szCs w:val="24"/>
        </w:rPr>
        <w:t>HOPEWELL, S., CLARKE, M., LUSHER, A., LEFEBVRE, C. &amp; WESTBY, M. 2002.</w:t>
      </w:r>
      <w:proofErr w:type="gramEnd"/>
      <w:r>
        <w:rPr>
          <w:szCs w:val="24"/>
        </w:rPr>
        <w:t xml:space="preserve"> A comparison of hand searching versus MEDLINE searching to identify reports of randomized controlled trials. </w:t>
      </w:r>
      <w:r>
        <w:rPr>
          <w:i/>
          <w:iCs/>
          <w:szCs w:val="24"/>
        </w:rPr>
        <w:t>Statistics in Medicine,</w:t>
      </w:r>
      <w:r>
        <w:rPr>
          <w:szCs w:val="24"/>
        </w:rPr>
        <w:t xml:space="preserve"> 21</w:t>
      </w:r>
      <w:r>
        <w:rPr>
          <w:b/>
          <w:bCs/>
          <w:szCs w:val="24"/>
        </w:rPr>
        <w:t>,</w:t>
      </w:r>
      <w:r>
        <w:rPr>
          <w:szCs w:val="24"/>
        </w:rPr>
        <w:t xml:space="preserve"> 1625-34.</w:t>
      </w:r>
    </w:p>
    <w:p w:rsidR="00AD5452" w:rsidRDefault="00AD5452" w:rsidP="00AD5452">
      <w:pPr>
        <w:spacing w:line="480" w:lineRule="auto"/>
        <w:jc w:val="both"/>
        <w:rPr>
          <w:szCs w:val="24"/>
        </w:rPr>
      </w:pPr>
      <w:proofErr w:type="gramStart"/>
      <w:r>
        <w:rPr>
          <w:szCs w:val="24"/>
        </w:rPr>
        <w:t>HOSHINO, E., KURIHARA-ANDO, N. &amp; SATO, I. 1996.</w:t>
      </w:r>
      <w:proofErr w:type="gramEnd"/>
      <w:r>
        <w:rPr>
          <w:szCs w:val="24"/>
        </w:rPr>
        <w:t xml:space="preserve"> In-vitro antibacterial susceptibility of bacteria taken from infected root dentine to a mixture of ciprofloxacin, metronidazole and minocycline. </w:t>
      </w:r>
      <w:r>
        <w:rPr>
          <w:i/>
          <w:iCs/>
          <w:szCs w:val="24"/>
        </w:rPr>
        <w:t>Int Endod J,</w:t>
      </w:r>
      <w:r>
        <w:rPr>
          <w:szCs w:val="24"/>
        </w:rPr>
        <w:t xml:space="preserve"> 29</w:t>
      </w:r>
      <w:r>
        <w:rPr>
          <w:b/>
          <w:bCs/>
          <w:szCs w:val="24"/>
        </w:rPr>
        <w:t>,</w:t>
      </w:r>
      <w:r>
        <w:rPr>
          <w:szCs w:val="24"/>
        </w:rPr>
        <w:t xml:space="preserve"> 125-30.</w:t>
      </w:r>
    </w:p>
    <w:p w:rsidR="00AD5452" w:rsidRDefault="00AD5452" w:rsidP="00AD5452">
      <w:pPr>
        <w:spacing w:line="480" w:lineRule="auto"/>
        <w:jc w:val="both"/>
        <w:rPr>
          <w:szCs w:val="24"/>
        </w:rPr>
      </w:pPr>
      <w:r>
        <w:rPr>
          <w:szCs w:val="24"/>
        </w:rPr>
        <w:lastRenderedPageBreak/>
        <w:t xml:space="preserve">HUANG, G., SONOYAMA, W., CHEN, J. &amp; PARK, S. 2006b. In vitro characterization of human dental pulp cells: various isolation methods and culturing environments. </w:t>
      </w:r>
      <w:proofErr w:type="gramStart"/>
      <w:r>
        <w:rPr>
          <w:i/>
          <w:iCs/>
          <w:szCs w:val="24"/>
        </w:rPr>
        <w:t>Cell Tissue Res,</w:t>
      </w:r>
      <w:r>
        <w:rPr>
          <w:szCs w:val="24"/>
        </w:rPr>
        <w:t xml:space="preserve"> 324</w:t>
      </w:r>
      <w:r>
        <w:rPr>
          <w:b/>
          <w:bCs/>
          <w:szCs w:val="24"/>
        </w:rPr>
        <w:t>,</w:t>
      </w:r>
      <w:r>
        <w:rPr>
          <w:szCs w:val="24"/>
        </w:rPr>
        <w:t xml:space="preserve"> 225-36.</w:t>
      </w:r>
      <w:proofErr w:type="gramEnd"/>
    </w:p>
    <w:p w:rsidR="00AD5452" w:rsidRDefault="00AD5452" w:rsidP="00AD5452">
      <w:pPr>
        <w:spacing w:line="480" w:lineRule="auto"/>
        <w:jc w:val="both"/>
        <w:rPr>
          <w:szCs w:val="24"/>
        </w:rPr>
      </w:pPr>
      <w:proofErr w:type="gramStart"/>
      <w:r>
        <w:rPr>
          <w:szCs w:val="24"/>
        </w:rPr>
        <w:t>HUANG, G., SONOYAMA, W. &amp; LIU, Y. 2008.</w:t>
      </w:r>
      <w:proofErr w:type="gramEnd"/>
      <w:r>
        <w:rPr>
          <w:szCs w:val="24"/>
        </w:rPr>
        <w:t xml:space="preserve"> The hidden treasure in apical papilla: the potentialrole in pulp/dentin regeneration and bioroot engineering. </w:t>
      </w:r>
      <w:proofErr w:type="gramStart"/>
      <w:r>
        <w:rPr>
          <w:i/>
          <w:iCs/>
          <w:szCs w:val="24"/>
        </w:rPr>
        <w:t>J Endod,</w:t>
      </w:r>
      <w:r>
        <w:rPr>
          <w:szCs w:val="24"/>
        </w:rPr>
        <w:t xml:space="preserve"> 34</w:t>
      </w:r>
      <w:r>
        <w:rPr>
          <w:b/>
          <w:bCs/>
          <w:szCs w:val="24"/>
        </w:rPr>
        <w:t>,</w:t>
      </w:r>
      <w:r>
        <w:rPr>
          <w:szCs w:val="24"/>
        </w:rPr>
        <w:t xml:space="preserve"> 645–51.</w:t>
      </w:r>
      <w:proofErr w:type="gramEnd"/>
    </w:p>
    <w:p w:rsidR="00AD5452" w:rsidRDefault="00AD5452" w:rsidP="00AD5452">
      <w:pPr>
        <w:spacing w:line="480" w:lineRule="auto"/>
        <w:jc w:val="both"/>
        <w:rPr>
          <w:szCs w:val="24"/>
        </w:rPr>
      </w:pPr>
      <w:proofErr w:type="gramStart"/>
      <w:r>
        <w:rPr>
          <w:szCs w:val="24"/>
        </w:rPr>
        <w:t>ISHIKAWA, Y., IDA-YONEMOCHI, H., SUZUKI, H., NAKAKURA, O., HSHIMA, K., JUNGH, S., HONDA, M., ISHII, Y., WATANABE, N. &amp; OHSHIMA, H. 2010.</w:t>
      </w:r>
      <w:proofErr w:type="gramEnd"/>
      <w:r>
        <w:rPr>
          <w:szCs w:val="24"/>
        </w:rPr>
        <w:t xml:space="preserve"> Mapping of BrdU label-retaining dental pulp cells ingrown teeth and the regenerative capacity after injuries. </w:t>
      </w:r>
      <w:proofErr w:type="gramStart"/>
      <w:r>
        <w:rPr>
          <w:i/>
          <w:iCs/>
          <w:szCs w:val="24"/>
        </w:rPr>
        <w:t>Histo chem Cell Biol,</w:t>
      </w:r>
      <w:r>
        <w:rPr>
          <w:szCs w:val="24"/>
        </w:rPr>
        <w:t xml:space="preserve"> 134</w:t>
      </w:r>
      <w:r>
        <w:rPr>
          <w:b/>
          <w:bCs/>
          <w:szCs w:val="24"/>
        </w:rPr>
        <w:t>,</w:t>
      </w:r>
      <w:r>
        <w:rPr>
          <w:szCs w:val="24"/>
        </w:rPr>
        <w:t xml:space="preserve"> 227–41.</w:t>
      </w:r>
      <w:proofErr w:type="gramEnd"/>
    </w:p>
    <w:p w:rsidR="00AD5452" w:rsidRDefault="00AD5452" w:rsidP="00AD5452">
      <w:pPr>
        <w:spacing w:line="480" w:lineRule="auto"/>
        <w:jc w:val="both"/>
        <w:rPr>
          <w:szCs w:val="24"/>
        </w:rPr>
      </w:pPr>
      <w:proofErr w:type="gramStart"/>
      <w:r>
        <w:rPr>
          <w:szCs w:val="24"/>
        </w:rPr>
        <w:t>ISLAM, I., CHANG, H. &amp; YAP, A. 2006.</w:t>
      </w:r>
      <w:proofErr w:type="gramEnd"/>
      <w:r>
        <w:rPr>
          <w:szCs w:val="24"/>
        </w:rPr>
        <w:t xml:space="preserve"> </w:t>
      </w:r>
      <w:proofErr w:type="gramStart"/>
      <w:r>
        <w:rPr>
          <w:szCs w:val="24"/>
        </w:rPr>
        <w:t>X-ray diffraction analysis of mineral trioxide aggregate and Portland cement.</w:t>
      </w:r>
      <w:proofErr w:type="gramEnd"/>
      <w:r>
        <w:rPr>
          <w:szCs w:val="24"/>
        </w:rPr>
        <w:t xml:space="preserve"> </w:t>
      </w:r>
      <w:r>
        <w:rPr>
          <w:i/>
          <w:iCs/>
          <w:szCs w:val="24"/>
        </w:rPr>
        <w:t>Int Endod J,</w:t>
      </w:r>
      <w:r>
        <w:rPr>
          <w:szCs w:val="24"/>
        </w:rPr>
        <w:t xml:space="preserve"> 39</w:t>
      </w:r>
      <w:r>
        <w:rPr>
          <w:b/>
          <w:bCs/>
          <w:szCs w:val="24"/>
        </w:rPr>
        <w:t>,</w:t>
      </w:r>
      <w:r>
        <w:rPr>
          <w:szCs w:val="24"/>
        </w:rPr>
        <w:t xml:space="preserve"> 220-225.</w:t>
      </w:r>
    </w:p>
    <w:p w:rsidR="00AD5452" w:rsidRDefault="00AD5452" w:rsidP="00AD5452">
      <w:pPr>
        <w:spacing w:line="480" w:lineRule="auto"/>
        <w:jc w:val="both"/>
        <w:rPr>
          <w:szCs w:val="24"/>
        </w:rPr>
      </w:pPr>
      <w:r>
        <w:rPr>
          <w:szCs w:val="24"/>
        </w:rPr>
        <w:t xml:space="preserve">ISLAM, I., YAP, A., TONG, Y. &amp; KOH, E. 2005. </w:t>
      </w:r>
      <w:proofErr w:type="gramStart"/>
      <w:r>
        <w:rPr>
          <w:szCs w:val="24"/>
        </w:rPr>
        <w:t>Properties of a new root-end filling material.</w:t>
      </w:r>
      <w:proofErr w:type="gramEnd"/>
      <w:r>
        <w:rPr>
          <w:szCs w:val="24"/>
        </w:rPr>
        <w:t xml:space="preserve"> </w:t>
      </w:r>
      <w:proofErr w:type="gramStart"/>
      <w:r>
        <w:rPr>
          <w:i/>
          <w:iCs/>
          <w:szCs w:val="24"/>
        </w:rPr>
        <w:t xml:space="preserve">J Endod </w:t>
      </w:r>
      <w:r>
        <w:rPr>
          <w:szCs w:val="24"/>
        </w:rPr>
        <w:t>31</w:t>
      </w:r>
      <w:r>
        <w:rPr>
          <w:b/>
          <w:bCs/>
          <w:szCs w:val="24"/>
        </w:rPr>
        <w:t>,</w:t>
      </w:r>
      <w:r>
        <w:rPr>
          <w:szCs w:val="24"/>
        </w:rPr>
        <w:t xml:space="preserve"> 665–8.</w:t>
      </w:r>
      <w:proofErr w:type="gramEnd"/>
    </w:p>
    <w:p w:rsidR="00AD5452" w:rsidRDefault="00AD5452" w:rsidP="00AD5452">
      <w:pPr>
        <w:spacing w:line="480" w:lineRule="auto"/>
        <w:jc w:val="both"/>
        <w:rPr>
          <w:szCs w:val="24"/>
        </w:rPr>
      </w:pPr>
      <w:proofErr w:type="gramStart"/>
      <w:r>
        <w:rPr>
          <w:szCs w:val="24"/>
        </w:rPr>
        <w:t>IWAYA, S., IKAWA, M. &amp; KUBOTA, M. 2001.</w:t>
      </w:r>
      <w:proofErr w:type="gramEnd"/>
      <w:r>
        <w:rPr>
          <w:szCs w:val="24"/>
        </w:rPr>
        <w:t xml:space="preserve"> </w:t>
      </w:r>
      <w:proofErr w:type="gramStart"/>
      <w:r>
        <w:rPr>
          <w:szCs w:val="24"/>
        </w:rPr>
        <w:t>Revascularization of an immature permanent tooth with apical periodontitis and sinus tract.</w:t>
      </w:r>
      <w:proofErr w:type="gramEnd"/>
      <w:r>
        <w:rPr>
          <w:szCs w:val="24"/>
        </w:rPr>
        <w:t xml:space="preserve"> </w:t>
      </w:r>
      <w:r>
        <w:rPr>
          <w:i/>
          <w:iCs/>
          <w:szCs w:val="24"/>
        </w:rPr>
        <w:t>Dental Traumatology,</w:t>
      </w:r>
      <w:r>
        <w:rPr>
          <w:szCs w:val="24"/>
        </w:rPr>
        <w:t xml:space="preserve"> 17</w:t>
      </w:r>
      <w:r>
        <w:rPr>
          <w:b/>
          <w:bCs/>
          <w:szCs w:val="24"/>
        </w:rPr>
        <w:t>,</w:t>
      </w:r>
      <w:r>
        <w:rPr>
          <w:szCs w:val="24"/>
        </w:rPr>
        <w:t xml:space="preserve"> 185–187.</w:t>
      </w:r>
    </w:p>
    <w:p w:rsidR="00AD5452" w:rsidRDefault="00AD5452" w:rsidP="00AD5452">
      <w:pPr>
        <w:spacing w:line="480" w:lineRule="auto"/>
        <w:jc w:val="both"/>
        <w:rPr>
          <w:szCs w:val="24"/>
        </w:rPr>
      </w:pPr>
      <w:proofErr w:type="gramStart"/>
      <w:r>
        <w:rPr>
          <w:szCs w:val="24"/>
        </w:rPr>
        <w:t>J., A. 2003.</w:t>
      </w:r>
      <w:proofErr w:type="gramEnd"/>
      <w:r>
        <w:rPr>
          <w:szCs w:val="24"/>
        </w:rPr>
        <w:t xml:space="preserve"> </w:t>
      </w:r>
      <w:r>
        <w:rPr>
          <w:i/>
          <w:iCs/>
          <w:szCs w:val="24"/>
        </w:rPr>
        <w:t xml:space="preserve">Traumatic dental injuries: a </w:t>
      </w:r>
      <w:proofErr w:type="gramStart"/>
      <w:r>
        <w:rPr>
          <w:i/>
          <w:iCs/>
          <w:szCs w:val="24"/>
        </w:rPr>
        <w:t>manual.</w:t>
      </w:r>
      <w:r>
        <w:rPr>
          <w:szCs w:val="24"/>
        </w:rPr>
        <w:t>,</w:t>
      </w:r>
      <w:proofErr w:type="gramEnd"/>
      <w:r>
        <w:rPr>
          <w:szCs w:val="24"/>
        </w:rPr>
        <w:t xml:space="preserve"> Oxford: Blackwell Munksgaard.</w:t>
      </w:r>
    </w:p>
    <w:p w:rsidR="00AD5452" w:rsidRDefault="00AD5452" w:rsidP="00AD5452">
      <w:pPr>
        <w:spacing w:line="480" w:lineRule="auto"/>
        <w:jc w:val="both"/>
        <w:rPr>
          <w:szCs w:val="24"/>
        </w:rPr>
      </w:pPr>
      <w:proofErr w:type="gramStart"/>
      <w:r>
        <w:rPr>
          <w:szCs w:val="24"/>
        </w:rPr>
        <w:t>JACKSON, L., JONES, D., SCOTTING, P. &amp; SOTTILE, V. 2007.</w:t>
      </w:r>
      <w:proofErr w:type="gramEnd"/>
      <w:r>
        <w:rPr>
          <w:szCs w:val="24"/>
        </w:rPr>
        <w:t xml:space="preserve"> Adult mesenchymal stem cells: differentiation potential and therapeutic applications. </w:t>
      </w:r>
      <w:proofErr w:type="gramStart"/>
      <w:r>
        <w:rPr>
          <w:i/>
          <w:iCs/>
          <w:szCs w:val="24"/>
        </w:rPr>
        <w:t>J Postgrad Med,</w:t>
      </w:r>
      <w:r>
        <w:rPr>
          <w:szCs w:val="24"/>
        </w:rPr>
        <w:t xml:space="preserve"> 53</w:t>
      </w:r>
      <w:r>
        <w:rPr>
          <w:b/>
          <w:bCs/>
          <w:szCs w:val="24"/>
        </w:rPr>
        <w:t>,</w:t>
      </w:r>
      <w:r>
        <w:rPr>
          <w:szCs w:val="24"/>
        </w:rPr>
        <w:t xml:space="preserve"> 121-7.</w:t>
      </w:r>
      <w:proofErr w:type="gramEnd"/>
    </w:p>
    <w:p w:rsidR="00AD5452" w:rsidRDefault="00AD5452" w:rsidP="00AD5452">
      <w:pPr>
        <w:spacing w:line="480" w:lineRule="auto"/>
        <w:jc w:val="both"/>
        <w:rPr>
          <w:szCs w:val="24"/>
        </w:rPr>
      </w:pPr>
      <w:proofErr w:type="gramStart"/>
      <w:r>
        <w:rPr>
          <w:szCs w:val="24"/>
        </w:rPr>
        <w:lastRenderedPageBreak/>
        <w:t>JIANG, J., ZUO, J., CHEN, S. &amp; HOLLIDAY, L. 2003.</w:t>
      </w:r>
      <w:proofErr w:type="gramEnd"/>
      <w:r>
        <w:rPr>
          <w:szCs w:val="24"/>
        </w:rPr>
        <w:t xml:space="preserve"> Calcium hydroxide reduces lipopolysaccharide-stimulated osteoclast formation. </w:t>
      </w:r>
      <w:r>
        <w:rPr>
          <w:i/>
          <w:iCs/>
          <w:szCs w:val="24"/>
        </w:rPr>
        <w:t xml:space="preserve">Oral Surg Oral Med Oral Pathol Oral Radiol </w:t>
      </w:r>
      <w:proofErr w:type="gramStart"/>
      <w:r>
        <w:rPr>
          <w:i/>
          <w:iCs/>
          <w:szCs w:val="24"/>
        </w:rPr>
        <w:t>Endod.,</w:t>
      </w:r>
      <w:proofErr w:type="gramEnd"/>
      <w:r>
        <w:rPr>
          <w:szCs w:val="24"/>
        </w:rPr>
        <w:t xml:space="preserve"> 95</w:t>
      </w:r>
      <w:r>
        <w:rPr>
          <w:b/>
          <w:bCs/>
          <w:szCs w:val="24"/>
        </w:rPr>
        <w:t>,</w:t>
      </w:r>
      <w:r>
        <w:rPr>
          <w:szCs w:val="24"/>
        </w:rPr>
        <w:t xml:space="preserve"> 348–354.</w:t>
      </w:r>
    </w:p>
    <w:p w:rsidR="00AD5452" w:rsidRDefault="00AD5452" w:rsidP="00AD5452">
      <w:pPr>
        <w:spacing w:line="480" w:lineRule="auto"/>
        <w:jc w:val="both"/>
        <w:rPr>
          <w:szCs w:val="24"/>
        </w:rPr>
      </w:pPr>
      <w:proofErr w:type="gramStart"/>
      <w:r>
        <w:rPr>
          <w:szCs w:val="24"/>
        </w:rPr>
        <w:t>JONTELL, M., GUNRAJ, M. &amp; BERGENHOLTZ, G. 1987.</w:t>
      </w:r>
      <w:proofErr w:type="gramEnd"/>
      <w:r>
        <w:rPr>
          <w:szCs w:val="24"/>
        </w:rPr>
        <w:t xml:space="preserve"> </w:t>
      </w:r>
      <w:proofErr w:type="gramStart"/>
      <w:r>
        <w:rPr>
          <w:szCs w:val="24"/>
        </w:rPr>
        <w:t>immunocompetent</w:t>
      </w:r>
      <w:proofErr w:type="gramEnd"/>
      <w:r>
        <w:rPr>
          <w:szCs w:val="24"/>
        </w:rPr>
        <w:t xml:space="preserve"> cells in the normal dental pulp. </w:t>
      </w:r>
      <w:proofErr w:type="gramStart"/>
      <w:r>
        <w:rPr>
          <w:i/>
          <w:iCs/>
          <w:szCs w:val="24"/>
        </w:rPr>
        <w:t>j.Dent</w:t>
      </w:r>
      <w:proofErr w:type="gramEnd"/>
      <w:r>
        <w:rPr>
          <w:i/>
          <w:iCs/>
          <w:szCs w:val="24"/>
        </w:rPr>
        <w:t xml:space="preserve"> Res,</w:t>
      </w:r>
      <w:r>
        <w:rPr>
          <w:szCs w:val="24"/>
        </w:rPr>
        <w:t xml:space="preserve"> 66</w:t>
      </w:r>
      <w:r>
        <w:rPr>
          <w:b/>
          <w:bCs/>
          <w:szCs w:val="24"/>
        </w:rPr>
        <w:t>,</w:t>
      </w:r>
      <w:r>
        <w:rPr>
          <w:szCs w:val="24"/>
        </w:rPr>
        <w:t xml:space="preserve"> 1149-1153.</w:t>
      </w:r>
    </w:p>
    <w:p w:rsidR="00AD5452" w:rsidRDefault="00AD5452" w:rsidP="00AD5452">
      <w:pPr>
        <w:spacing w:line="480" w:lineRule="auto"/>
        <w:jc w:val="both"/>
        <w:rPr>
          <w:szCs w:val="24"/>
        </w:rPr>
      </w:pPr>
      <w:proofErr w:type="gramStart"/>
      <w:r>
        <w:rPr>
          <w:szCs w:val="24"/>
        </w:rPr>
        <w:t>JUNG, I., LEE, S. &amp; HARGREAVES, K. 2008.</w:t>
      </w:r>
      <w:proofErr w:type="gramEnd"/>
      <w:r>
        <w:rPr>
          <w:szCs w:val="24"/>
        </w:rPr>
        <w:t xml:space="preserve"> Biologically Based Treatment of Immature Permanent Teeth with Pulpal Necrosis: A Case Series. </w:t>
      </w:r>
      <w:proofErr w:type="gramStart"/>
      <w:r>
        <w:rPr>
          <w:i/>
          <w:iCs/>
          <w:szCs w:val="24"/>
        </w:rPr>
        <w:t>Journal of Endodontics,</w:t>
      </w:r>
      <w:r>
        <w:rPr>
          <w:szCs w:val="24"/>
        </w:rPr>
        <w:t xml:space="preserve"> 34</w:t>
      </w:r>
      <w:r>
        <w:rPr>
          <w:b/>
          <w:bCs/>
          <w:szCs w:val="24"/>
        </w:rPr>
        <w:t>,</w:t>
      </w:r>
      <w:r>
        <w:rPr>
          <w:szCs w:val="24"/>
        </w:rPr>
        <w:t xml:space="preserve"> 876-87.</w:t>
      </w:r>
      <w:proofErr w:type="gramEnd"/>
    </w:p>
    <w:p w:rsidR="00AD5452" w:rsidRDefault="00AD5452" w:rsidP="00AD5452">
      <w:pPr>
        <w:spacing w:line="480" w:lineRule="auto"/>
        <w:jc w:val="both"/>
        <w:rPr>
          <w:szCs w:val="24"/>
        </w:rPr>
      </w:pPr>
      <w:r>
        <w:rPr>
          <w:szCs w:val="24"/>
        </w:rPr>
        <w:t xml:space="preserve">KABA, A. &amp; MARECHAUX, S. 1989. </w:t>
      </w:r>
      <w:proofErr w:type="gramStart"/>
      <w:r>
        <w:rPr>
          <w:szCs w:val="24"/>
        </w:rPr>
        <w:t>A fourteen-year follow-up study of traumatic injuries to the permanent dentition.</w:t>
      </w:r>
      <w:proofErr w:type="gramEnd"/>
      <w:r>
        <w:rPr>
          <w:szCs w:val="24"/>
        </w:rPr>
        <w:t xml:space="preserve"> </w:t>
      </w:r>
      <w:r>
        <w:rPr>
          <w:i/>
          <w:iCs/>
          <w:szCs w:val="24"/>
        </w:rPr>
        <w:t xml:space="preserve">J Dent Child </w:t>
      </w:r>
      <w:r>
        <w:rPr>
          <w:szCs w:val="24"/>
        </w:rPr>
        <w:t>56</w:t>
      </w:r>
      <w:r>
        <w:rPr>
          <w:b/>
          <w:bCs/>
          <w:szCs w:val="24"/>
        </w:rPr>
        <w:t>,</w:t>
      </w:r>
      <w:r>
        <w:rPr>
          <w:szCs w:val="24"/>
        </w:rPr>
        <w:t xml:space="preserve"> 417-425.</w:t>
      </w:r>
    </w:p>
    <w:p w:rsidR="00AD5452" w:rsidRDefault="00AD5452" w:rsidP="00AD5452">
      <w:pPr>
        <w:spacing w:line="480" w:lineRule="auto"/>
        <w:jc w:val="both"/>
        <w:rPr>
          <w:szCs w:val="24"/>
        </w:rPr>
      </w:pPr>
      <w:r>
        <w:rPr>
          <w:szCs w:val="24"/>
        </w:rPr>
        <w:t xml:space="preserve">KAISER, H. 1964. </w:t>
      </w:r>
      <w:proofErr w:type="gramStart"/>
      <w:r>
        <w:rPr>
          <w:szCs w:val="24"/>
        </w:rPr>
        <w:t>Magment of wide open canals with calcium hydroxide.</w:t>
      </w:r>
      <w:proofErr w:type="gramEnd"/>
      <w:r>
        <w:rPr>
          <w:szCs w:val="24"/>
        </w:rPr>
        <w:t xml:space="preserve"> </w:t>
      </w:r>
      <w:proofErr w:type="gramStart"/>
      <w:r>
        <w:rPr>
          <w:i/>
          <w:iCs/>
          <w:szCs w:val="24"/>
        </w:rPr>
        <w:t>Presentaion at the American Association of Endodontics.</w:t>
      </w:r>
      <w:proofErr w:type="gramEnd"/>
      <w:r>
        <w:rPr>
          <w:szCs w:val="24"/>
        </w:rPr>
        <w:t xml:space="preserve"> Washinton</w:t>
      </w:r>
      <w:proofErr w:type="gramStart"/>
      <w:r>
        <w:rPr>
          <w:szCs w:val="24"/>
        </w:rPr>
        <w:t>,DC</w:t>
      </w:r>
      <w:proofErr w:type="gramEnd"/>
      <w:r>
        <w:rPr>
          <w:szCs w:val="24"/>
        </w:rPr>
        <w:t>.</w:t>
      </w:r>
    </w:p>
    <w:p w:rsidR="00AD5452" w:rsidRDefault="00AD5452" w:rsidP="00AD5452">
      <w:pPr>
        <w:spacing w:line="480" w:lineRule="auto"/>
        <w:jc w:val="both"/>
        <w:rPr>
          <w:szCs w:val="24"/>
        </w:rPr>
      </w:pPr>
      <w:r>
        <w:rPr>
          <w:szCs w:val="24"/>
        </w:rPr>
        <w:t xml:space="preserve">KAISER, H. 1964. </w:t>
      </w:r>
      <w:proofErr w:type="gramStart"/>
      <w:r>
        <w:rPr>
          <w:szCs w:val="24"/>
        </w:rPr>
        <w:t>Mangment of wide open canals with calcium hydroxide.</w:t>
      </w:r>
      <w:proofErr w:type="gramEnd"/>
      <w:r>
        <w:rPr>
          <w:szCs w:val="24"/>
        </w:rPr>
        <w:t xml:space="preserve"> </w:t>
      </w:r>
      <w:proofErr w:type="gramStart"/>
      <w:r>
        <w:rPr>
          <w:i/>
          <w:iCs/>
          <w:szCs w:val="24"/>
        </w:rPr>
        <w:t>In presentation at American Association of Endodontics.</w:t>
      </w:r>
      <w:proofErr w:type="gramEnd"/>
      <w:r>
        <w:rPr>
          <w:i/>
          <w:iCs/>
          <w:szCs w:val="24"/>
        </w:rPr>
        <w:t xml:space="preserve"> Washington, DC</w:t>
      </w:r>
      <w:r>
        <w:rPr>
          <w:szCs w:val="24"/>
        </w:rPr>
        <w:t>.</w:t>
      </w:r>
    </w:p>
    <w:p w:rsidR="00AD5452" w:rsidRDefault="00AD5452" w:rsidP="00AD5452">
      <w:pPr>
        <w:spacing w:line="480" w:lineRule="auto"/>
        <w:jc w:val="both"/>
        <w:rPr>
          <w:szCs w:val="24"/>
        </w:rPr>
      </w:pPr>
      <w:proofErr w:type="gramStart"/>
      <w:r>
        <w:rPr>
          <w:szCs w:val="24"/>
        </w:rPr>
        <w:t>KAKEHASHI, S., STANLEY, H. &amp; FITZGERALD, R. 1965.</w:t>
      </w:r>
      <w:proofErr w:type="gramEnd"/>
      <w:r>
        <w:rPr>
          <w:szCs w:val="24"/>
        </w:rPr>
        <w:t xml:space="preserve"> </w:t>
      </w:r>
      <w:proofErr w:type="gramStart"/>
      <w:r>
        <w:rPr>
          <w:szCs w:val="24"/>
        </w:rPr>
        <w:t>The effects of surgical exposures of dental pulps in germ-free and conventional laboratory rats.</w:t>
      </w:r>
      <w:proofErr w:type="gramEnd"/>
      <w:r>
        <w:rPr>
          <w:szCs w:val="24"/>
        </w:rPr>
        <w:t xml:space="preserve"> </w:t>
      </w:r>
      <w:proofErr w:type="gramStart"/>
      <w:r>
        <w:rPr>
          <w:i/>
          <w:iCs/>
          <w:szCs w:val="24"/>
        </w:rPr>
        <w:t>Oral Surg Oral Med Oral Pathol,</w:t>
      </w:r>
      <w:r>
        <w:rPr>
          <w:szCs w:val="24"/>
        </w:rPr>
        <w:t xml:space="preserve"> 20</w:t>
      </w:r>
      <w:r>
        <w:rPr>
          <w:b/>
          <w:bCs/>
          <w:szCs w:val="24"/>
        </w:rPr>
        <w:t>,</w:t>
      </w:r>
      <w:r>
        <w:rPr>
          <w:szCs w:val="24"/>
        </w:rPr>
        <w:t xml:space="preserve"> 340-49.</w:t>
      </w:r>
      <w:proofErr w:type="gramEnd"/>
    </w:p>
    <w:p w:rsidR="00AD5452" w:rsidRDefault="00AD5452" w:rsidP="00AD5452">
      <w:pPr>
        <w:spacing w:line="480" w:lineRule="auto"/>
        <w:jc w:val="both"/>
        <w:rPr>
          <w:szCs w:val="24"/>
        </w:rPr>
      </w:pPr>
      <w:r>
        <w:rPr>
          <w:szCs w:val="24"/>
        </w:rPr>
        <w:t xml:space="preserve">KAPLAN, A., PICCA, M., GONZALEZ, M., MACCHI, R. &amp; MOLGATINI, S. 1999. Antimicrobial effect of six endodontic sealers: an in vitro evaluation. </w:t>
      </w:r>
      <w:proofErr w:type="gramStart"/>
      <w:r>
        <w:rPr>
          <w:i/>
          <w:iCs/>
          <w:szCs w:val="24"/>
        </w:rPr>
        <w:t xml:space="preserve">Endod Dent Traumatol </w:t>
      </w:r>
      <w:r>
        <w:rPr>
          <w:szCs w:val="24"/>
        </w:rPr>
        <w:t>15</w:t>
      </w:r>
      <w:r>
        <w:rPr>
          <w:b/>
          <w:bCs/>
          <w:szCs w:val="24"/>
        </w:rPr>
        <w:t>,</w:t>
      </w:r>
      <w:r>
        <w:rPr>
          <w:szCs w:val="24"/>
        </w:rPr>
        <w:t xml:space="preserve"> 42–5.</w:t>
      </w:r>
      <w:proofErr w:type="gramEnd"/>
    </w:p>
    <w:p w:rsidR="00AD5452" w:rsidRDefault="00AD5452" w:rsidP="00AD5452">
      <w:pPr>
        <w:spacing w:line="480" w:lineRule="auto"/>
        <w:jc w:val="both"/>
        <w:rPr>
          <w:szCs w:val="24"/>
        </w:rPr>
      </w:pPr>
      <w:proofErr w:type="gramStart"/>
      <w:r>
        <w:rPr>
          <w:szCs w:val="24"/>
        </w:rPr>
        <w:t>KAWAMOTO, R., KUROKAWA, H., TAKUBO, C., SHIMAMURA, Y., YOSHIDA, T. &amp; M., M. 2008.</w:t>
      </w:r>
      <w:proofErr w:type="gramEnd"/>
      <w:r>
        <w:rPr>
          <w:szCs w:val="24"/>
        </w:rPr>
        <w:t xml:space="preserve"> Change in elastic modulus of bovine dentine with exposure to a calcium hydroxide paste. </w:t>
      </w:r>
      <w:proofErr w:type="gramStart"/>
      <w:r>
        <w:rPr>
          <w:i/>
          <w:iCs/>
          <w:szCs w:val="24"/>
        </w:rPr>
        <w:t>Journal of Dentistry,</w:t>
      </w:r>
      <w:r>
        <w:rPr>
          <w:szCs w:val="24"/>
        </w:rPr>
        <w:t xml:space="preserve"> 36</w:t>
      </w:r>
      <w:r>
        <w:rPr>
          <w:b/>
          <w:bCs/>
          <w:szCs w:val="24"/>
        </w:rPr>
        <w:t>,</w:t>
      </w:r>
      <w:r>
        <w:rPr>
          <w:szCs w:val="24"/>
        </w:rPr>
        <w:t xml:space="preserve"> 959-64.</w:t>
      </w:r>
      <w:proofErr w:type="gramEnd"/>
    </w:p>
    <w:p w:rsidR="00AD5452" w:rsidRDefault="00AD5452" w:rsidP="00AD5452">
      <w:pPr>
        <w:spacing w:line="480" w:lineRule="auto"/>
        <w:jc w:val="both"/>
        <w:rPr>
          <w:szCs w:val="24"/>
        </w:rPr>
      </w:pPr>
      <w:proofErr w:type="gramStart"/>
      <w:r>
        <w:rPr>
          <w:szCs w:val="24"/>
        </w:rPr>
        <w:lastRenderedPageBreak/>
        <w:t>KIM, J., KIM, Y., SHIN, S., PARK, J. &amp; JUNG, I. 2010.</w:t>
      </w:r>
      <w:proofErr w:type="gramEnd"/>
      <w:r>
        <w:rPr>
          <w:szCs w:val="24"/>
        </w:rPr>
        <w:t xml:space="preserve"> Tooth Discoloration of Immature Permanent Incisor Associated with Triple Antibiotic Therapy: A Case Report </w:t>
      </w:r>
      <w:r>
        <w:rPr>
          <w:i/>
          <w:iCs/>
          <w:szCs w:val="24"/>
        </w:rPr>
        <w:t>Journal of Endodontics,</w:t>
      </w:r>
      <w:r>
        <w:rPr>
          <w:szCs w:val="24"/>
        </w:rPr>
        <w:t xml:space="preserve"> 36</w:t>
      </w:r>
      <w:r>
        <w:rPr>
          <w:b/>
          <w:bCs/>
          <w:szCs w:val="24"/>
        </w:rPr>
        <w:t>,</w:t>
      </w:r>
      <w:r>
        <w:rPr>
          <w:szCs w:val="24"/>
        </w:rPr>
        <w:t xml:space="preserve"> 1086-1091.</w:t>
      </w:r>
    </w:p>
    <w:p w:rsidR="00AD5452" w:rsidRDefault="00AD5452" w:rsidP="00AD5452">
      <w:pPr>
        <w:spacing w:line="480" w:lineRule="auto"/>
        <w:jc w:val="both"/>
        <w:rPr>
          <w:szCs w:val="24"/>
        </w:rPr>
      </w:pPr>
      <w:r>
        <w:rPr>
          <w:szCs w:val="24"/>
        </w:rPr>
        <w:t xml:space="preserve">KIM, M., KIM, B. &amp; YOON, S. 2001. </w:t>
      </w:r>
      <w:proofErr w:type="gramStart"/>
      <w:r>
        <w:rPr>
          <w:szCs w:val="24"/>
        </w:rPr>
        <w:t>Effect on the healing of periapical perforations in dogs of the addition of growth factors to calcium hydroxide.</w:t>
      </w:r>
      <w:proofErr w:type="gramEnd"/>
      <w:r>
        <w:rPr>
          <w:szCs w:val="24"/>
        </w:rPr>
        <w:t xml:space="preserve"> </w:t>
      </w:r>
      <w:r>
        <w:rPr>
          <w:i/>
          <w:iCs/>
          <w:szCs w:val="24"/>
        </w:rPr>
        <w:t>J Endod,</w:t>
      </w:r>
      <w:r>
        <w:rPr>
          <w:szCs w:val="24"/>
        </w:rPr>
        <w:t xml:space="preserve"> 27</w:t>
      </w:r>
      <w:r>
        <w:rPr>
          <w:b/>
          <w:bCs/>
          <w:szCs w:val="24"/>
        </w:rPr>
        <w:t>,</w:t>
      </w:r>
      <w:r>
        <w:rPr>
          <w:szCs w:val="24"/>
        </w:rPr>
        <w:t xml:space="preserve"> 734–737.</w:t>
      </w:r>
    </w:p>
    <w:p w:rsidR="00AD5452" w:rsidRDefault="00AD5452" w:rsidP="00AD5452">
      <w:pPr>
        <w:spacing w:line="480" w:lineRule="auto"/>
        <w:jc w:val="both"/>
        <w:rPr>
          <w:szCs w:val="24"/>
        </w:rPr>
      </w:pPr>
      <w:proofErr w:type="gramStart"/>
      <w:r>
        <w:rPr>
          <w:szCs w:val="24"/>
        </w:rPr>
        <w:t>KINIRONS, M., SRINIVASAN, V., WELBURY, R. &amp; FINUCANE, D. 2001.</w:t>
      </w:r>
      <w:proofErr w:type="gramEnd"/>
      <w:r>
        <w:rPr>
          <w:szCs w:val="24"/>
        </w:rPr>
        <w:t xml:space="preserve"> </w:t>
      </w:r>
      <w:proofErr w:type="gramStart"/>
      <w:r>
        <w:rPr>
          <w:szCs w:val="24"/>
        </w:rPr>
        <w:t xml:space="preserve">A study in two centres of variations in the time of apical barrier detection and barrier position in nonvital immature permanent incisors </w:t>
      </w:r>
      <w:r>
        <w:rPr>
          <w:i/>
          <w:iCs/>
          <w:szCs w:val="24"/>
        </w:rPr>
        <w:t>International Journal of Paediatric Dentistry,</w:t>
      </w:r>
      <w:r>
        <w:rPr>
          <w:szCs w:val="24"/>
        </w:rPr>
        <w:t xml:space="preserve"> 11</w:t>
      </w:r>
      <w:r>
        <w:rPr>
          <w:b/>
          <w:bCs/>
          <w:szCs w:val="24"/>
        </w:rPr>
        <w:t>,</w:t>
      </w:r>
      <w:r>
        <w:rPr>
          <w:szCs w:val="24"/>
        </w:rPr>
        <w:t xml:space="preserve"> 447-451.</w:t>
      </w:r>
      <w:proofErr w:type="gramEnd"/>
    </w:p>
    <w:p w:rsidR="00AD5452" w:rsidRDefault="00AD5452" w:rsidP="00AD5452">
      <w:pPr>
        <w:spacing w:line="480" w:lineRule="auto"/>
        <w:jc w:val="both"/>
        <w:rPr>
          <w:szCs w:val="24"/>
        </w:rPr>
      </w:pPr>
      <w:r>
        <w:rPr>
          <w:szCs w:val="24"/>
        </w:rPr>
        <w:t xml:space="preserve">KINNEY JH, BALOASH M, MARSHALL GW &amp; WIEHS GS. 1996. Hardness and Young’s modulus of human pertubular dentine. </w:t>
      </w:r>
      <w:r>
        <w:rPr>
          <w:i/>
          <w:iCs/>
          <w:szCs w:val="24"/>
        </w:rPr>
        <w:t>Arch Oral Biol</w:t>
      </w:r>
      <w:proofErr w:type="gramStart"/>
      <w:r>
        <w:rPr>
          <w:i/>
          <w:iCs/>
          <w:szCs w:val="24"/>
        </w:rPr>
        <w:t>,,</w:t>
      </w:r>
      <w:proofErr w:type="gramEnd"/>
      <w:r>
        <w:rPr>
          <w:szCs w:val="24"/>
        </w:rPr>
        <w:t xml:space="preserve"> 41</w:t>
      </w:r>
      <w:r>
        <w:rPr>
          <w:b/>
          <w:bCs/>
          <w:szCs w:val="24"/>
        </w:rPr>
        <w:t>,</w:t>
      </w:r>
      <w:r>
        <w:rPr>
          <w:szCs w:val="24"/>
        </w:rPr>
        <w:t xml:space="preserve"> 9-13.</w:t>
      </w:r>
    </w:p>
    <w:p w:rsidR="00AD5452" w:rsidRDefault="00AD5452" w:rsidP="00AD5452">
      <w:pPr>
        <w:spacing w:line="480" w:lineRule="auto"/>
        <w:jc w:val="both"/>
        <w:rPr>
          <w:szCs w:val="24"/>
        </w:rPr>
      </w:pPr>
      <w:r>
        <w:rPr>
          <w:szCs w:val="24"/>
        </w:rPr>
        <w:t xml:space="preserve">KLING M, CVEK M &amp; I., M. 1986. Rate and predictability of pulp revascularization in </w:t>
      </w:r>
      <w:proofErr w:type="gramStart"/>
      <w:r>
        <w:rPr>
          <w:szCs w:val="24"/>
        </w:rPr>
        <w:t>therapeutically  reimplanted</w:t>
      </w:r>
      <w:proofErr w:type="gramEnd"/>
      <w:r>
        <w:rPr>
          <w:szCs w:val="24"/>
        </w:rPr>
        <w:t xml:space="preserve"> permanent incisors. </w:t>
      </w:r>
      <w:proofErr w:type="gramStart"/>
      <w:r>
        <w:rPr>
          <w:i/>
          <w:iCs/>
          <w:szCs w:val="24"/>
        </w:rPr>
        <w:t>Endod Dent Traumatol,</w:t>
      </w:r>
      <w:r>
        <w:rPr>
          <w:szCs w:val="24"/>
        </w:rPr>
        <w:t xml:space="preserve"> 2</w:t>
      </w:r>
      <w:r>
        <w:rPr>
          <w:b/>
          <w:bCs/>
          <w:szCs w:val="24"/>
        </w:rPr>
        <w:t>,</w:t>
      </w:r>
      <w:r>
        <w:rPr>
          <w:szCs w:val="24"/>
        </w:rPr>
        <w:t xml:space="preserve"> 83-9.</w:t>
      </w:r>
      <w:proofErr w:type="gramEnd"/>
    </w:p>
    <w:p w:rsidR="00AD5452" w:rsidRDefault="00AD5452" w:rsidP="00AD5452">
      <w:pPr>
        <w:spacing w:line="480" w:lineRule="auto"/>
        <w:jc w:val="both"/>
        <w:rPr>
          <w:szCs w:val="24"/>
        </w:rPr>
      </w:pPr>
      <w:r>
        <w:rPr>
          <w:szCs w:val="24"/>
        </w:rPr>
        <w:t xml:space="preserve">KRATCHMAN, S. 2004. </w:t>
      </w:r>
      <w:proofErr w:type="gramStart"/>
      <w:r>
        <w:rPr>
          <w:szCs w:val="24"/>
        </w:rPr>
        <w:t>Perforation repair and one-step apexification procedures.</w:t>
      </w:r>
      <w:proofErr w:type="gramEnd"/>
      <w:r>
        <w:rPr>
          <w:szCs w:val="24"/>
        </w:rPr>
        <w:t xml:space="preserve"> </w:t>
      </w:r>
      <w:r>
        <w:rPr>
          <w:i/>
          <w:iCs/>
          <w:szCs w:val="24"/>
        </w:rPr>
        <w:t>Dent Clin North Am,</w:t>
      </w:r>
      <w:r>
        <w:rPr>
          <w:szCs w:val="24"/>
        </w:rPr>
        <w:t xml:space="preserve"> 48</w:t>
      </w:r>
      <w:r>
        <w:rPr>
          <w:b/>
          <w:bCs/>
          <w:szCs w:val="24"/>
        </w:rPr>
        <w:t>,</w:t>
      </w:r>
      <w:r>
        <w:rPr>
          <w:szCs w:val="24"/>
        </w:rPr>
        <w:t xml:space="preserve"> 291–307.</w:t>
      </w:r>
    </w:p>
    <w:p w:rsidR="00AD5452" w:rsidRDefault="00AD5452" w:rsidP="00AD5452">
      <w:pPr>
        <w:spacing w:line="480" w:lineRule="auto"/>
        <w:jc w:val="both"/>
        <w:rPr>
          <w:szCs w:val="24"/>
        </w:rPr>
      </w:pPr>
      <w:proofErr w:type="gramStart"/>
      <w:r>
        <w:rPr>
          <w:szCs w:val="24"/>
        </w:rPr>
        <w:t>LAW, A. &amp; MESSER, H. 2004.</w:t>
      </w:r>
      <w:proofErr w:type="gramEnd"/>
      <w:r>
        <w:rPr>
          <w:szCs w:val="24"/>
        </w:rPr>
        <w:t xml:space="preserve"> </w:t>
      </w:r>
      <w:proofErr w:type="gramStart"/>
      <w:r>
        <w:rPr>
          <w:szCs w:val="24"/>
        </w:rPr>
        <w:t>An evidence-based analysis of the antibacterial effectiveness of intracanal medicaments.</w:t>
      </w:r>
      <w:proofErr w:type="gramEnd"/>
      <w:r>
        <w:rPr>
          <w:i/>
          <w:iCs/>
          <w:szCs w:val="24"/>
        </w:rPr>
        <w:t xml:space="preserve"> J Endod,</w:t>
      </w:r>
      <w:r>
        <w:rPr>
          <w:szCs w:val="24"/>
        </w:rPr>
        <w:t xml:space="preserve"> 30</w:t>
      </w:r>
      <w:r>
        <w:rPr>
          <w:b/>
          <w:bCs/>
          <w:szCs w:val="24"/>
        </w:rPr>
        <w:t>,</w:t>
      </w:r>
      <w:r>
        <w:rPr>
          <w:szCs w:val="24"/>
        </w:rPr>
        <w:t xml:space="preserve"> 689–694.</w:t>
      </w:r>
    </w:p>
    <w:p w:rsidR="00AD5452" w:rsidRDefault="00AD5452" w:rsidP="00AD5452">
      <w:pPr>
        <w:spacing w:line="480" w:lineRule="auto"/>
        <w:jc w:val="both"/>
        <w:rPr>
          <w:szCs w:val="24"/>
        </w:rPr>
      </w:pPr>
      <w:proofErr w:type="gramStart"/>
      <w:r>
        <w:rPr>
          <w:szCs w:val="24"/>
        </w:rPr>
        <w:t>LEE, R., BARRETT, E. &amp; KENNY, D. 2003.</w:t>
      </w:r>
      <w:proofErr w:type="gramEnd"/>
      <w:r>
        <w:rPr>
          <w:szCs w:val="24"/>
        </w:rPr>
        <w:t xml:space="preserve"> </w:t>
      </w:r>
      <w:proofErr w:type="gramStart"/>
      <w:r>
        <w:rPr>
          <w:szCs w:val="24"/>
        </w:rPr>
        <w:t>Clinical outcomes for permanent incisor luxations in pediatric population.II.</w:t>
      </w:r>
      <w:proofErr w:type="gramEnd"/>
      <w:r>
        <w:rPr>
          <w:szCs w:val="24"/>
        </w:rPr>
        <w:t xml:space="preserve"> </w:t>
      </w:r>
      <w:proofErr w:type="gramStart"/>
      <w:r>
        <w:rPr>
          <w:szCs w:val="24"/>
        </w:rPr>
        <w:t>Extrusion.</w:t>
      </w:r>
      <w:proofErr w:type="gramEnd"/>
      <w:r>
        <w:rPr>
          <w:szCs w:val="24"/>
        </w:rPr>
        <w:t xml:space="preserve"> </w:t>
      </w:r>
      <w:r>
        <w:rPr>
          <w:i/>
          <w:iCs/>
          <w:szCs w:val="24"/>
        </w:rPr>
        <w:t>Dental Traumatology,</w:t>
      </w:r>
      <w:r>
        <w:rPr>
          <w:szCs w:val="24"/>
        </w:rPr>
        <w:t xml:space="preserve"> 19</w:t>
      </w:r>
      <w:r>
        <w:rPr>
          <w:b/>
          <w:bCs/>
          <w:szCs w:val="24"/>
        </w:rPr>
        <w:t>,</w:t>
      </w:r>
      <w:r>
        <w:rPr>
          <w:szCs w:val="24"/>
        </w:rPr>
        <w:t xml:space="preserve"> 274-279.</w:t>
      </w:r>
    </w:p>
    <w:p w:rsidR="00AD5452" w:rsidRDefault="00AD5452" w:rsidP="00AD5452">
      <w:pPr>
        <w:spacing w:line="480" w:lineRule="auto"/>
        <w:jc w:val="both"/>
        <w:rPr>
          <w:szCs w:val="24"/>
        </w:rPr>
      </w:pPr>
      <w:proofErr w:type="gramStart"/>
      <w:r>
        <w:rPr>
          <w:szCs w:val="24"/>
        </w:rPr>
        <w:lastRenderedPageBreak/>
        <w:t>LEE, S., MONSEF, M. &amp; TORABINEJAD, M. 1993.</w:t>
      </w:r>
      <w:proofErr w:type="gramEnd"/>
      <w:r>
        <w:rPr>
          <w:szCs w:val="24"/>
        </w:rPr>
        <w:t xml:space="preserve"> </w:t>
      </w:r>
      <w:proofErr w:type="gramStart"/>
      <w:r>
        <w:rPr>
          <w:szCs w:val="24"/>
        </w:rPr>
        <w:t>Sealing ability of a mineral trioxide aggregate for repair of lateral root perforation.</w:t>
      </w:r>
      <w:proofErr w:type="gramEnd"/>
      <w:r>
        <w:rPr>
          <w:szCs w:val="24"/>
        </w:rPr>
        <w:t xml:space="preserve"> </w:t>
      </w:r>
      <w:r>
        <w:rPr>
          <w:i/>
          <w:iCs/>
          <w:szCs w:val="24"/>
        </w:rPr>
        <w:t>Journal of Endodontics,</w:t>
      </w:r>
      <w:r>
        <w:rPr>
          <w:szCs w:val="24"/>
        </w:rPr>
        <w:t xml:space="preserve"> 19</w:t>
      </w:r>
      <w:r>
        <w:rPr>
          <w:b/>
          <w:bCs/>
          <w:szCs w:val="24"/>
        </w:rPr>
        <w:t>,</w:t>
      </w:r>
      <w:r>
        <w:rPr>
          <w:szCs w:val="24"/>
        </w:rPr>
        <w:t xml:space="preserve"> 541-544.</w:t>
      </w:r>
    </w:p>
    <w:p w:rsidR="00AD5452" w:rsidRDefault="00AD5452" w:rsidP="00AD5452">
      <w:pPr>
        <w:spacing w:line="480" w:lineRule="auto"/>
        <w:jc w:val="both"/>
        <w:rPr>
          <w:szCs w:val="24"/>
        </w:rPr>
      </w:pPr>
      <w:proofErr w:type="gramStart"/>
      <w:r>
        <w:rPr>
          <w:szCs w:val="24"/>
        </w:rPr>
        <w:t>LEIENDECKER, A., QI, Y., SAWYER, A., NIU, L., AGEE, K., LOUSHINE, R., WELLER, R., PASHLEY, D. &amp; TRAY, F. 2012.</w:t>
      </w:r>
      <w:proofErr w:type="gramEnd"/>
      <w:r>
        <w:rPr>
          <w:szCs w:val="24"/>
        </w:rPr>
        <w:t xml:space="preserve"> </w:t>
      </w:r>
      <w:proofErr w:type="gramStart"/>
      <w:r>
        <w:rPr>
          <w:szCs w:val="24"/>
        </w:rPr>
        <w:t>Effects of Calcium Silicate–based Materials on Collagen Matrix Integrity of Mineralized Dentin.</w:t>
      </w:r>
      <w:proofErr w:type="gramEnd"/>
      <w:r>
        <w:rPr>
          <w:szCs w:val="24"/>
        </w:rPr>
        <w:t xml:space="preserve"> </w:t>
      </w:r>
      <w:r>
        <w:rPr>
          <w:i/>
          <w:iCs/>
          <w:szCs w:val="24"/>
        </w:rPr>
        <w:t>J DentinEndod,</w:t>
      </w:r>
      <w:r>
        <w:rPr>
          <w:szCs w:val="24"/>
        </w:rPr>
        <w:t xml:space="preserve"> 38</w:t>
      </w:r>
      <w:r>
        <w:rPr>
          <w:b/>
          <w:bCs/>
          <w:szCs w:val="24"/>
        </w:rPr>
        <w:t>,</w:t>
      </w:r>
      <w:r>
        <w:rPr>
          <w:szCs w:val="24"/>
        </w:rPr>
        <w:t xml:space="preserve"> 829–833.</w:t>
      </w:r>
    </w:p>
    <w:p w:rsidR="00AD5452" w:rsidRDefault="00AD5452" w:rsidP="00AD5452">
      <w:pPr>
        <w:spacing w:line="480" w:lineRule="auto"/>
        <w:jc w:val="both"/>
        <w:rPr>
          <w:szCs w:val="24"/>
        </w:rPr>
      </w:pPr>
      <w:proofErr w:type="gramStart"/>
      <w:r>
        <w:rPr>
          <w:szCs w:val="24"/>
        </w:rPr>
        <w:t>LEONARDO, M., DASLIVA, L. &amp; FIHLO, M. 2000.</w:t>
      </w:r>
      <w:proofErr w:type="gramEnd"/>
      <w:r>
        <w:rPr>
          <w:szCs w:val="24"/>
        </w:rPr>
        <w:t xml:space="preserve"> </w:t>
      </w:r>
      <w:proofErr w:type="gramStart"/>
      <w:r>
        <w:rPr>
          <w:szCs w:val="24"/>
        </w:rPr>
        <w:t>In vitro evaluation of antimicrobial activity of sealers and pastes used in endodontics.</w:t>
      </w:r>
      <w:proofErr w:type="gramEnd"/>
      <w:r>
        <w:rPr>
          <w:szCs w:val="24"/>
        </w:rPr>
        <w:t xml:space="preserve"> </w:t>
      </w:r>
      <w:proofErr w:type="gramStart"/>
      <w:r>
        <w:rPr>
          <w:i/>
          <w:iCs/>
          <w:szCs w:val="24"/>
        </w:rPr>
        <w:t xml:space="preserve">J Endod </w:t>
      </w:r>
      <w:r>
        <w:rPr>
          <w:szCs w:val="24"/>
        </w:rPr>
        <w:t>26</w:t>
      </w:r>
      <w:r>
        <w:rPr>
          <w:b/>
          <w:bCs/>
          <w:szCs w:val="24"/>
        </w:rPr>
        <w:t>,</w:t>
      </w:r>
      <w:r>
        <w:rPr>
          <w:szCs w:val="24"/>
        </w:rPr>
        <w:t xml:space="preserve"> 391–4.</w:t>
      </w:r>
      <w:proofErr w:type="gramEnd"/>
    </w:p>
    <w:p w:rsidR="00AD5452" w:rsidRDefault="00AD5452" w:rsidP="00AD5452">
      <w:pPr>
        <w:spacing w:line="480" w:lineRule="auto"/>
        <w:jc w:val="both"/>
        <w:rPr>
          <w:szCs w:val="24"/>
        </w:rPr>
      </w:pPr>
      <w:r>
        <w:rPr>
          <w:szCs w:val="24"/>
        </w:rPr>
        <w:t xml:space="preserve">LI, Y., ZHENG, N., LI, H., HOU, J., LEI, X., CHEN, X., YUAN, Z., WANG, J., LIN, Z., LIU, G. &amp; SHAN, X. 2011. Morphology and distribution of subsurface damage in optical fused silica parts: Bound-abrasive grinding. </w:t>
      </w:r>
      <w:proofErr w:type="gramStart"/>
      <w:r>
        <w:rPr>
          <w:i/>
          <w:iCs/>
          <w:szCs w:val="24"/>
        </w:rPr>
        <w:t>Applied Surface Science,</w:t>
      </w:r>
      <w:r>
        <w:rPr>
          <w:szCs w:val="24"/>
        </w:rPr>
        <w:t xml:space="preserve"> 257</w:t>
      </w:r>
      <w:r>
        <w:rPr>
          <w:b/>
          <w:bCs/>
          <w:szCs w:val="24"/>
        </w:rPr>
        <w:t>,</w:t>
      </w:r>
      <w:r>
        <w:rPr>
          <w:szCs w:val="24"/>
        </w:rPr>
        <w:t xml:space="preserve"> 2066-2073.</w:t>
      </w:r>
      <w:proofErr w:type="gramEnd"/>
    </w:p>
    <w:p w:rsidR="00AD5452" w:rsidRDefault="00AD5452" w:rsidP="00AD5452">
      <w:pPr>
        <w:spacing w:line="480" w:lineRule="auto"/>
        <w:jc w:val="both"/>
        <w:rPr>
          <w:szCs w:val="24"/>
        </w:rPr>
      </w:pPr>
      <w:proofErr w:type="gramStart"/>
      <w:r>
        <w:rPr>
          <w:szCs w:val="24"/>
        </w:rPr>
        <w:t>LIN, L. &amp; HUANG, G. 2011.</w:t>
      </w:r>
      <w:proofErr w:type="gramEnd"/>
      <w:r>
        <w:rPr>
          <w:szCs w:val="24"/>
        </w:rPr>
        <w:t xml:space="preserve"> </w:t>
      </w:r>
      <w:proofErr w:type="gramStart"/>
      <w:r>
        <w:rPr>
          <w:i/>
          <w:iCs/>
          <w:szCs w:val="24"/>
        </w:rPr>
        <w:t>Pathobiology of the Periapex</w:t>
      </w:r>
      <w:r>
        <w:rPr>
          <w:szCs w:val="24"/>
        </w:rPr>
        <w:t>, Mosby Elsevier.</w:t>
      </w:r>
      <w:proofErr w:type="gramEnd"/>
    </w:p>
    <w:p w:rsidR="00AD5452" w:rsidRDefault="00AD5452" w:rsidP="00AD5452">
      <w:pPr>
        <w:spacing w:line="480" w:lineRule="auto"/>
        <w:jc w:val="both"/>
        <w:rPr>
          <w:szCs w:val="24"/>
        </w:rPr>
      </w:pPr>
      <w:r>
        <w:rPr>
          <w:szCs w:val="24"/>
        </w:rPr>
        <w:t xml:space="preserve">LINDEBOOM, J., FRENKEN, J., KROON, F. &amp; VAN DEN AKKER, H. 2005. </w:t>
      </w:r>
      <w:proofErr w:type="gramStart"/>
      <w:r>
        <w:rPr>
          <w:szCs w:val="24"/>
        </w:rPr>
        <w:t>A comparative prospective randomized clinical study of MTA and IRM as root-end filling materials in single-rooted teeth in endodontic surgery.</w:t>
      </w:r>
      <w:proofErr w:type="gramEnd"/>
      <w:r>
        <w:rPr>
          <w:szCs w:val="24"/>
        </w:rPr>
        <w:t xml:space="preserve"> </w:t>
      </w:r>
      <w:r>
        <w:rPr>
          <w:i/>
          <w:iCs/>
          <w:szCs w:val="24"/>
        </w:rPr>
        <w:t>Oral Surgery, Oral Medicine, Oral Pathology, Oral Radiology, and Endodontics,</w:t>
      </w:r>
      <w:r>
        <w:rPr>
          <w:szCs w:val="24"/>
        </w:rPr>
        <w:t xml:space="preserve"> 100</w:t>
      </w:r>
      <w:r>
        <w:rPr>
          <w:b/>
          <w:bCs/>
          <w:szCs w:val="24"/>
        </w:rPr>
        <w:t>,</w:t>
      </w:r>
      <w:r>
        <w:rPr>
          <w:szCs w:val="24"/>
        </w:rPr>
        <w:t xml:space="preserve"> 495-500.</w:t>
      </w:r>
    </w:p>
    <w:p w:rsidR="00AD5452" w:rsidRDefault="00AD5452" w:rsidP="00AD5452">
      <w:pPr>
        <w:spacing w:line="480" w:lineRule="auto"/>
        <w:jc w:val="both"/>
        <w:rPr>
          <w:szCs w:val="24"/>
        </w:rPr>
      </w:pPr>
      <w:proofErr w:type="gramStart"/>
      <w:r>
        <w:rPr>
          <w:szCs w:val="24"/>
        </w:rPr>
        <w:t>LIU, H., GRONTHOS, S. &amp; SHI, S. 2006.</w:t>
      </w:r>
      <w:proofErr w:type="gramEnd"/>
      <w:r>
        <w:rPr>
          <w:szCs w:val="24"/>
        </w:rPr>
        <w:t xml:space="preserve"> </w:t>
      </w:r>
      <w:proofErr w:type="gramStart"/>
      <w:r>
        <w:rPr>
          <w:szCs w:val="24"/>
        </w:rPr>
        <w:t>Dental pulp stem cells.</w:t>
      </w:r>
      <w:proofErr w:type="gramEnd"/>
      <w:r>
        <w:rPr>
          <w:szCs w:val="24"/>
        </w:rPr>
        <w:t xml:space="preserve"> </w:t>
      </w:r>
      <w:proofErr w:type="gramStart"/>
      <w:r>
        <w:rPr>
          <w:i/>
          <w:iCs/>
          <w:szCs w:val="24"/>
        </w:rPr>
        <w:t>Methods Enzymol,</w:t>
      </w:r>
      <w:r>
        <w:rPr>
          <w:szCs w:val="24"/>
        </w:rPr>
        <w:t xml:space="preserve"> 419</w:t>
      </w:r>
      <w:r>
        <w:rPr>
          <w:b/>
          <w:bCs/>
          <w:szCs w:val="24"/>
        </w:rPr>
        <w:t>,</w:t>
      </w:r>
      <w:r>
        <w:rPr>
          <w:szCs w:val="24"/>
        </w:rPr>
        <w:t xml:space="preserve"> 99 -113.</w:t>
      </w:r>
      <w:proofErr w:type="gramEnd"/>
    </w:p>
    <w:p w:rsidR="00AD5452" w:rsidRDefault="00AD5452" w:rsidP="00AD5452">
      <w:pPr>
        <w:spacing w:line="480" w:lineRule="auto"/>
        <w:jc w:val="both"/>
        <w:rPr>
          <w:szCs w:val="24"/>
        </w:rPr>
      </w:pPr>
      <w:proofErr w:type="gramStart"/>
      <w:r>
        <w:rPr>
          <w:szCs w:val="24"/>
        </w:rPr>
        <w:lastRenderedPageBreak/>
        <w:t>LOVE, R. &amp; JENKINSON, H. 2002.</w:t>
      </w:r>
      <w:proofErr w:type="gramEnd"/>
      <w:r>
        <w:rPr>
          <w:szCs w:val="24"/>
        </w:rPr>
        <w:t xml:space="preserve"> </w:t>
      </w:r>
      <w:proofErr w:type="gramStart"/>
      <w:r>
        <w:rPr>
          <w:szCs w:val="24"/>
        </w:rPr>
        <w:t>Invasion of Dentinal Tubules by Oral Bacteria.</w:t>
      </w:r>
      <w:proofErr w:type="gramEnd"/>
      <w:r>
        <w:rPr>
          <w:szCs w:val="24"/>
        </w:rPr>
        <w:t xml:space="preserve"> </w:t>
      </w:r>
      <w:proofErr w:type="gramStart"/>
      <w:r>
        <w:rPr>
          <w:i/>
          <w:iCs/>
          <w:szCs w:val="24"/>
        </w:rPr>
        <w:t>Oral Biology &amp; Medicine,</w:t>
      </w:r>
      <w:r>
        <w:rPr>
          <w:szCs w:val="24"/>
        </w:rPr>
        <w:t xml:space="preserve"> 13</w:t>
      </w:r>
      <w:r>
        <w:rPr>
          <w:b/>
          <w:bCs/>
          <w:szCs w:val="24"/>
        </w:rPr>
        <w:t>,</w:t>
      </w:r>
      <w:r>
        <w:rPr>
          <w:szCs w:val="24"/>
        </w:rPr>
        <w:t xml:space="preserve"> 171-83.</w:t>
      </w:r>
      <w:proofErr w:type="gramEnd"/>
    </w:p>
    <w:p w:rsidR="00AD5452" w:rsidRDefault="00AD5452" w:rsidP="00AD5452">
      <w:pPr>
        <w:spacing w:line="480" w:lineRule="auto"/>
        <w:jc w:val="both"/>
        <w:rPr>
          <w:szCs w:val="24"/>
        </w:rPr>
      </w:pPr>
      <w:r>
        <w:rPr>
          <w:szCs w:val="24"/>
        </w:rPr>
        <w:t xml:space="preserve">MACKIE, I. 1998. UK National Clinical guidelines in Paediatric Dentistry: Management and root canal treatment of non-vital immature permanent incisor teeth. </w:t>
      </w:r>
      <w:r>
        <w:rPr>
          <w:i/>
          <w:iCs/>
          <w:szCs w:val="24"/>
        </w:rPr>
        <w:t>International Journal of Paediatric Dentistry,</w:t>
      </w:r>
      <w:r>
        <w:rPr>
          <w:szCs w:val="24"/>
        </w:rPr>
        <w:t xml:space="preserve"> 8</w:t>
      </w:r>
      <w:r>
        <w:rPr>
          <w:b/>
          <w:bCs/>
          <w:szCs w:val="24"/>
        </w:rPr>
        <w:t>,</w:t>
      </w:r>
      <w:r>
        <w:rPr>
          <w:szCs w:val="24"/>
        </w:rPr>
        <w:t xml:space="preserve"> 289-293.</w:t>
      </w:r>
    </w:p>
    <w:p w:rsidR="00AD5452" w:rsidRDefault="00AD5452" w:rsidP="00AD5452">
      <w:pPr>
        <w:spacing w:line="480" w:lineRule="auto"/>
        <w:jc w:val="both"/>
        <w:rPr>
          <w:i/>
          <w:iCs/>
          <w:szCs w:val="24"/>
        </w:rPr>
      </w:pPr>
      <w:proofErr w:type="gramStart"/>
      <w:r>
        <w:rPr>
          <w:szCs w:val="24"/>
        </w:rPr>
        <w:t>MACKIE, I., HILL, F. &amp; WORTHINGTON, H. 1994.</w:t>
      </w:r>
      <w:proofErr w:type="gramEnd"/>
      <w:r>
        <w:rPr>
          <w:szCs w:val="24"/>
        </w:rPr>
        <w:t xml:space="preserve"> </w:t>
      </w:r>
      <w:proofErr w:type="gramStart"/>
      <w:r>
        <w:rPr>
          <w:szCs w:val="24"/>
        </w:rPr>
        <w:t>Comparison of two calcium hydroxide pastes used for endodontic treatment of non-vital immature incisor teeth.</w:t>
      </w:r>
      <w:proofErr w:type="gramEnd"/>
      <w:r>
        <w:rPr>
          <w:szCs w:val="24"/>
        </w:rPr>
        <w:t xml:space="preserve"> </w:t>
      </w:r>
      <w:r>
        <w:rPr>
          <w:i/>
          <w:iCs/>
          <w:szCs w:val="24"/>
        </w:rPr>
        <w:t>Endodontics &amp; Dental Traumatology,</w:t>
      </w:r>
      <w:r>
        <w:rPr>
          <w:szCs w:val="24"/>
        </w:rPr>
        <w:t xml:space="preserve"> 10</w:t>
      </w:r>
      <w:r>
        <w:rPr>
          <w:b/>
          <w:bCs/>
          <w:szCs w:val="24"/>
        </w:rPr>
        <w:t>,</w:t>
      </w:r>
      <w:r>
        <w:rPr>
          <w:szCs w:val="24"/>
        </w:rPr>
        <w:t xml:space="preserve"> 88-90.</w:t>
      </w:r>
    </w:p>
    <w:p w:rsidR="00AD5452" w:rsidRDefault="00AD5452" w:rsidP="00AD5452">
      <w:pPr>
        <w:spacing w:line="480" w:lineRule="auto"/>
        <w:jc w:val="both"/>
        <w:rPr>
          <w:szCs w:val="24"/>
        </w:rPr>
      </w:pPr>
      <w:r>
        <w:rPr>
          <w:szCs w:val="24"/>
        </w:rPr>
        <w:t xml:space="preserve">MANHART, M. 1982. </w:t>
      </w:r>
      <w:proofErr w:type="gramStart"/>
      <w:r>
        <w:rPr>
          <w:szCs w:val="24"/>
        </w:rPr>
        <w:t>The calcium hydroxide method of endodontic sealing.</w:t>
      </w:r>
      <w:proofErr w:type="gramEnd"/>
      <w:r>
        <w:rPr>
          <w:szCs w:val="24"/>
        </w:rPr>
        <w:t xml:space="preserve"> </w:t>
      </w:r>
      <w:proofErr w:type="gramStart"/>
      <w:r>
        <w:rPr>
          <w:i/>
          <w:iCs/>
          <w:szCs w:val="24"/>
        </w:rPr>
        <w:t xml:space="preserve">Oral Surg Oral Med Oral Pathol </w:t>
      </w:r>
      <w:r>
        <w:rPr>
          <w:szCs w:val="24"/>
        </w:rPr>
        <w:t>54</w:t>
      </w:r>
      <w:r>
        <w:rPr>
          <w:b/>
          <w:bCs/>
          <w:szCs w:val="24"/>
        </w:rPr>
        <w:t>,</w:t>
      </w:r>
      <w:r>
        <w:rPr>
          <w:szCs w:val="24"/>
        </w:rPr>
        <w:t xml:space="preserve"> 219–24.</w:t>
      </w:r>
      <w:proofErr w:type="gramEnd"/>
    </w:p>
    <w:p w:rsidR="00AD5452" w:rsidRDefault="00AD5452" w:rsidP="00AD5452">
      <w:pPr>
        <w:spacing w:line="480" w:lineRule="auto"/>
        <w:jc w:val="both"/>
        <w:rPr>
          <w:szCs w:val="24"/>
        </w:rPr>
      </w:pPr>
      <w:proofErr w:type="gramStart"/>
      <w:r>
        <w:rPr>
          <w:szCs w:val="24"/>
        </w:rPr>
        <w:t>MARSH, P., MCKEE, A. &amp; MCDERMID, A. 1993.</w:t>
      </w:r>
      <w:proofErr w:type="gramEnd"/>
      <w:r>
        <w:rPr>
          <w:szCs w:val="24"/>
        </w:rPr>
        <w:t xml:space="preserve"> </w:t>
      </w:r>
      <w:proofErr w:type="gramStart"/>
      <w:r>
        <w:rPr>
          <w:i/>
          <w:iCs/>
          <w:szCs w:val="24"/>
        </w:rPr>
        <w:t>Biology of the Species Porphyromonas Gingivalis.</w:t>
      </w:r>
      <w:proofErr w:type="gramEnd"/>
      <w:r>
        <w:rPr>
          <w:i/>
          <w:iCs/>
          <w:szCs w:val="24"/>
        </w:rPr>
        <w:t xml:space="preserve"> </w:t>
      </w:r>
      <w:r>
        <w:rPr>
          <w:szCs w:val="24"/>
        </w:rPr>
        <w:t>, Boca Raton, FL: CRC Press.</w:t>
      </w:r>
    </w:p>
    <w:p w:rsidR="00AD5452" w:rsidRDefault="00AD5452" w:rsidP="00AD5452">
      <w:pPr>
        <w:spacing w:line="480" w:lineRule="auto"/>
        <w:jc w:val="both"/>
        <w:rPr>
          <w:szCs w:val="24"/>
        </w:rPr>
      </w:pPr>
      <w:proofErr w:type="gramStart"/>
      <w:r>
        <w:rPr>
          <w:szCs w:val="24"/>
        </w:rPr>
        <w:t>MASSI, S., TANOMARU-FILHO, M., FERREIRA SILVA, G., HUNGARO DUARTE, M., GRIZZO, L., MARÍLIA, A., RABELO BUZALAF, J. &amp; GUERREIRO-TANOMARU, M. 2011.</w:t>
      </w:r>
      <w:proofErr w:type="gramEnd"/>
      <w:r>
        <w:rPr>
          <w:szCs w:val="24"/>
        </w:rPr>
        <w:t xml:space="preserve"> </w:t>
      </w:r>
      <w:proofErr w:type="gramStart"/>
      <w:r>
        <w:rPr>
          <w:szCs w:val="24"/>
        </w:rPr>
        <w:t>pH</w:t>
      </w:r>
      <w:proofErr w:type="gramEnd"/>
      <w:r>
        <w:rPr>
          <w:szCs w:val="24"/>
        </w:rPr>
        <w:t xml:space="preserve">, Calcium Ion Release, and Setting Time of an Experimental Mineral Trioxide Aggregate–based Root Canal Sealer. </w:t>
      </w:r>
      <w:r>
        <w:rPr>
          <w:i/>
          <w:iCs/>
          <w:szCs w:val="24"/>
        </w:rPr>
        <w:t>Journal of Endodontics,</w:t>
      </w:r>
      <w:r>
        <w:rPr>
          <w:szCs w:val="24"/>
        </w:rPr>
        <w:t xml:space="preserve"> 37</w:t>
      </w:r>
      <w:r>
        <w:rPr>
          <w:b/>
          <w:bCs/>
          <w:szCs w:val="24"/>
        </w:rPr>
        <w:t>,</w:t>
      </w:r>
      <w:r>
        <w:rPr>
          <w:szCs w:val="24"/>
        </w:rPr>
        <w:t xml:space="preserve"> 844-846.</w:t>
      </w:r>
    </w:p>
    <w:p w:rsidR="00AD5452" w:rsidRDefault="00AD5452" w:rsidP="00AD5452">
      <w:pPr>
        <w:spacing w:line="480" w:lineRule="auto"/>
        <w:jc w:val="both"/>
        <w:rPr>
          <w:szCs w:val="24"/>
        </w:rPr>
      </w:pPr>
      <w:proofErr w:type="gramStart"/>
      <w:r>
        <w:rPr>
          <w:szCs w:val="24"/>
        </w:rPr>
        <w:t>MERGLOVA, V. 2001.</w:t>
      </w:r>
      <w:proofErr w:type="gramEnd"/>
      <w:r>
        <w:rPr>
          <w:szCs w:val="24"/>
        </w:rPr>
        <w:t xml:space="preserve"> </w:t>
      </w:r>
      <w:proofErr w:type="gramStart"/>
      <w:r>
        <w:rPr>
          <w:szCs w:val="24"/>
        </w:rPr>
        <w:t>The treatment of non-vital permanent teeth by filling of root canals with Calcium Hydroxide.</w:t>
      </w:r>
      <w:proofErr w:type="gramEnd"/>
      <w:r>
        <w:rPr>
          <w:szCs w:val="24"/>
        </w:rPr>
        <w:t xml:space="preserve"> </w:t>
      </w:r>
      <w:r>
        <w:rPr>
          <w:i/>
          <w:iCs/>
          <w:szCs w:val="24"/>
        </w:rPr>
        <w:t>European Journal of Pediatric Dentistry,</w:t>
      </w:r>
      <w:r>
        <w:rPr>
          <w:szCs w:val="24"/>
        </w:rPr>
        <w:t xml:space="preserve"> 1</w:t>
      </w:r>
      <w:r>
        <w:rPr>
          <w:b/>
          <w:bCs/>
          <w:szCs w:val="24"/>
        </w:rPr>
        <w:t>,</w:t>
      </w:r>
      <w:r>
        <w:rPr>
          <w:szCs w:val="24"/>
        </w:rPr>
        <w:t xml:space="preserve"> 38-44.</w:t>
      </w:r>
    </w:p>
    <w:p w:rsidR="00AD5452" w:rsidRDefault="00AD5452" w:rsidP="00AD5452">
      <w:pPr>
        <w:spacing w:line="480" w:lineRule="auto"/>
        <w:jc w:val="both"/>
        <w:rPr>
          <w:szCs w:val="24"/>
        </w:rPr>
      </w:pPr>
      <w:proofErr w:type="gramStart"/>
      <w:r>
        <w:rPr>
          <w:szCs w:val="24"/>
        </w:rPr>
        <w:t>MICHANOWICZ, J. &amp; MICHANOWICZ, A. 1967.</w:t>
      </w:r>
      <w:proofErr w:type="gramEnd"/>
      <w:r>
        <w:rPr>
          <w:szCs w:val="24"/>
        </w:rPr>
        <w:t xml:space="preserve"> </w:t>
      </w:r>
      <w:proofErr w:type="gramStart"/>
      <w:r>
        <w:rPr>
          <w:szCs w:val="24"/>
        </w:rPr>
        <w:t>A conservative approach and procedure to fill an incompletely formed root using calcium hydroxide as an adjunct.</w:t>
      </w:r>
      <w:proofErr w:type="gramEnd"/>
      <w:r>
        <w:rPr>
          <w:i/>
          <w:iCs/>
          <w:szCs w:val="24"/>
        </w:rPr>
        <w:t xml:space="preserve"> Journal of Dentistry for Children,</w:t>
      </w:r>
      <w:r>
        <w:rPr>
          <w:szCs w:val="24"/>
        </w:rPr>
        <w:t xml:space="preserve"> 34</w:t>
      </w:r>
      <w:r>
        <w:rPr>
          <w:b/>
          <w:bCs/>
          <w:szCs w:val="24"/>
        </w:rPr>
        <w:t>,</w:t>
      </w:r>
      <w:r>
        <w:rPr>
          <w:szCs w:val="24"/>
        </w:rPr>
        <w:t xml:space="preserve"> 42-47.</w:t>
      </w:r>
    </w:p>
    <w:p w:rsidR="00AD5452" w:rsidRDefault="00AD5452" w:rsidP="00AD5452">
      <w:pPr>
        <w:spacing w:line="480" w:lineRule="auto"/>
        <w:jc w:val="both"/>
        <w:rPr>
          <w:szCs w:val="24"/>
        </w:rPr>
      </w:pPr>
      <w:proofErr w:type="gramStart"/>
      <w:r>
        <w:rPr>
          <w:szCs w:val="24"/>
        </w:rPr>
        <w:lastRenderedPageBreak/>
        <w:t>MICKEL, A., NGUYEN, T. &amp; CHOGLE, S. 2003.</w:t>
      </w:r>
      <w:proofErr w:type="gramEnd"/>
      <w:r>
        <w:rPr>
          <w:szCs w:val="24"/>
        </w:rPr>
        <w:t xml:space="preserve"> </w:t>
      </w:r>
      <w:proofErr w:type="gramStart"/>
      <w:r>
        <w:rPr>
          <w:szCs w:val="24"/>
        </w:rPr>
        <w:t>Antimicrobial activity of endodontic sealers on Enterococcus faecalis.</w:t>
      </w:r>
      <w:proofErr w:type="gramEnd"/>
      <w:r>
        <w:rPr>
          <w:szCs w:val="24"/>
        </w:rPr>
        <w:t xml:space="preserve"> </w:t>
      </w:r>
      <w:proofErr w:type="gramStart"/>
      <w:r>
        <w:rPr>
          <w:i/>
          <w:iCs/>
          <w:szCs w:val="24"/>
        </w:rPr>
        <w:t xml:space="preserve">J Endod </w:t>
      </w:r>
      <w:r>
        <w:rPr>
          <w:szCs w:val="24"/>
        </w:rPr>
        <w:t>29</w:t>
      </w:r>
      <w:r>
        <w:rPr>
          <w:b/>
          <w:bCs/>
          <w:szCs w:val="24"/>
        </w:rPr>
        <w:t>,</w:t>
      </w:r>
      <w:r>
        <w:rPr>
          <w:szCs w:val="24"/>
        </w:rPr>
        <w:t xml:space="preserve"> 257–8.</w:t>
      </w:r>
      <w:proofErr w:type="gramEnd"/>
    </w:p>
    <w:p w:rsidR="00AD5452" w:rsidRDefault="00AD5452" w:rsidP="00AD5452">
      <w:pPr>
        <w:spacing w:line="480" w:lineRule="auto"/>
        <w:jc w:val="both"/>
        <w:rPr>
          <w:szCs w:val="24"/>
        </w:rPr>
      </w:pPr>
      <w:proofErr w:type="gramStart"/>
      <w:r>
        <w:rPr>
          <w:szCs w:val="24"/>
        </w:rPr>
        <w:t>MILLER, E., LEE, J., TAWIL, P., TEIXEIRA, F. &amp; VANN, J. 2012.</w:t>
      </w:r>
      <w:proofErr w:type="gramEnd"/>
      <w:r>
        <w:rPr>
          <w:szCs w:val="24"/>
        </w:rPr>
        <w:t xml:space="preserve"> </w:t>
      </w:r>
      <w:proofErr w:type="gramStart"/>
      <w:r>
        <w:rPr>
          <w:szCs w:val="24"/>
        </w:rPr>
        <w:t>Emerging the rapies for the management of traumatized immature permanent incisors.</w:t>
      </w:r>
      <w:proofErr w:type="gramEnd"/>
      <w:r>
        <w:rPr>
          <w:szCs w:val="24"/>
        </w:rPr>
        <w:t xml:space="preserve"> </w:t>
      </w:r>
      <w:r>
        <w:rPr>
          <w:i/>
          <w:iCs/>
          <w:szCs w:val="24"/>
        </w:rPr>
        <w:t>Pediatr Dent,</w:t>
      </w:r>
      <w:r>
        <w:rPr>
          <w:szCs w:val="24"/>
        </w:rPr>
        <w:t xml:space="preserve"> 34</w:t>
      </w:r>
      <w:r>
        <w:rPr>
          <w:b/>
          <w:bCs/>
          <w:szCs w:val="24"/>
        </w:rPr>
        <w:t>,</w:t>
      </w:r>
      <w:r>
        <w:rPr>
          <w:szCs w:val="24"/>
        </w:rPr>
        <w:t xml:space="preserve"> 66–9.</w:t>
      </w:r>
    </w:p>
    <w:p w:rsidR="00AD5452" w:rsidRDefault="00AD5452" w:rsidP="00AD5452">
      <w:pPr>
        <w:spacing w:line="480" w:lineRule="auto"/>
        <w:jc w:val="both"/>
        <w:rPr>
          <w:szCs w:val="24"/>
        </w:rPr>
      </w:pPr>
      <w:proofErr w:type="gramStart"/>
      <w:r>
        <w:rPr>
          <w:szCs w:val="24"/>
        </w:rPr>
        <w:t>MITTAL, N. &amp; JAIN, J. 2013.</w:t>
      </w:r>
      <w:proofErr w:type="gramEnd"/>
      <w:r>
        <w:rPr>
          <w:szCs w:val="24"/>
        </w:rPr>
        <w:t xml:space="preserve"> Antibiotics as an intracanal medicament in endodontics: A review. </w:t>
      </w:r>
      <w:r>
        <w:rPr>
          <w:i/>
          <w:iCs/>
          <w:szCs w:val="24"/>
        </w:rPr>
        <w:t xml:space="preserve">Indian </w:t>
      </w:r>
      <w:r w:rsidR="0052736F">
        <w:rPr>
          <w:i/>
          <w:iCs/>
          <w:szCs w:val="24"/>
        </w:rPr>
        <w:t>J</w:t>
      </w:r>
      <w:r>
        <w:rPr>
          <w:i/>
          <w:iCs/>
          <w:szCs w:val="24"/>
        </w:rPr>
        <w:t xml:space="preserve">ournal of </w:t>
      </w:r>
      <w:proofErr w:type="gramStart"/>
      <w:r w:rsidR="0052736F">
        <w:rPr>
          <w:i/>
          <w:iCs/>
          <w:szCs w:val="24"/>
        </w:rPr>
        <w:t>D</w:t>
      </w:r>
      <w:r>
        <w:rPr>
          <w:i/>
          <w:iCs/>
          <w:szCs w:val="24"/>
        </w:rPr>
        <w:t>entistry.</w:t>
      </w:r>
      <w:r>
        <w:rPr>
          <w:b/>
          <w:bCs/>
          <w:szCs w:val="24"/>
        </w:rPr>
        <w:t>,</w:t>
      </w:r>
      <w:proofErr w:type="gramEnd"/>
      <w:r>
        <w:rPr>
          <w:szCs w:val="24"/>
        </w:rPr>
        <w:t xml:space="preserve"> 29e 34.</w:t>
      </w:r>
    </w:p>
    <w:p w:rsidR="00AD5452" w:rsidRDefault="00AD5452" w:rsidP="00AD5452">
      <w:pPr>
        <w:spacing w:line="480" w:lineRule="auto"/>
        <w:jc w:val="both"/>
        <w:rPr>
          <w:szCs w:val="24"/>
        </w:rPr>
      </w:pPr>
      <w:r>
        <w:rPr>
          <w:szCs w:val="24"/>
        </w:rPr>
        <w:t xml:space="preserve">MIURA, M., GRONTHOS, S. &amp; ZHAO, M. 2003. Stem cells from human exfoliated deciduous teeth. </w:t>
      </w:r>
      <w:r>
        <w:rPr>
          <w:i/>
          <w:iCs/>
          <w:szCs w:val="24"/>
        </w:rPr>
        <w:t>Proc Natl Acad Sci U S A,</w:t>
      </w:r>
      <w:r>
        <w:rPr>
          <w:szCs w:val="24"/>
        </w:rPr>
        <w:t xml:space="preserve"> 100</w:t>
      </w:r>
      <w:r>
        <w:rPr>
          <w:b/>
          <w:bCs/>
          <w:szCs w:val="24"/>
        </w:rPr>
        <w:t>,</w:t>
      </w:r>
      <w:r>
        <w:rPr>
          <w:szCs w:val="24"/>
        </w:rPr>
        <w:t xml:space="preserve"> 5807-12.</w:t>
      </w:r>
    </w:p>
    <w:p w:rsidR="00AD5452" w:rsidRDefault="00AD5452" w:rsidP="00AD5452">
      <w:pPr>
        <w:spacing w:line="480" w:lineRule="auto"/>
        <w:jc w:val="both"/>
        <w:rPr>
          <w:szCs w:val="24"/>
        </w:rPr>
      </w:pPr>
      <w:proofErr w:type="gramStart"/>
      <w:r>
        <w:rPr>
          <w:szCs w:val="24"/>
        </w:rPr>
        <w:t>MOHAMMADI, Z., MODARESI, J. &amp; YAZDIZADEH, M. 2006.</w:t>
      </w:r>
      <w:proofErr w:type="gramEnd"/>
      <w:r>
        <w:rPr>
          <w:szCs w:val="24"/>
        </w:rPr>
        <w:t xml:space="preserve"> </w:t>
      </w:r>
      <w:proofErr w:type="gramStart"/>
      <w:r>
        <w:rPr>
          <w:szCs w:val="24"/>
        </w:rPr>
        <w:t>Evaluation of the antifungal effects of mineral trioxide aggregate materials.</w:t>
      </w:r>
      <w:proofErr w:type="gramEnd"/>
      <w:r>
        <w:rPr>
          <w:szCs w:val="24"/>
        </w:rPr>
        <w:t xml:space="preserve"> </w:t>
      </w:r>
      <w:r>
        <w:rPr>
          <w:i/>
          <w:iCs/>
          <w:szCs w:val="24"/>
        </w:rPr>
        <w:t xml:space="preserve">Aust Endod J </w:t>
      </w:r>
      <w:r>
        <w:rPr>
          <w:szCs w:val="24"/>
        </w:rPr>
        <w:t>32</w:t>
      </w:r>
      <w:r>
        <w:rPr>
          <w:b/>
          <w:bCs/>
          <w:szCs w:val="24"/>
        </w:rPr>
        <w:t>,</w:t>
      </w:r>
      <w:r>
        <w:rPr>
          <w:szCs w:val="24"/>
        </w:rPr>
        <w:t xml:space="preserve"> 120–2.</w:t>
      </w:r>
    </w:p>
    <w:p w:rsidR="00AD5452" w:rsidRDefault="00AD5452" w:rsidP="00AD5452">
      <w:pPr>
        <w:spacing w:line="480" w:lineRule="auto"/>
        <w:jc w:val="both"/>
        <w:rPr>
          <w:szCs w:val="24"/>
        </w:rPr>
      </w:pPr>
      <w:proofErr w:type="gramStart"/>
      <w:r>
        <w:rPr>
          <w:szCs w:val="24"/>
        </w:rPr>
        <w:t>MOORE, A., HOWLEY, M. &amp; O’CONNELL, A. 2011.</w:t>
      </w:r>
      <w:proofErr w:type="gramEnd"/>
      <w:r>
        <w:rPr>
          <w:szCs w:val="24"/>
        </w:rPr>
        <w:t xml:space="preserve"> </w:t>
      </w:r>
      <w:proofErr w:type="gramStart"/>
      <w:r>
        <w:rPr>
          <w:szCs w:val="24"/>
        </w:rPr>
        <w:t>Treatment of open apex teeth using two types of white mineral trioxide aggregate after initial dressing with calcium hydroxide in children.</w:t>
      </w:r>
      <w:proofErr w:type="gramEnd"/>
      <w:r>
        <w:rPr>
          <w:szCs w:val="24"/>
        </w:rPr>
        <w:t xml:space="preserve"> </w:t>
      </w:r>
      <w:r>
        <w:rPr>
          <w:i/>
          <w:iCs/>
          <w:szCs w:val="24"/>
        </w:rPr>
        <w:t>Dent Traumatol,</w:t>
      </w:r>
      <w:r>
        <w:rPr>
          <w:szCs w:val="24"/>
        </w:rPr>
        <w:t xml:space="preserve"> 27</w:t>
      </w:r>
      <w:r>
        <w:rPr>
          <w:b/>
          <w:bCs/>
          <w:szCs w:val="24"/>
        </w:rPr>
        <w:t>,</w:t>
      </w:r>
      <w:r>
        <w:rPr>
          <w:szCs w:val="24"/>
        </w:rPr>
        <w:t xml:space="preserve"> 166-73.</w:t>
      </w:r>
    </w:p>
    <w:p w:rsidR="00AD5452" w:rsidRDefault="00AD5452" w:rsidP="00AD5452">
      <w:pPr>
        <w:spacing w:line="480" w:lineRule="auto"/>
        <w:jc w:val="both"/>
        <w:rPr>
          <w:szCs w:val="24"/>
        </w:rPr>
      </w:pPr>
      <w:proofErr w:type="gramStart"/>
      <w:r>
        <w:rPr>
          <w:szCs w:val="24"/>
        </w:rPr>
        <w:t>MURRAY, P., GARCIA-GODOY, F. &amp; HARGREAVES, K. 2007.</w:t>
      </w:r>
      <w:proofErr w:type="gramEnd"/>
      <w:r>
        <w:rPr>
          <w:szCs w:val="24"/>
        </w:rPr>
        <w:t xml:space="preserve"> Regenerative Endodontics: A Review of Current Status and a Call for Action. </w:t>
      </w:r>
      <w:r>
        <w:rPr>
          <w:i/>
          <w:iCs/>
          <w:szCs w:val="24"/>
        </w:rPr>
        <w:t xml:space="preserve">J Endod </w:t>
      </w:r>
      <w:r>
        <w:rPr>
          <w:szCs w:val="24"/>
        </w:rPr>
        <w:t>33</w:t>
      </w:r>
      <w:r>
        <w:rPr>
          <w:b/>
          <w:bCs/>
          <w:szCs w:val="24"/>
        </w:rPr>
        <w:t>,</w:t>
      </w:r>
      <w:r>
        <w:rPr>
          <w:szCs w:val="24"/>
        </w:rPr>
        <w:t xml:space="preserve"> 377–390.</w:t>
      </w:r>
    </w:p>
    <w:p w:rsidR="00AD5452" w:rsidRDefault="00AD5452" w:rsidP="00AD5452">
      <w:pPr>
        <w:spacing w:line="480" w:lineRule="auto"/>
        <w:jc w:val="both"/>
        <w:rPr>
          <w:szCs w:val="24"/>
        </w:rPr>
      </w:pPr>
      <w:proofErr w:type="gramStart"/>
      <w:r>
        <w:rPr>
          <w:szCs w:val="24"/>
        </w:rPr>
        <w:t>MUTOH, N., NAKATOMI, M., IDA-YONEMOCHI, H., NAKAGAWA, E., TANI-ISHII, N. &amp; OHSHIMA, H. 2011.</w:t>
      </w:r>
      <w:proofErr w:type="gramEnd"/>
      <w:r>
        <w:rPr>
          <w:szCs w:val="24"/>
        </w:rPr>
        <w:t xml:space="preserve"> </w:t>
      </w:r>
      <w:proofErr w:type="gramStart"/>
      <w:r>
        <w:rPr>
          <w:szCs w:val="24"/>
        </w:rPr>
        <w:t>Responses of BrdU label-retaining dental pulp cells to allogenic tooth.</w:t>
      </w:r>
      <w:proofErr w:type="gramEnd"/>
      <w:r>
        <w:rPr>
          <w:szCs w:val="24"/>
        </w:rPr>
        <w:t xml:space="preserve"> </w:t>
      </w:r>
      <w:proofErr w:type="gramStart"/>
      <w:r>
        <w:rPr>
          <w:i/>
          <w:iCs/>
          <w:szCs w:val="24"/>
        </w:rPr>
        <w:t>Histochem Cell Biol,</w:t>
      </w:r>
      <w:r>
        <w:rPr>
          <w:szCs w:val="24"/>
        </w:rPr>
        <w:t xml:space="preserve"> 136</w:t>
      </w:r>
      <w:r>
        <w:rPr>
          <w:b/>
          <w:bCs/>
          <w:szCs w:val="24"/>
        </w:rPr>
        <w:t>,</w:t>
      </w:r>
      <w:r>
        <w:rPr>
          <w:szCs w:val="24"/>
        </w:rPr>
        <w:t xml:space="preserve"> 649–61.</w:t>
      </w:r>
      <w:proofErr w:type="gramEnd"/>
    </w:p>
    <w:p w:rsidR="00AD5452" w:rsidRDefault="00AD5452" w:rsidP="00AD5452">
      <w:pPr>
        <w:spacing w:line="480" w:lineRule="auto"/>
        <w:jc w:val="both"/>
        <w:rPr>
          <w:szCs w:val="24"/>
        </w:rPr>
      </w:pPr>
      <w:proofErr w:type="gramStart"/>
      <w:r>
        <w:rPr>
          <w:szCs w:val="24"/>
        </w:rPr>
        <w:lastRenderedPageBreak/>
        <w:t>NAGAOKA, S., MIYAZAKI, Y., LIU H, J., IWAMOTO, Y., KITANO, M. &amp; KAWAGOE, M. 1995.</w:t>
      </w:r>
      <w:proofErr w:type="gramEnd"/>
      <w:r>
        <w:rPr>
          <w:szCs w:val="24"/>
        </w:rPr>
        <w:t xml:space="preserve"> </w:t>
      </w:r>
      <w:proofErr w:type="gramStart"/>
      <w:r>
        <w:rPr>
          <w:szCs w:val="24"/>
        </w:rPr>
        <w:t>Bacterial invasion into dentinal tubules of human vital and nonvital teeth.</w:t>
      </w:r>
      <w:proofErr w:type="gramEnd"/>
      <w:r>
        <w:rPr>
          <w:szCs w:val="24"/>
        </w:rPr>
        <w:t xml:space="preserve"> </w:t>
      </w:r>
      <w:r>
        <w:rPr>
          <w:i/>
          <w:iCs/>
          <w:szCs w:val="24"/>
        </w:rPr>
        <w:t>Journal of Endodontics,</w:t>
      </w:r>
      <w:r>
        <w:rPr>
          <w:szCs w:val="24"/>
        </w:rPr>
        <w:t xml:space="preserve"> 21</w:t>
      </w:r>
      <w:r>
        <w:rPr>
          <w:b/>
          <w:bCs/>
          <w:szCs w:val="24"/>
        </w:rPr>
        <w:t>,</w:t>
      </w:r>
      <w:r>
        <w:rPr>
          <w:szCs w:val="24"/>
        </w:rPr>
        <w:t xml:space="preserve"> 70-73.</w:t>
      </w:r>
    </w:p>
    <w:p w:rsidR="00AD5452" w:rsidRDefault="00AD5452" w:rsidP="00AD5452">
      <w:pPr>
        <w:spacing w:line="480" w:lineRule="auto"/>
        <w:jc w:val="both"/>
        <w:rPr>
          <w:szCs w:val="24"/>
        </w:rPr>
      </w:pPr>
      <w:proofErr w:type="gramStart"/>
      <w:r>
        <w:rPr>
          <w:szCs w:val="24"/>
        </w:rPr>
        <w:t>NAGAOKA, S., MIYAZAKI, Y., LWAMOTO, Y., KITANO, M. &amp; KAWAGOE, M. 1995.</w:t>
      </w:r>
      <w:proofErr w:type="gramEnd"/>
      <w:r>
        <w:rPr>
          <w:szCs w:val="24"/>
        </w:rPr>
        <w:t xml:space="preserve"> </w:t>
      </w:r>
      <w:proofErr w:type="gramStart"/>
      <w:r>
        <w:rPr>
          <w:szCs w:val="24"/>
        </w:rPr>
        <w:t>Bacterial invasion into dentinal tubules of human vital and non vital teeth.</w:t>
      </w:r>
      <w:proofErr w:type="gramEnd"/>
      <w:r>
        <w:rPr>
          <w:szCs w:val="24"/>
        </w:rPr>
        <w:t xml:space="preserve"> </w:t>
      </w:r>
      <w:r>
        <w:rPr>
          <w:i/>
          <w:iCs/>
          <w:szCs w:val="24"/>
        </w:rPr>
        <w:t xml:space="preserve">Journal of </w:t>
      </w:r>
      <w:proofErr w:type="gramStart"/>
      <w:r>
        <w:rPr>
          <w:i/>
          <w:iCs/>
          <w:szCs w:val="24"/>
        </w:rPr>
        <w:t>Endodontics.,</w:t>
      </w:r>
      <w:proofErr w:type="gramEnd"/>
      <w:r>
        <w:rPr>
          <w:szCs w:val="24"/>
        </w:rPr>
        <w:t xml:space="preserve"> 21</w:t>
      </w:r>
      <w:r>
        <w:rPr>
          <w:b/>
          <w:bCs/>
          <w:szCs w:val="24"/>
        </w:rPr>
        <w:t>,</w:t>
      </w:r>
      <w:r>
        <w:rPr>
          <w:szCs w:val="24"/>
        </w:rPr>
        <w:t xml:space="preserve"> 70-74.</w:t>
      </w:r>
    </w:p>
    <w:p w:rsidR="00AD5452" w:rsidRDefault="00AD5452" w:rsidP="00AD5452">
      <w:pPr>
        <w:spacing w:line="480" w:lineRule="auto"/>
        <w:jc w:val="both"/>
        <w:rPr>
          <w:szCs w:val="24"/>
        </w:rPr>
      </w:pPr>
      <w:r>
        <w:rPr>
          <w:szCs w:val="24"/>
        </w:rPr>
        <w:t xml:space="preserve">NAIR, P. 2004. Pathogenesis </w:t>
      </w:r>
      <w:proofErr w:type="gramStart"/>
      <w:r>
        <w:rPr>
          <w:szCs w:val="24"/>
        </w:rPr>
        <w:t>Of</w:t>
      </w:r>
      <w:proofErr w:type="gramEnd"/>
      <w:r>
        <w:rPr>
          <w:szCs w:val="24"/>
        </w:rPr>
        <w:t xml:space="preserve"> Apical Periodontitis And The causes Of Endodontic failures. </w:t>
      </w:r>
      <w:r>
        <w:rPr>
          <w:i/>
          <w:iCs/>
          <w:szCs w:val="24"/>
        </w:rPr>
        <w:t>Oral Biology &amp; Medicine,</w:t>
      </w:r>
      <w:r>
        <w:rPr>
          <w:szCs w:val="24"/>
        </w:rPr>
        <w:t xml:space="preserve"> 15</w:t>
      </w:r>
      <w:r>
        <w:rPr>
          <w:b/>
          <w:bCs/>
          <w:szCs w:val="24"/>
        </w:rPr>
        <w:t>,</w:t>
      </w:r>
      <w:r>
        <w:rPr>
          <w:szCs w:val="24"/>
        </w:rPr>
        <w:t xml:space="preserve"> 348-381.</w:t>
      </w:r>
    </w:p>
    <w:p w:rsidR="00AD5452" w:rsidRDefault="00AD5452" w:rsidP="00AD5452">
      <w:pPr>
        <w:spacing w:line="480" w:lineRule="auto"/>
        <w:jc w:val="both"/>
        <w:rPr>
          <w:szCs w:val="24"/>
        </w:rPr>
      </w:pPr>
      <w:r>
        <w:rPr>
          <w:szCs w:val="24"/>
        </w:rPr>
        <w:t xml:space="preserve">NAIR, P. 2006. </w:t>
      </w:r>
      <w:proofErr w:type="gramStart"/>
      <w:r>
        <w:rPr>
          <w:szCs w:val="24"/>
        </w:rPr>
        <w:t>On the causes of persistent apical periodontitis; a review.</w:t>
      </w:r>
      <w:proofErr w:type="gramEnd"/>
      <w:r>
        <w:rPr>
          <w:i/>
          <w:iCs/>
          <w:szCs w:val="24"/>
        </w:rPr>
        <w:t xml:space="preserve"> Int Endodont J,</w:t>
      </w:r>
      <w:r>
        <w:rPr>
          <w:szCs w:val="24"/>
        </w:rPr>
        <w:t xml:space="preserve"> 39</w:t>
      </w:r>
      <w:r>
        <w:rPr>
          <w:b/>
          <w:bCs/>
          <w:szCs w:val="24"/>
        </w:rPr>
        <w:t>,</w:t>
      </w:r>
      <w:r>
        <w:rPr>
          <w:szCs w:val="24"/>
        </w:rPr>
        <w:t xml:space="preserve"> 249-281.</w:t>
      </w:r>
    </w:p>
    <w:p w:rsidR="00AD5452" w:rsidRDefault="00AD5452" w:rsidP="00AD5452">
      <w:pPr>
        <w:spacing w:line="480" w:lineRule="auto"/>
        <w:jc w:val="both"/>
        <w:rPr>
          <w:szCs w:val="24"/>
        </w:rPr>
      </w:pPr>
      <w:proofErr w:type="gramStart"/>
      <w:r>
        <w:rPr>
          <w:szCs w:val="24"/>
        </w:rPr>
        <w:t>NAKASHIMA, M., IOHARA, K., ISHIKAWA, M., ITO, M., TOMOKIYO, A., TANAKA, T. &amp; AKAMINE, A. 2004.</w:t>
      </w:r>
      <w:proofErr w:type="gramEnd"/>
      <w:r>
        <w:rPr>
          <w:szCs w:val="24"/>
        </w:rPr>
        <w:t xml:space="preserve"> Stimulation of reparative dentin formation by ex vivo gene therapy using dental pulp stem cells electrotransfected with growth/differentiation factor 11. </w:t>
      </w:r>
      <w:r>
        <w:rPr>
          <w:i/>
          <w:iCs/>
          <w:szCs w:val="24"/>
        </w:rPr>
        <w:t>Hum Gene Ther,</w:t>
      </w:r>
      <w:r>
        <w:rPr>
          <w:szCs w:val="24"/>
        </w:rPr>
        <w:t xml:space="preserve"> 15</w:t>
      </w:r>
      <w:r>
        <w:rPr>
          <w:b/>
          <w:bCs/>
          <w:szCs w:val="24"/>
        </w:rPr>
        <w:t>,</w:t>
      </w:r>
      <w:r>
        <w:rPr>
          <w:szCs w:val="24"/>
        </w:rPr>
        <w:t xml:space="preserve"> 1045-53.</w:t>
      </w:r>
    </w:p>
    <w:p w:rsidR="00AD5452" w:rsidRDefault="00AD5452" w:rsidP="00AD5452">
      <w:pPr>
        <w:spacing w:line="480" w:lineRule="auto"/>
        <w:jc w:val="both"/>
        <w:rPr>
          <w:szCs w:val="24"/>
        </w:rPr>
      </w:pPr>
      <w:proofErr w:type="gramStart"/>
      <w:r>
        <w:rPr>
          <w:szCs w:val="24"/>
        </w:rPr>
        <w:t>NAKASHIMA, M., TACHIBANA, K., IOHARA, K., ITO, M., ISHIKAWA, M. &amp; AKAMINE, A. 2003.</w:t>
      </w:r>
      <w:proofErr w:type="gramEnd"/>
      <w:r>
        <w:rPr>
          <w:szCs w:val="24"/>
        </w:rPr>
        <w:t xml:space="preserve"> Induction of reparative dentin formation by ultrasound-mediated gene delivery of growth/differentiation factor 11. . </w:t>
      </w:r>
      <w:r>
        <w:rPr>
          <w:i/>
          <w:iCs/>
          <w:szCs w:val="24"/>
        </w:rPr>
        <w:t>Hum Gene Ther,</w:t>
      </w:r>
      <w:r>
        <w:rPr>
          <w:szCs w:val="24"/>
        </w:rPr>
        <w:t xml:space="preserve"> 14</w:t>
      </w:r>
      <w:r>
        <w:rPr>
          <w:b/>
          <w:bCs/>
          <w:szCs w:val="24"/>
        </w:rPr>
        <w:t>,</w:t>
      </w:r>
      <w:r>
        <w:rPr>
          <w:szCs w:val="24"/>
        </w:rPr>
        <w:t xml:space="preserve"> 591-7.</w:t>
      </w:r>
    </w:p>
    <w:p w:rsidR="00AD5452" w:rsidRDefault="00AD5452" w:rsidP="00AD5452">
      <w:pPr>
        <w:spacing w:line="480" w:lineRule="auto"/>
        <w:jc w:val="both"/>
        <w:rPr>
          <w:szCs w:val="24"/>
        </w:rPr>
      </w:pPr>
      <w:proofErr w:type="gramStart"/>
      <w:r>
        <w:rPr>
          <w:szCs w:val="24"/>
        </w:rPr>
        <w:t>NARANG, R. &amp; WELLS, H. 1973.</w:t>
      </w:r>
      <w:proofErr w:type="gramEnd"/>
      <w:r>
        <w:rPr>
          <w:szCs w:val="24"/>
        </w:rPr>
        <w:t xml:space="preserve"> </w:t>
      </w:r>
      <w:proofErr w:type="gramStart"/>
      <w:r>
        <w:rPr>
          <w:szCs w:val="24"/>
        </w:rPr>
        <w:t>Experimental osteogenesis in periapical area with decalcified bone matrix.</w:t>
      </w:r>
      <w:proofErr w:type="gramEnd"/>
      <w:r>
        <w:rPr>
          <w:szCs w:val="24"/>
        </w:rPr>
        <w:t xml:space="preserve"> </w:t>
      </w:r>
      <w:r>
        <w:rPr>
          <w:i/>
          <w:iCs/>
          <w:szCs w:val="24"/>
        </w:rPr>
        <w:t>Oral Surgery, Oral Medicine and Oral Pathology</w:t>
      </w:r>
      <w:proofErr w:type="gramStart"/>
      <w:r>
        <w:rPr>
          <w:i/>
          <w:iCs/>
          <w:szCs w:val="24"/>
        </w:rPr>
        <w:t>,,</w:t>
      </w:r>
      <w:proofErr w:type="gramEnd"/>
      <w:r>
        <w:rPr>
          <w:szCs w:val="24"/>
        </w:rPr>
        <w:t xml:space="preserve"> 35</w:t>
      </w:r>
      <w:r>
        <w:rPr>
          <w:b/>
          <w:bCs/>
          <w:szCs w:val="24"/>
        </w:rPr>
        <w:t>,</w:t>
      </w:r>
      <w:r>
        <w:rPr>
          <w:szCs w:val="24"/>
        </w:rPr>
        <w:t xml:space="preserve"> 136-143.</w:t>
      </w:r>
    </w:p>
    <w:p w:rsidR="00AD5452" w:rsidRDefault="00AD5452" w:rsidP="00AD5452">
      <w:pPr>
        <w:spacing w:line="480" w:lineRule="auto"/>
        <w:jc w:val="both"/>
        <w:rPr>
          <w:szCs w:val="24"/>
        </w:rPr>
      </w:pPr>
      <w:proofErr w:type="gramStart"/>
      <w:r>
        <w:rPr>
          <w:szCs w:val="24"/>
        </w:rPr>
        <w:lastRenderedPageBreak/>
        <w:t>NELSON-FILHO, P., LEONARDO, M., SILVA, L. &amp; ASSED, S. 2002.</w:t>
      </w:r>
      <w:proofErr w:type="gramEnd"/>
      <w:r>
        <w:rPr>
          <w:szCs w:val="24"/>
        </w:rPr>
        <w:t xml:space="preserve"> </w:t>
      </w:r>
      <w:proofErr w:type="gramStart"/>
      <w:r>
        <w:rPr>
          <w:szCs w:val="24"/>
        </w:rPr>
        <w:t>Radiographic evaluation of the effect of endotoxin (LPS) plus calcium hydroxide on apical and periapical tissues of dogs.</w:t>
      </w:r>
      <w:proofErr w:type="gramEnd"/>
      <w:r>
        <w:rPr>
          <w:szCs w:val="24"/>
        </w:rPr>
        <w:t xml:space="preserve"> </w:t>
      </w:r>
      <w:r>
        <w:rPr>
          <w:i/>
          <w:iCs/>
          <w:szCs w:val="24"/>
        </w:rPr>
        <w:t xml:space="preserve">J </w:t>
      </w:r>
      <w:proofErr w:type="gramStart"/>
      <w:r>
        <w:rPr>
          <w:i/>
          <w:iCs/>
          <w:szCs w:val="24"/>
        </w:rPr>
        <w:t>Endod.,</w:t>
      </w:r>
      <w:proofErr w:type="gramEnd"/>
      <w:r>
        <w:rPr>
          <w:szCs w:val="24"/>
        </w:rPr>
        <w:t xml:space="preserve"> 28</w:t>
      </w:r>
      <w:r>
        <w:rPr>
          <w:b/>
          <w:bCs/>
          <w:szCs w:val="24"/>
        </w:rPr>
        <w:t>,</w:t>
      </w:r>
      <w:r>
        <w:rPr>
          <w:szCs w:val="24"/>
        </w:rPr>
        <w:t xml:space="preserve"> 694-6.</w:t>
      </w:r>
    </w:p>
    <w:p w:rsidR="00AD5452" w:rsidRDefault="00AD5452" w:rsidP="00AD5452">
      <w:pPr>
        <w:spacing w:line="480" w:lineRule="auto"/>
        <w:jc w:val="both"/>
        <w:rPr>
          <w:szCs w:val="24"/>
        </w:rPr>
      </w:pPr>
      <w:proofErr w:type="gramStart"/>
      <w:r>
        <w:rPr>
          <w:szCs w:val="24"/>
        </w:rPr>
        <w:t>NERWICH, A., FIGDOR, D. &amp; MESSER, H. 1993.</w:t>
      </w:r>
      <w:proofErr w:type="gramEnd"/>
      <w:r>
        <w:rPr>
          <w:szCs w:val="24"/>
        </w:rPr>
        <w:t xml:space="preserve"> </w:t>
      </w:r>
      <w:proofErr w:type="gramStart"/>
      <w:r>
        <w:rPr>
          <w:szCs w:val="24"/>
        </w:rPr>
        <w:t>pH</w:t>
      </w:r>
      <w:proofErr w:type="gramEnd"/>
      <w:r>
        <w:rPr>
          <w:szCs w:val="24"/>
        </w:rPr>
        <w:t xml:space="preserve"> changes in root dentine over a 4-week period following root canal dressing with calcium hydroxide. </w:t>
      </w:r>
      <w:proofErr w:type="gramStart"/>
      <w:r>
        <w:rPr>
          <w:i/>
          <w:iCs/>
          <w:szCs w:val="24"/>
        </w:rPr>
        <w:t>Journal of Endodontics,</w:t>
      </w:r>
      <w:r>
        <w:rPr>
          <w:szCs w:val="24"/>
        </w:rPr>
        <w:t xml:space="preserve"> 19</w:t>
      </w:r>
      <w:r>
        <w:rPr>
          <w:b/>
          <w:bCs/>
          <w:szCs w:val="24"/>
        </w:rPr>
        <w:t>,</w:t>
      </w:r>
      <w:r>
        <w:rPr>
          <w:szCs w:val="24"/>
        </w:rPr>
        <w:t xml:space="preserve"> 302-6.</w:t>
      </w:r>
      <w:proofErr w:type="gramEnd"/>
    </w:p>
    <w:p w:rsidR="00AD5452" w:rsidRDefault="00AD5452" w:rsidP="00AD5452">
      <w:pPr>
        <w:spacing w:line="480" w:lineRule="auto"/>
        <w:jc w:val="both"/>
        <w:rPr>
          <w:szCs w:val="24"/>
        </w:rPr>
      </w:pPr>
      <w:proofErr w:type="gramStart"/>
      <w:r>
        <w:rPr>
          <w:szCs w:val="24"/>
        </w:rPr>
        <w:t>NEVINS, A., FINKELSTIEN, F., LAPORATA, R. &amp; BORDEN, B. 1978.</w:t>
      </w:r>
      <w:proofErr w:type="gramEnd"/>
      <w:r>
        <w:rPr>
          <w:szCs w:val="24"/>
        </w:rPr>
        <w:t xml:space="preserve"> Induction of hard tissue into pulpless open-apex using collagen-calcium phosphate gel. </w:t>
      </w:r>
      <w:proofErr w:type="gramStart"/>
      <w:r>
        <w:rPr>
          <w:i/>
          <w:iCs/>
          <w:szCs w:val="24"/>
        </w:rPr>
        <w:t>Journal of endodontics,</w:t>
      </w:r>
      <w:r>
        <w:rPr>
          <w:szCs w:val="24"/>
        </w:rPr>
        <w:t xml:space="preserve"> 4</w:t>
      </w:r>
      <w:r>
        <w:rPr>
          <w:b/>
          <w:bCs/>
          <w:szCs w:val="24"/>
        </w:rPr>
        <w:t>,</w:t>
      </w:r>
      <w:r>
        <w:rPr>
          <w:szCs w:val="24"/>
        </w:rPr>
        <w:t xml:space="preserve"> 76 -81.</w:t>
      </w:r>
      <w:proofErr w:type="gramEnd"/>
    </w:p>
    <w:p w:rsidR="00AD5452" w:rsidRDefault="00AD5452" w:rsidP="00AD5452">
      <w:pPr>
        <w:spacing w:line="480" w:lineRule="auto"/>
        <w:jc w:val="both"/>
        <w:rPr>
          <w:szCs w:val="24"/>
        </w:rPr>
      </w:pPr>
      <w:proofErr w:type="gramStart"/>
      <w:r>
        <w:rPr>
          <w:szCs w:val="24"/>
        </w:rPr>
        <w:t>NOSRAT, A., HOMAYOUNFAR, N. &amp; OLOOMI, K. 2012.</w:t>
      </w:r>
      <w:proofErr w:type="gramEnd"/>
      <w:r>
        <w:rPr>
          <w:szCs w:val="24"/>
        </w:rPr>
        <w:t xml:space="preserve"> Drawbacks and Unfavorable Outcomes of Regenerative Endodontic Treatments of Necrotic Immature Teeth: A Literature Review and Report of a Case. </w:t>
      </w:r>
      <w:r>
        <w:rPr>
          <w:i/>
          <w:iCs/>
          <w:szCs w:val="24"/>
        </w:rPr>
        <w:t xml:space="preserve">J Endod </w:t>
      </w:r>
      <w:r>
        <w:rPr>
          <w:szCs w:val="24"/>
        </w:rPr>
        <w:t>38</w:t>
      </w:r>
      <w:r>
        <w:rPr>
          <w:b/>
          <w:bCs/>
          <w:szCs w:val="24"/>
        </w:rPr>
        <w:t>,</w:t>
      </w:r>
      <w:r>
        <w:rPr>
          <w:szCs w:val="24"/>
        </w:rPr>
        <w:t xml:space="preserve"> 1428–1434.</w:t>
      </w:r>
    </w:p>
    <w:p w:rsidR="00AD5452" w:rsidRDefault="00AD5452" w:rsidP="00AD5452">
      <w:pPr>
        <w:spacing w:line="480" w:lineRule="auto"/>
        <w:jc w:val="both"/>
        <w:rPr>
          <w:szCs w:val="24"/>
        </w:rPr>
      </w:pPr>
      <w:proofErr w:type="gramStart"/>
      <w:r>
        <w:rPr>
          <w:szCs w:val="24"/>
        </w:rPr>
        <w:t>NYARASDY, I., FERENCZI, I., BANOCZY, J. &amp; HERCZEGH, B. 1987.</w:t>
      </w:r>
      <w:proofErr w:type="gramEnd"/>
      <w:r>
        <w:rPr>
          <w:szCs w:val="24"/>
        </w:rPr>
        <w:t xml:space="preserve"> Experience with the use of the metronidazole-containing paste (Grinazole</w:t>
      </w:r>
      <w:proofErr w:type="gramStart"/>
      <w:r>
        <w:rPr>
          <w:szCs w:val="24"/>
        </w:rPr>
        <w:t>)in</w:t>
      </w:r>
      <w:proofErr w:type="gramEnd"/>
      <w:r>
        <w:rPr>
          <w:szCs w:val="24"/>
        </w:rPr>
        <w:t xml:space="preserve"> root canal therapy of gangrenous teeth. </w:t>
      </w:r>
      <w:r>
        <w:rPr>
          <w:i/>
          <w:iCs/>
          <w:szCs w:val="24"/>
        </w:rPr>
        <w:t>Fogorvosi Szemle,</w:t>
      </w:r>
      <w:r>
        <w:rPr>
          <w:szCs w:val="24"/>
        </w:rPr>
        <w:t xml:space="preserve"> 80</w:t>
      </w:r>
      <w:r>
        <w:rPr>
          <w:b/>
          <w:bCs/>
          <w:szCs w:val="24"/>
        </w:rPr>
        <w:t>,</w:t>
      </w:r>
      <w:r>
        <w:rPr>
          <w:szCs w:val="24"/>
        </w:rPr>
        <w:t xml:space="preserve"> 149-52.</w:t>
      </w:r>
    </w:p>
    <w:p w:rsidR="00AD5452" w:rsidRDefault="00AD5452" w:rsidP="00AD5452">
      <w:pPr>
        <w:spacing w:line="480" w:lineRule="auto"/>
        <w:jc w:val="both"/>
        <w:rPr>
          <w:szCs w:val="24"/>
        </w:rPr>
      </w:pPr>
      <w:proofErr w:type="gramStart"/>
      <w:r>
        <w:rPr>
          <w:szCs w:val="24"/>
        </w:rPr>
        <w:t>OGUNTEBI, B. 1994.</w:t>
      </w:r>
      <w:proofErr w:type="gramEnd"/>
      <w:r>
        <w:rPr>
          <w:szCs w:val="24"/>
        </w:rPr>
        <w:t xml:space="preserve"> </w:t>
      </w:r>
      <w:proofErr w:type="gramStart"/>
      <w:r>
        <w:rPr>
          <w:szCs w:val="24"/>
        </w:rPr>
        <w:t>Dentine tubule infection and endodontic therapy implications.</w:t>
      </w:r>
      <w:proofErr w:type="gramEnd"/>
      <w:r>
        <w:rPr>
          <w:szCs w:val="24"/>
        </w:rPr>
        <w:t xml:space="preserve"> </w:t>
      </w:r>
      <w:proofErr w:type="gramStart"/>
      <w:r>
        <w:rPr>
          <w:i/>
          <w:iCs/>
          <w:szCs w:val="24"/>
        </w:rPr>
        <w:t>International Endodontic Journal,</w:t>
      </w:r>
      <w:r>
        <w:rPr>
          <w:szCs w:val="24"/>
        </w:rPr>
        <w:t xml:space="preserve"> 27</w:t>
      </w:r>
      <w:r>
        <w:rPr>
          <w:b/>
          <w:bCs/>
          <w:szCs w:val="24"/>
        </w:rPr>
        <w:t>,</w:t>
      </w:r>
      <w:r>
        <w:rPr>
          <w:szCs w:val="24"/>
        </w:rPr>
        <w:t xml:space="preserve"> 218–22.</w:t>
      </w:r>
      <w:proofErr w:type="gramEnd"/>
    </w:p>
    <w:p w:rsidR="00AD5452" w:rsidRDefault="00AD5452" w:rsidP="00AD5452">
      <w:pPr>
        <w:spacing w:line="480" w:lineRule="auto"/>
        <w:jc w:val="both"/>
        <w:rPr>
          <w:szCs w:val="24"/>
        </w:rPr>
      </w:pPr>
      <w:proofErr w:type="gramStart"/>
      <w:r>
        <w:rPr>
          <w:szCs w:val="24"/>
        </w:rPr>
        <w:t>OLIVEIRA, I., PANDOLFELLI, V. &amp; JACOBOVITZ, M. 2010.</w:t>
      </w:r>
      <w:proofErr w:type="gramEnd"/>
      <w:r>
        <w:rPr>
          <w:szCs w:val="24"/>
        </w:rPr>
        <w:t xml:space="preserve"> Chemical, physical and mechanical properties of a novel calcium aluminate endodontic cement. </w:t>
      </w:r>
      <w:r>
        <w:rPr>
          <w:i/>
          <w:iCs/>
          <w:szCs w:val="24"/>
        </w:rPr>
        <w:t xml:space="preserve">Int Endod J </w:t>
      </w:r>
      <w:r>
        <w:rPr>
          <w:szCs w:val="24"/>
        </w:rPr>
        <w:t>43</w:t>
      </w:r>
      <w:r>
        <w:rPr>
          <w:b/>
          <w:bCs/>
          <w:szCs w:val="24"/>
        </w:rPr>
        <w:t>,</w:t>
      </w:r>
      <w:r>
        <w:rPr>
          <w:szCs w:val="24"/>
        </w:rPr>
        <w:t xml:space="preserve"> 1069–76.</w:t>
      </w:r>
    </w:p>
    <w:p w:rsidR="00AD5452" w:rsidRDefault="00AD5452" w:rsidP="00AD5452">
      <w:pPr>
        <w:spacing w:line="480" w:lineRule="auto"/>
        <w:jc w:val="both"/>
        <w:rPr>
          <w:szCs w:val="24"/>
        </w:rPr>
      </w:pPr>
      <w:proofErr w:type="gramStart"/>
      <w:r>
        <w:rPr>
          <w:szCs w:val="24"/>
        </w:rPr>
        <w:lastRenderedPageBreak/>
        <w:t>OLIVER, W. &amp; PHARR, G. 1992.</w:t>
      </w:r>
      <w:proofErr w:type="gramEnd"/>
      <w:r>
        <w:rPr>
          <w:szCs w:val="24"/>
        </w:rPr>
        <w:t xml:space="preserve"> </w:t>
      </w:r>
      <w:proofErr w:type="gramStart"/>
      <w:r>
        <w:rPr>
          <w:szCs w:val="24"/>
        </w:rPr>
        <w:t>An improved technique for determining hardness and elastic modulus using load and displacement sensing indentation experiments.</w:t>
      </w:r>
      <w:proofErr w:type="gramEnd"/>
      <w:r>
        <w:rPr>
          <w:szCs w:val="24"/>
        </w:rPr>
        <w:t xml:space="preserve"> </w:t>
      </w:r>
      <w:r>
        <w:rPr>
          <w:i/>
          <w:iCs/>
          <w:szCs w:val="24"/>
        </w:rPr>
        <w:t>J Mater Res,</w:t>
      </w:r>
      <w:r>
        <w:rPr>
          <w:szCs w:val="24"/>
        </w:rPr>
        <w:t xml:space="preserve"> 7</w:t>
      </w:r>
      <w:r>
        <w:rPr>
          <w:b/>
          <w:bCs/>
          <w:szCs w:val="24"/>
        </w:rPr>
        <w:t>,</w:t>
      </w:r>
      <w:r>
        <w:rPr>
          <w:szCs w:val="24"/>
        </w:rPr>
        <w:t xml:space="preserve"> 1564–79.</w:t>
      </w:r>
    </w:p>
    <w:p w:rsidR="00AD5452" w:rsidRDefault="00AD5452" w:rsidP="00AD5452">
      <w:pPr>
        <w:spacing w:line="480" w:lineRule="auto"/>
        <w:jc w:val="both"/>
        <w:rPr>
          <w:szCs w:val="24"/>
        </w:rPr>
      </w:pPr>
      <w:r>
        <w:rPr>
          <w:szCs w:val="24"/>
        </w:rPr>
        <w:t xml:space="preserve">ØRSTAVIK, D. 1988. </w:t>
      </w:r>
      <w:proofErr w:type="gramStart"/>
      <w:r>
        <w:rPr>
          <w:szCs w:val="24"/>
        </w:rPr>
        <w:t>Antibacterial properties of endodontic materials.</w:t>
      </w:r>
      <w:proofErr w:type="gramEnd"/>
      <w:r>
        <w:rPr>
          <w:szCs w:val="24"/>
        </w:rPr>
        <w:t xml:space="preserve"> </w:t>
      </w:r>
      <w:r>
        <w:rPr>
          <w:i/>
          <w:iCs/>
          <w:szCs w:val="24"/>
        </w:rPr>
        <w:t>Int Endod J,</w:t>
      </w:r>
      <w:r>
        <w:rPr>
          <w:szCs w:val="24"/>
        </w:rPr>
        <w:t xml:space="preserve"> 21</w:t>
      </w:r>
      <w:r>
        <w:rPr>
          <w:b/>
          <w:bCs/>
          <w:szCs w:val="24"/>
        </w:rPr>
        <w:t>,</w:t>
      </w:r>
      <w:r>
        <w:rPr>
          <w:szCs w:val="24"/>
        </w:rPr>
        <w:t xml:space="preserve"> 161–9.</w:t>
      </w:r>
    </w:p>
    <w:p w:rsidR="00AD5452" w:rsidRDefault="00AD5452" w:rsidP="00AD5452">
      <w:pPr>
        <w:spacing w:line="480" w:lineRule="auto"/>
        <w:jc w:val="both"/>
        <w:rPr>
          <w:szCs w:val="24"/>
        </w:rPr>
      </w:pPr>
      <w:proofErr w:type="gramStart"/>
      <w:r>
        <w:rPr>
          <w:szCs w:val="24"/>
        </w:rPr>
        <w:t>ØRSTAVIK, D. &amp; FORD, T. P. 2008.</w:t>
      </w:r>
      <w:proofErr w:type="gramEnd"/>
      <w:r>
        <w:rPr>
          <w:szCs w:val="24"/>
        </w:rPr>
        <w:t xml:space="preserve"> </w:t>
      </w:r>
      <w:r>
        <w:rPr>
          <w:i/>
          <w:iCs/>
          <w:szCs w:val="24"/>
        </w:rPr>
        <w:t>Essential endodontology: prevention and treatment of apical periodontitis</w:t>
      </w:r>
      <w:r>
        <w:rPr>
          <w:szCs w:val="24"/>
        </w:rPr>
        <w:t>, Blackwell Munksgaard.</w:t>
      </w:r>
    </w:p>
    <w:p w:rsidR="00AD5452" w:rsidRDefault="00AD5452" w:rsidP="00AD5452">
      <w:pPr>
        <w:spacing w:line="480" w:lineRule="auto"/>
        <w:jc w:val="both"/>
        <w:rPr>
          <w:szCs w:val="24"/>
        </w:rPr>
      </w:pPr>
      <w:proofErr w:type="gramStart"/>
      <w:r>
        <w:rPr>
          <w:szCs w:val="24"/>
        </w:rPr>
        <w:t>OSTBY, B. 1961.</w:t>
      </w:r>
      <w:proofErr w:type="gramEnd"/>
      <w:r>
        <w:rPr>
          <w:szCs w:val="24"/>
        </w:rPr>
        <w:t xml:space="preserve"> </w:t>
      </w:r>
      <w:proofErr w:type="gramStart"/>
      <w:r>
        <w:rPr>
          <w:szCs w:val="24"/>
        </w:rPr>
        <w:t>The role of the blood cloth in endodontic therapy.</w:t>
      </w:r>
      <w:proofErr w:type="gramEnd"/>
      <w:r>
        <w:rPr>
          <w:szCs w:val="24"/>
        </w:rPr>
        <w:t xml:space="preserve"> </w:t>
      </w:r>
      <w:r>
        <w:rPr>
          <w:i/>
          <w:iCs/>
          <w:szCs w:val="24"/>
        </w:rPr>
        <w:t>Acta Odontologica Scandinavica,</w:t>
      </w:r>
      <w:r>
        <w:rPr>
          <w:szCs w:val="24"/>
        </w:rPr>
        <w:t xml:space="preserve"> 19</w:t>
      </w:r>
      <w:r>
        <w:rPr>
          <w:b/>
          <w:bCs/>
          <w:szCs w:val="24"/>
        </w:rPr>
        <w:t>,</w:t>
      </w:r>
      <w:r>
        <w:rPr>
          <w:szCs w:val="24"/>
        </w:rPr>
        <w:t xml:space="preserve"> 324-353.</w:t>
      </w:r>
    </w:p>
    <w:p w:rsidR="00AD5452" w:rsidRDefault="00AD5452" w:rsidP="00AD5452">
      <w:pPr>
        <w:spacing w:line="480" w:lineRule="auto"/>
        <w:jc w:val="both"/>
        <w:rPr>
          <w:szCs w:val="24"/>
        </w:rPr>
      </w:pPr>
      <w:r>
        <w:rPr>
          <w:szCs w:val="24"/>
        </w:rPr>
        <w:t xml:space="preserve">O''STBY, B. 1961. </w:t>
      </w:r>
      <w:proofErr w:type="gramStart"/>
      <w:r>
        <w:rPr>
          <w:szCs w:val="24"/>
        </w:rPr>
        <w:t>The role of the blood clot in endodontic therapy.</w:t>
      </w:r>
      <w:proofErr w:type="gramEnd"/>
      <w:r>
        <w:rPr>
          <w:szCs w:val="24"/>
        </w:rPr>
        <w:t xml:space="preserve"> </w:t>
      </w:r>
      <w:proofErr w:type="gramStart"/>
      <w:r>
        <w:rPr>
          <w:i/>
          <w:iCs/>
          <w:szCs w:val="24"/>
        </w:rPr>
        <w:t>acta</w:t>
      </w:r>
      <w:proofErr w:type="gramEnd"/>
      <w:r>
        <w:rPr>
          <w:i/>
          <w:iCs/>
          <w:szCs w:val="24"/>
        </w:rPr>
        <w:t xml:space="preserve"> odontologica scandinavia,</w:t>
      </w:r>
      <w:r>
        <w:rPr>
          <w:szCs w:val="24"/>
        </w:rPr>
        <w:t xml:space="preserve"> 19</w:t>
      </w:r>
      <w:r>
        <w:rPr>
          <w:b/>
          <w:bCs/>
          <w:szCs w:val="24"/>
        </w:rPr>
        <w:t>,</w:t>
      </w:r>
      <w:r>
        <w:rPr>
          <w:szCs w:val="24"/>
        </w:rPr>
        <w:t xml:space="preserve"> 323-353.</w:t>
      </w:r>
    </w:p>
    <w:p w:rsidR="00AD5452" w:rsidRDefault="00AD5452" w:rsidP="00AD5452">
      <w:pPr>
        <w:spacing w:line="480" w:lineRule="auto"/>
        <w:jc w:val="both"/>
        <w:rPr>
          <w:szCs w:val="24"/>
        </w:rPr>
      </w:pPr>
      <w:proofErr w:type="gramStart"/>
      <w:r>
        <w:rPr>
          <w:szCs w:val="24"/>
        </w:rPr>
        <w:t>PACE, R., GIULIANI, V., PINI, PRATO, L., BACCETTI, T. &amp; PAGAVINO, G. 2007.</w:t>
      </w:r>
      <w:proofErr w:type="gramEnd"/>
      <w:r>
        <w:rPr>
          <w:szCs w:val="24"/>
        </w:rPr>
        <w:t xml:space="preserve"> Apical plug technique using mineral trioxide aggregate: results from a case series. </w:t>
      </w:r>
      <w:proofErr w:type="gramStart"/>
      <w:r>
        <w:rPr>
          <w:i/>
          <w:iCs/>
          <w:szCs w:val="24"/>
        </w:rPr>
        <w:t>International Endodontic Journal,</w:t>
      </w:r>
      <w:r>
        <w:rPr>
          <w:szCs w:val="24"/>
        </w:rPr>
        <w:t xml:space="preserve"> 40</w:t>
      </w:r>
      <w:r>
        <w:rPr>
          <w:b/>
          <w:bCs/>
          <w:szCs w:val="24"/>
        </w:rPr>
        <w:t>,</w:t>
      </w:r>
      <w:r>
        <w:rPr>
          <w:szCs w:val="24"/>
        </w:rPr>
        <w:t xml:space="preserve"> 478–84.</w:t>
      </w:r>
      <w:proofErr w:type="gramEnd"/>
    </w:p>
    <w:p w:rsidR="00AD5452" w:rsidRDefault="00AD5452" w:rsidP="00AD5452">
      <w:pPr>
        <w:spacing w:line="480" w:lineRule="auto"/>
        <w:jc w:val="both"/>
        <w:rPr>
          <w:szCs w:val="24"/>
        </w:rPr>
      </w:pPr>
      <w:r>
        <w:rPr>
          <w:szCs w:val="24"/>
        </w:rPr>
        <w:t xml:space="preserve">PADAN, E., ZILBERSTEIN, D. &amp; SCHULDINER, S. 1981. </w:t>
      </w:r>
      <w:proofErr w:type="gramStart"/>
      <w:r>
        <w:rPr>
          <w:szCs w:val="24"/>
        </w:rPr>
        <w:t>pH</w:t>
      </w:r>
      <w:proofErr w:type="gramEnd"/>
      <w:r>
        <w:rPr>
          <w:szCs w:val="24"/>
        </w:rPr>
        <w:t xml:space="preserve"> homeostasis in bacteria, Biochim. </w:t>
      </w:r>
      <w:proofErr w:type="gramStart"/>
      <w:r>
        <w:rPr>
          <w:szCs w:val="24"/>
        </w:rPr>
        <w:t>Biophys.</w:t>
      </w:r>
      <w:proofErr w:type="gramEnd"/>
      <w:r>
        <w:rPr>
          <w:szCs w:val="24"/>
        </w:rPr>
        <w:t xml:space="preserve"> </w:t>
      </w:r>
      <w:r>
        <w:rPr>
          <w:i/>
          <w:iCs/>
          <w:szCs w:val="24"/>
        </w:rPr>
        <w:t xml:space="preserve">Acta odontologica </w:t>
      </w:r>
      <w:proofErr w:type="gramStart"/>
      <w:r>
        <w:rPr>
          <w:i/>
          <w:iCs/>
          <w:szCs w:val="24"/>
        </w:rPr>
        <w:t>scandinavia</w:t>
      </w:r>
      <w:proofErr w:type="gramEnd"/>
      <w:r>
        <w:rPr>
          <w:i/>
          <w:iCs/>
          <w:szCs w:val="24"/>
        </w:rPr>
        <w:t>,</w:t>
      </w:r>
      <w:r>
        <w:rPr>
          <w:szCs w:val="24"/>
        </w:rPr>
        <w:t xml:space="preserve"> 650</w:t>
      </w:r>
      <w:r>
        <w:rPr>
          <w:b/>
          <w:bCs/>
          <w:szCs w:val="24"/>
        </w:rPr>
        <w:t>,</w:t>
      </w:r>
      <w:r>
        <w:rPr>
          <w:szCs w:val="24"/>
        </w:rPr>
        <w:t xml:space="preserve"> 151– 166.</w:t>
      </w:r>
    </w:p>
    <w:p w:rsidR="00AD5452" w:rsidRDefault="00AD5452" w:rsidP="00AD5452">
      <w:pPr>
        <w:spacing w:line="480" w:lineRule="auto"/>
        <w:jc w:val="both"/>
        <w:rPr>
          <w:szCs w:val="24"/>
        </w:rPr>
      </w:pPr>
      <w:proofErr w:type="gramStart"/>
      <w:r>
        <w:rPr>
          <w:szCs w:val="24"/>
        </w:rPr>
        <w:t>PARIROKH, M. &amp; TORABINEJAD, M. 2010.</w:t>
      </w:r>
      <w:proofErr w:type="gramEnd"/>
      <w:r>
        <w:rPr>
          <w:szCs w:val="24"/>
        </w:rPr>
        <w:t xml:space="preserve"> Mineral Trioxide Aggregate: A Comprehensive Literature Review—Part I: Chemical, Physical, and Antibacterial Properties Review Article. </w:t>
      </w:r>
      <w:r>
        <w:rPr>
          <w:i/>
          <w:iCs/>
          <w:szCs w:val="24"/>
        </w:rPr>
        <w:t>Journal of Endodontics</w:t>
      </w:r>
      <w:proofErr w:type="gramStart"/>
      <w:r>
        <w:rPr>
          <w:i/>
          <w:iCs/>
          <w:szCs w:val="24"/>
        </w:rPr>
        <w:t>,,</w:t>
      </w:r>
      <w:proofErr w:type="gramEnd"/>
      <w:r>
        <w:rPr>
          <w:szCs w:val="24"/>
        </w:rPr>
        <w:t xml:space="preserve"> 36</w:t>
      </w:r>
      <w:r>
        <w:rPr>
          <w:b/>
          <w:bCs/>
          <w:szCs w:val="24"/>
        </w:rPr>
        <w:t>,</w:t>
      </w:r>
      <w:r>
        <w:rPr>
          <w:szCs w:val="24"/>
        </w:rPr>
        <w:t xml:space="preserve"> 16-27.</w:t>
      </w:r>
    </w:p>
    <w:p w:rsidR="00AD5452" w:rsidRDefault="00AD5452" w:rsidP="00AD5452">
      <w:pPr>
        <w:spacing w:line="480" w:lineRule="auto"/>
        <w:jc w:val="both"/>
        <w:rPr>
          <w:szCs w:val="24"/>
        </w:rPr>
      </w:pPr>
      <w:proofErr w:type="gramStart"/>
      <w:r>
        <w:rPr>
          <w:szCs w:val="24"/>
        </w:rPr>
        <w:t>PASHLEY, D., LIEWEHR, F., COHEN, S. &amp; HARGREAVES, K. 2006.</w:t>
      </w:r>
      <w:proofErr w:type="gramEnd"/>
      <w:r>
        <w:rPr>
          <w:szCs w:val="24"/>
        </w:rPr>
        <w:t xml:space="preserve"> </w:t>
      </w:r>
      <w:proofErr w:type="gramStart"/>
      <w:r>
        <w:rPr>
          <w:i/>
          <w:iCs/>
          <w:szCs w:val="24"/>
        </w:rPr>
        <w:t>Structure and functions of the dentin-pulp complex.</w:t>
      </w:r>
      <w:proofErr w:type="gramEnd"/>
      <w:r>
        <w:rPr>
          <w:i/>
          <w:iCs/>
          <w:szCs w:val="24"/>
        </w:rPr>
        <w:t xml:space="preserve"> Pathways of the Pulp                            </w:t>
      </w:r>
      <w:r>
        <w:rPr>
          <w:szCs w:val="24"/>
        </w:rPr>
        <w:t>St Louis, MO: Mosby.</w:t>
      </w:r>
    </w:p>
    <w:p w:rsidR="00AD5452" w:rsidRDefault="00AD5452" w:rsidP="00AD5452">
      <w:pPr>
        <w:spacing w:line="480" w:lineRule="auto"/>
        <w:jc w:val="both"/>
        <w:rPr>
          <w:szCs w:val="24"/>
        </w:rPr>
      </w:pPr>
      <w:r>
        <w:rPr>
          <w:szCs w:val="24"/>
        </w:rPr>
        <w:lastRenderedPageBreak/>
        <w:t xml:space="preserve">PASHLEY, D., OKABA, A. &amp; PARHAM, P. 1985. </w:t>
      </w:r>
      <w:proofErr w:type="gramStart"/>
      <w:r>
        <w:rPr>
          <w:szCs w:val="24"/>
        </w:rPr>
        <w:t>The relation between micro-hardness and tubule dentistry.</w:t>
      </w:r>
      <w:proofErr w:type="gramEnd"/>
      <w:r>
        <w:rPr>
          <w:szCs w:val="24"/>
        </w:rPr>
        <w:t xml:space="preserve"> </w:t>
      </w:r>
      <w:r>
        <w:rPr>
          <w:i/>
          <w:iCs/>
          <w:szCs w:val="24"/>
        </w:rPr>
        <w:t>Endodontic Dental Traumatology,</w:t>
      </w:r>
      <w:r>
        <w:rPr>
          <w:szCs w:val="24"/>
        </w:rPr>
        <w:t xml:space="preserve"> 1</w:t>
      </w:r>
      <w:r>
        <w:rPr>
          <w:b/>
          <w:bCs/>
          <w:szCs w:val="24"/>
        </w:rPr>
        <w:t>,</w:t>
      </w:r>
      <w:r>
        <w:rPr>
          <w:szCs w:val="24"/>
        </w:rPr>
        <w:t xml:space="preserve"> 176-185.</w:t>
      </w:r>
    </w:p>
    <w:p w:rsidR="00AD5452" w:rsidRDefault="00AD5452" w:rsidP="00AD5452">
      <w:pPr>
        <w:spacing w:line="480" w:lineRule="auto"/>
        <w:jc w:val="both"/>
        <w:rPr>
          <w:szCs w:val="24"/>
        </w:rPr>
      </w:pPr>
      <w:r>
        <w:rPr>
          <w:szCs w:val="24"/>
        </w:rPr>
        <w:t xml:space="preserve">PATTERSON, S. 1963. In vivoand in vitro studies of sodium salts of the ethylenediamine tetra-acetate on human dentine and its endodontic implication. </w:t>
      </w:r>
      <w:r>
        <w:rPr>
          <w:i/>
          <w:iCs/>
          <w:szCs w:val="24"/>
        </w:rPr>
        <w:t>Oral Surg Oral Med Oral Pathol,</w:t>
      </w:r>
      <w:r>
        <w:rPr>
          <w:szCs w:val="24"/>
        </w:rPr>
        <w:t xml:space="preserve"> 16</w:t>
      </w:r>
      <w:r>
        <w:rPr>
          <w:b/>
          <w:bCs/>
          <w:szCs w:val="24"/>
        </w:rPr>
        <w:t>,</w:t>
      </w:r>
      <w:r>
        <w:rPr>
          <w:szCs w:val="24"/>
        </w:rPr>
        <w:t xml:space="preserve"> 83-103.</w:t>
      </w:r>
    </w:p>
    <w:p w:rsidR="00AD5452" w:rsidRDefault="00AD5452" w:rsidP="00AD5452">
      <w:pPr>
        <w:spacing w:line="480" w:lineRule="auto"/>
        <w:jc w:val="both"/>
        <w:rPr>
          <w:szCs w:val="24"/>
        </w:rPr>
      </w:pPr>
      <w:proofErr w:type="gramStart"/>
      <w:r>
        <w:rPr>
          <w:szCs w:val="24"/>
        </w:rPr>
        <w:t>PEREZ, F., FRANCHI, M. &amp; PELI, J. 2001.</w:t>
      </w:r>
      <w:proofErr w:type="gramEnd"/>
      <w:r>
        <w:rPr>
          <w:szCs w:val="24"/>
        </w:rPr>
        <w:t xml:space="preserve"> </w:t>
      </w:r>
      <w:proofErr w:type="gramStart"/>
      <w:r>
        <w:rPr>
          <w:szCs w:val="24"/>
        </w:rPr>
        <w:t>Effect of calcium hydroxide form and placement on root dentine pH.</w:t>
      </w:r>
      <w:proofErr w:type="gramEnd"/>
      <w:r>
        <w:rPr>
          <w:szCs w:val="24"/>
        </w:rPr>
        <w:t xml:space="preserve"> </w:t>
      </w:r>
      <w:r>
        <w:rPr>
          <w:i/>
          <w:iCs/>
          <w:szCs w:val="24"/>
        </w:rPr>
        <w:t>Int Endodo J,</w:t>
      </w:r>
      <w:r>
        <w:rPr>
          <w:szCs w:val="24"/>
        </w:rPr>
        <w:t xml:space="preserve"> 34</w:t>
      </w:r>
      <w:r>
        <w:rPr>
          <w:b/>
          <w:bCs/>
          <w:szCs w:val="24"/>
        </w:rPr>
        <w:t>,</w:t>
      </w:r>
      <w:r>
        <w:rPr>
          <w:szCs w:val="24"/>
        </w:rPr>
        <w:t xml:space="preserve"> 417-423.</w:t>
      </w:r>
    </w:p>
    <w:p w:rsidR="00AD5452" w:rsidRDefault="00AD5452" w:rsidP="00AD5452">
      <w:pPr>
        <w:spacing w:line="480" w:lineRule="auto"/>
        <w:jc w:val="both"/>
        <w:rPr>
          <w:szCs w:val="24"/>
        </w:rPr>
      </w:pPr>
      <w:r>
        <w:rPr>
          <w:szCs w:val="24"/>
        </w:rPr>
        <w:t xml:space="preserve">PETRINO, J., BODA, K., SHAMBARGER, S., BOWLES, W. &amp; MCCLANAHAN, S. 2010. Challenges in Regenerative Endodontics: A Case Series. </w:t>
      </w:r>
      <w:proofErr w:type="gramStart"/>
      <w:r>
        <w:rPr>
          <w:i/>
          <w:iCs/>
          <w:szCs w:val="24"/>
        </w:rPr>
        <w:t>Journal of Endodontics.</w:t>
      </w:r>
      <w:proofErr w:type="gramEnd"/>
      <w:r>
        <w:rPr>
          <w:i/>
          <w:iCs/>
          <w:szCs w:val="24"/>
        </w:rPr>
        <w:t xml:space="preserve"> ,</w:t>
      </w:r>
      <w:r>
        <w:rPr>
          <w:szCs w:val="24"/>
        </w:rPr>
        <w:t xml:space="preserve"> 36</w:t>
      </w:r>
      <w:r>
        <w:rPr>
          <w:b/>
          <w:bCs/>
          <w:szCs w:val="24"/>
        </w:rPr>
        <w:t>,</w:t>
      </w:r>
      <w:r>
        <w:rPr>
          <w:szCs w:val="24"/>
        </w:rPr>
        <w:t xml:space="preserve"> 536-541.</w:t>
      </w:r>
    </w:p>
    <w:p w:rsidR="00AD5452" w:rsidRDefault="00AD5452" w:rsidP="00AD5452">
      <w:pPr>
        <w:spacing w:line="480" w:lineRule="auto"/>
        <w:jc w:val="both"/>
        <w:rPr>
          <w:szCs w:val="24"/>
        </w:rPr>
      </w:pPr>
      <w:proofErr w:type="gramStart"/>
      <w:r>
        <w:rPr>
          <w:szCs w:val="24"/>
        </w:rPr>
        <w:t>PINKY, C., SHASHIBHUSHAN, K. &amp; SUBBAEDDY, V. 2011.</w:t>
      </w:r>
      <w:proofErr w:type="gramEnd"/>
      <w:r>
        <w:rPr>
          <w:szCs w:val="24"/>
        </w:rPr>
        <w:t xml:space="preserve"> </w:t>
      </w:r>
      <w:proofErr w:type="gramStart"/>
      <w:r>
        <w:rPr>
          <w:szCs w:val="24"/>
        </w:rPr>
        <w:t>Endodontic treatment of necrosed primary teeth using two different combinations of antibacterial drugs.</w:t>
      </w:r>
      <w:proofErr w:type="gramEnd"/>
      <w:r>
        <w:rPr>
          <w:szCs w:val="24"/>
        </w:rPr>
        <w:t xml:space="preserve"> </w:t>
      </w:r>
      <w:r>
        <w:rPr>
          <w:i/>
          <w:iCs/>
          <w:szCs w:val="24"/>
        </w:rPr>
        <w:t>J Indian Soc Pedod Prev Dent,</w:t>
      </w:r>
      <w:r>
        <w:rPr>
          <w:szCs w:val="24"/>
        </w:rPr>
        <w:t xml:space="preserve"> 29</w:t>
      </w:r>
      <w:r>
        <w:rPr>
          <w:b/>
          <w:bCs/>
          <w:szCs w:val="24"/>
        </w:rPr>
        <w:t>,</w:t>
      </w:r>
      <w:r>
        <w:rPr>
          <w:szCs w:val="24"/>
        </w:rPr>
        <w:t xml:space="preserve"> 121–7.</w:t>
      </w:r>
    </w:p>
    <w:p w:rsidR="00AD5452" w:rsidRDefault="00AD5452" w:rsidP="00AD5452">
      <w:pPr>
        <w:spacing w:line="480" w:lineRule="auto"/>
        <w:jc w:val="both"/>
        <w:rPr>
          <w:szCs w:val="24"/>
        </w:rPr>
      </w:pPr>
      <w:proofErr w:type="gramStart"/>
      <w:r>
        <w:rPr>
          <w:szCs w:val="24"/>
        </w:rPr>
        <w:t>PITT FORD, T., TORABINEJAD, M., MCKENDRY, D., HONG, C. &amp; S., K. 2002.</w:t>
      </w:r>
      <w:proofErr w:type="gramEnd"/>
      <w:r>
        <w:rPr>
          <w:szCs w:val="24"/>
        </w:rPr>
        <w:t xml:space="preserve"> </w:t>
      </w:r>
      <w:proofErr w:type="gramStart"/>
      <w:r>
        <w:rPr>
          <w:szCs w:val="24"/>
        </w:rPr>
        <w:t>Use of mineral trioxide aggregate for repair of furcal perforations.</w:t>
      </w:r>
      <w:proofErr w:type="gramEnd"/>
      <w:r>
        <w:rPr>
          <w:szCs w:val="24"/>
        </w:rPr>
        <w:t xml:space="preserve"> </w:t>
      </w:r>
      <w:r>
        <w:rPr>
          <w:i/>
          <w:iCs/>
          <w:szCs w:val="24"/>
        </w:rPr>
        <w:t>Oral Surgery, Oral Medicine, Oral Pathology, Oral Radiology and Endodontology,</w:t>
      </w:r>
      <w:r>
        <w:rPr>
          <w:szCs w:val="24"/>
        </w:rPr>
        <w:t xml:space="preserve"> 79</w:t>
      </w:r>
      <w:r>
        <w:rPr>
          <w:b/>
          <w:bCs/>
          <w:szCs w:val="24"/>
        </w:rPr>
        <w:t>,</w:t>
      </w:r>
      <w:r>
        <w:rPr>
          <w:szCs w:val="24"/>
        </w:rPr>
        <w:t xml:space="preserve"> 756-763.</w:t>
      </w:r>
    </w:p>
    <w:p w:rsidR="00AD5452" w:rsidRDefault="00AD5452" w:rsidP="00AD5452">
      <w:pPr>
        <w:spacing w:line="480" w:lineRule="auto"/>
        <w:jc w:val="both"/>
        <w:rPr>
          <w:szCs w:val="24"/>
        </w:rPr>
      </w:pPr>
      <w:proofErr w:type="gramStart"/>
      <w:r>
        <w:rPr>
          <w:szCs w:val="24"/>
        </w:rPr>
        <w:t>PITTS, D., JONES, J. &amp; OSSWALD, R. 1984.</w:t>
      </w:r>
      <w:proofErr w:type="gramEnd"/>
      <w:r>
        <w:rPr>
          <w:szCs w:val="24"/>
        </w:rPr>
        <w:t xml:space="preserve"> </w:t>
      </w:r>
      <w:proofErr w:type="gramStart"/>
      <w:r>
        <w:rPr>
          <w:szCs w:val="24"/>
        </w:rPr>
        <w:t>A histological comparison of calcium hydroxide plugs and dentine plugs used for the control of gutta-percha root canal filling material.</w:t>
      </w:r>
      <w:proofErr w:type="gramEnd"/>
      <w:r>
        <w:rPr>
          <w:szCs w:val="24"/>
        </w:rPr>
        <w:t xml:space="preserve"> </w:t>
      </w:r>
      <w:proofErr w:type="gramStart"/>
      <w:r>
        <w:rPr>
          <w:i/>
          <w:iCs/>
          <w:szCs w:val="24"/>
        </w:rPr>
        <w:t>Journal of Endodontics,</w:t>
      </w:r>
      <w:r>
        <w:rPr>
          <w:szCs w:val="24"/>
        </w:rPr>
        <w:t xml:space="preserve"> 10</w:t>
      </w:r>
      <w:r>
        <w:rPr>
          <w:b/>
          <w:bCs/>
          <w:szCs w:val="24"/>
        </w:rPr>
        <w:t>,</w:t>
      </w:r>
      <w:r>
        <w:rPr>
          <w:szCs w:val="24"/>
        </w:rPr>
        <w:t xml:space="preserve"> 283-93.</w:t>
      </w:r>
      <w:proofErr w:type="gramEnd"/>
    </w:p>
    <w:p w:rsidR="00AD5452" w:rsidRDefault="00AD5452" w:rsidP="00AD5452">
      <w:pPr>
        <w:spacing w:line="480" w:lineRule="auto"/>
        <w:jc w:val="both"/>
        <w:rPr>
          <w:szCs w:val="24"/>
        </w:rPr>
      </w:pPr>
      <w:proofErr w:type="gramStart"/>
      <w:r>
        <w:rPr>
          <w:szCs w:val="24"/>
        </w:rPr>
        <w:t>PORTENIER, I., HAAPASALO, H., RYE, A., WALTIMO, T., ØRSTAVIK, D. &amp; HAAPASALO, M. 2001.</w:t>
      </w:r>
      <w:proofErr w:type="gramEnd"/>
      <w:r>
        <w:rPr>
          <w:szCs w:val="24"/>
        </w:rPr>
        <w:t xml:space="preserve"> </w:t>
      </w:r>
      <w:proofErr w:type="gramStart"/>
      <w:r>
        <w:rPr>
          <w:szCs w:val="24"/>
        </w:rPr>
        <w:t>Inactivation of root canal medicaments by dentine, hydroxyapatite and bovine serum albumin.</w:t>
      </w:r>
      <w:proofErr w:type="gramEnd"/>
      <w:r>
        <w:rPr>
          <w:szCs w:val="24"/>
        </w:rPr>
        <w:t xml:space="preserve"> . </w:t>
      </w:r>
      <w:r>
        <w:rPr>
          <w:i/>
          <w:iCs/>
          <w:szCs w:val="24"/>
        </w:rPr>
        <w:t xml:space="preserve">Int Endod J </w:t>
      </w:r>
      <w:r>
        <w:rPr>
          <w:szCs w:val="24"/>
        </w:rPr>
        <w:t>34</w:t>
      </w:r>
      <w:r>
        <w:rPr>
          <w:b/>
          <w:bCs/>
          <w:szCs w:val="24"/>
        </w:rPr>
        <w:t>,</w:t>
      </w:r>
      <w:r>
        <w:rPr>
          <w:szCs w:val="24"/>
        </w:rPr>
        <w:t xml:space="preserve"> 184–8.</w:t>
      </w:r>
    </w:p>
    <w:p w:rsidR="00AD5452" w:rsidRDefault="00AD5452" w:rsidP="00AD5452">
      <w:pPr>
        <w:spacing w:line="480" w:lineRule="auto"/>
        <w:jc w:val="both"/>
        <w:rPr>
          <w:szCs w:val="24"/>
        </w:rPr>
      </w:pPr>
      <w:proofErr w:type="gramStart"/>
      <w:r>
        <w:rPr>
          <w:szCs w:val="24"/>
        </w:rPr>
        <w:lastRenderedPageBreak/>
        <w:t>PRADHAN, D., CHAWLA, H., K., G. &amp; GOYAL, A. 2006.</w:t>
      </w:r>
      <w:proofErr w:type="gramEnd"/>
      <w:r>
        <w:rPr>
          <w:szCs w:val="24"/>
        </w:rPr>
        <w:t xml:space="preserve"> </w:t>
      </w:r>
      <w:proofErr w:type="gramStart"/>
      <w:r>
        <w:rPr>
          <w:szCs w:val="24"/>
        </w:rPr>
        <w:t>Comparative evaluation of endodontic management of teeth with unformed apices with mineral trioxide aggregate and calcium hydroxide.</w:t>
      </w:r>
      <w:proofErr w:type="gramEnd"/>
      <w:r>
        <w:rPr>
          <w:szCs w:val="24"/>
        </w:rPr>
        <w:t xml:space="preserve"> </w:t>
      </w:r>
      <w:r>
        <w:rPr>
          <w:i/>
          <w:iCs/>
          <w:szCs w:val="24"/>
        </w:rPr>
        <w:t>Journal of Dentistry for Children,</w:t>
      </w:r>
      <w:r>
        <w:rPr>
          <w:szCs w:val="24"/>
        </w:rPr>
        <w:t xml:space="preserve"> 73</w:t>
      </w:r>
      <w:r>
        <w:rPr>
          <w:b/>
          <w:bCs/>
          <w:szCs w:val="24"/>
        </w:rPr>
        <w:t>,</w:t>
      </w:r>
      <w:r>
        <w:rPr>
          <w:szCs w:val="24"/>
        </w:rPr>
        <w:t xml:space="preserve"> 79–85.</w:t>
      </w:r>
    </w:p>
    <w:p w:rsidR="00AD5452" w:rsidRDefault="00AD5452" w:rsidP="00AD5452">
      <w:pPr>
        <w:spacing w:line="480" w:lineRule="auto"/>
        <w:jc w:val="both"/>
        <w:rPr>
          <w:szCs w:val="24"/>
        </w:rPr>
      </w:pPr>
      <w:proofErr w:type="gramStart"/>
      <w:r>
        <w:rPr>
          <w:szCs w:val="24"/>
        </w:rPr>
        <w:t>QUISPE-SALCEDO, A., IDA-YONEMOCHI, H. &amp; OHSHIMA, H. 2013.</w:t>
      </w:r>
      <w:proofErr w:type="gramEnd"/>
      <w:r>
        <w:rPr>
          <w:szCs w:val="24"/>
        </w:rPr>
        <w:t xml:space="preserve"> Use of a triple antibiotic solution affects the healing process of intentionally delayed replanted teeth in mice. </w:t>
      </w:r>
      <w:r>
        <w:rPr>
          <w:i/>
          <w:iCs/>
          <w:szCs w:val="24"/>
        </w:rPr>
        <w:t>Journal of Oral Biosciences,</w:t>
      </w:r>
      <w:r>
        <w:rPr>
          <w:szCs w:val="24"/>
        </w:rPr>
        <w:t xml:space="preserve"> 55</w:t>
      </w:r>
      <w:r>
        <w:rPr>
          <w:b/>
          <w:bCs/>
          <w:szCs w:val="24"/>
        </w:rPr>
        <w:t>,</w:t>
      </w:r>
      <w:r>
        <w:rPr>
          <w:szCs w:val="24"/>
        </w:rPr>
        <w:t xml:space="preserve"> 91–100.</w:t>
      </w:r>
    </w:p>
    <w:p w:rsidR="00AD5452" w:rsidRDefault="00AD5452" w:rsidP="00AD5452">
      <w:pPr>
        <w:spacing w:line="480" w:lineRule="auto"/>
        <w:jc w:val="both"/>
        <w:rPr>
          <w:szCs w:val="24"/>
        </w:rPr>
      </w:pPr>
      <w:proofErr w:type="gramStart"/>
      <w:r>
        <w:rPr>
          <w:szCs w:val="24"/>
        </w:rPr>
        <w:t>RAFTER, M. 2005.</w:t>
      </w:r>
      <w:proofErr w:type="gramEnd"/>
      <w:r>
        <w:rPr>
          <w:szCs w:val="24"/>
        </w:rPr>
        <w:t xml:space="preserve"> Apexification: a review </w:t>
      </w:r>
      <w:r>
        <w:rPr>
          <w:i/>
          <w:iCs/>
          <w:szCs w:val="24"/>
        </w:rPr>
        <w:t xml:space="preserve">Dental Traumatology </w:t>
      </w:r>
      <w:r>
        <w:rPr>
          <w:szCs w:val="24"/>
        </w:rPr>
        <w:t>21</w:t>
      </w:r>
      <w:r>
        <w:rPr>
          <w:b/>
          <w:bCs/>
          <w:szCs w:val="24"/>
        </w:rPr>
        <w:t>,</w:t>
      </w:r>
      <w:r>
        <w:rPr>
          <w:szCs w:val="24"/>
        </w:rPr>
        <w:t xml:space="preserve"> 1-8.</w:t>
      </w:r>
    </w:p>
    <w:p w:rsidR="00AD5452" w:rsidRDefault="00AD5452" w:rsidP="00AD5452">
      <w:pPr>
        <w:spacing w:line="480" w:lineRule="auto"/>
        <w:jc w:val="both"/>
        <w:rPr>
          <w:szCs w:val="24"/>
        </w:rPr>
      </w:pPr>
      <w:proofErr w:type="gramStart"/>
      <w:r>
        <w:rPr>
          <w:szCs w:val="24"/>
        </w:rPr>
        <w:t>RAMS, T., FEIK, D. &amp; SLOTS, J. 1992.</w:t>
      </w:r>
      <w:proofErr w:type="gramEnd"/>
      <w:r>
        <w:rPr>
          <w:szCs w:val="24"/>
        </w:rPr>
        <w:t xml:space="preserve"> </w:t>
      </w:r>
      <w:proofErr w:type="gramStart"/>
      <w:r>
        <w:rPr>
          <w:szCs w:val="24"/>
        </w:rPr>
        <w:t>Ciproflacin/metronidazole treatment of recurrent adult periodontitis.</w:t>
      </w:r>
      <w:proofErr w:type="gramEnd"/>
      <w:r>
        <w:rPr>
          <w:szCs w:val="24"/>
        </w:rPr>
        <w:t xml:space="preserve"> </w:t>
      </w:r>
      <w:proofErr w:type="gramStart"/>
      <w:r>
        <w:rPr>
          <w:i/>
          <w:iCs/>
          <w:szCs w:val="24"/>
        </w:rPr>
        <w:t xml:space="preserve">J Dent Rest                 </w:t>
      </w:r>
      <w:r>
        <w:rPr>
          <w:szCs w:val="24"/>
        </w:rPr>
        <w:t>71</w:t>
      </w:r>
      <w:r>
        <w:rPr>
          <w:b/>
          <w:bCs/>
          <w:szCs w:val="24"/>
        </w:rPr>
        <w:t>,</w:t>
      </w:r>
      <w:r>
        <w:rPr>
          <w:szCs w:val="24"/>
        </w:rPr>
        <w:t xml:space="preserve"> 319.</w:t>
      </w:r>
      <w:proofErr w:type="gramEnd"/>
    </w:p>
    <w:p w:rsidR="00AD5452" w:rsidRDefault="00AD5452" w:rsidP="00AD5452">
      <w:pPr>
        <w:spacing w:line="480" w:lineRule="auto"/>
        <w:jc w:val="both"/>
        <w:rPr>
          <w:szCs w:val="24"/>
        </w:rPr>
      </w:pPr>
      <w:r>
        <w:rPr>
          <w:szCs w:val="24"/>
        </w:rPr>
        <w:t xml:space="preserve">RAVN, J. 1981. Follow-up study of permanent incisors with enamel fractures as a result of an acute trauma. . </w:t>
      </w:r>
      <w:r>
        <w:rPr>
          <w:i/>
          <w:iCs/>
          <w:szCs w:val="24"/>
        </w:rPr>
        <w:t xml:space="preserve">Scand J Dent Res </w:t>
      </w:r>
      <w:r>
        <w:rPr>
          <w:szCs w:val="24"/>
        </w:rPr>
        <w:t>89</w:t>
      </w:r>
      <w:r>
        <w:rPr>
          <w:b/>
          <w:bCs/>
          <w:szCs w:val="24"/>
        </w:rPr>
        <w:t>,</w:t>
      </w:r>
      <w:r>
        <w:rPr>
          <w:szCs w:val="24"/>
        </w:rPr>
        <w:t xml:space="preserve"> 213-217.</w:t>
      </w:r>
    </w:p>
    <w:p w:rsidR="00AD5452" w:rsidRDefault="00AD5452" w:rsidP="00AD5452">
      <w:pPr>
        <w:spacing w:line="480" w:lineRule="auto"/>
        <w:jc w:val="both"/>
        <w:rPr>
          <w:szCs w:val="24"/>
        </w:rPr>
      </w:pPr>
      <w:r>
        <w:rPr>
          <w:szCs w:val="24"/>
        </w:rPr>
        <w:t xml:space="preserve">REVIEW MANAGER (REVMAN) [COMPUTER PROGRAM]. </w:t>
      </w:r>
      <w:proofErr w:type="gramStart"/>
      <w:r>
        <w:rPr>
          <w:szCs w:val="24"/>
        </w:rPr>
        <w:t>VERSION 4.2 FOR WINDOWS.</w:t>
      </w:r>
      <w:proofErr w:type="gramEnd"/>
      <w:r>
        <w:rPr>
          <w:szCs w:val="24"/>
        </w:rPr>
        <w:t xml:space="preserve"> COPENHAGEN: THE NORDIC COCHRANE CENTRE, T. C. C. 2003.</w:t>
      </w:r>
    </w:p>
    <w:p w:rsidR="00AD5452" w:rsidRDefault="00AD5452" w:rsidP="00AD5452">
      <w:pPr>
        <w:spacing w:line="480" w:lineRule="auto"/>
        <w:jc w:val="both"/>
        <w:rPr>
          <w:szCs w:val="24"/>
        </w:rPr>
      </w:pPr>
      <w:proofErr w:type="gramStart"/>
      <w:r>
        <w:rPr>
          <w:szCs w:val="24"/>
        </w:rPr>
        <w:t>REYNAUD A, GEIJERSSTAM A &amp; R, C. 2007.</w:t>
      </w:r>
      <w:proofErr w:type="gramEnd"/>
      <w:r>
        <w:rPr>
          <w:szCs w:val="24"/>
        </w:rPr>
        <w:t xml:space="preserve"> Comparative analysis of virulence determinants and mass spectral profiles of Finnish and Lithuanian endodontic Enterococcus faecalis isolates. </w:t>
      </w:r>
      <w:r>
        <w:rPr>
          <w:i/>
          <w:iCs/>
          <w:szCs w:val="24"/>
        </w:rPr>
        <w:t xml:space="preserve">Oral Microbiol Immunol </w:t>
      </w:r>
      <w:r>
        <w:rPr>
          <w:szCs w:val="24"/>
        </w:rPr>
        <w:t>22</w:t>
      </w:r>
      <w:r>
        <w:rPr>
          <w:b/>
          <w:bCs/>
          <w:szCs w:val="24"/>
        </w:rPr>
        <w:t>,</w:t>
      </w:r>
      <w:r>
        <w:rPr>
          <w:szCs w:val="24"/>
        </w:rPr>
        <w:t xml:space="preserve"> 87–94.</w:t>
      </w:r>
    </w:p>
    <w:p w:rsidR="00AD5452" w:rsidRDefault="00AD5452" w:rsidP="00AD5452">
      <w:pPr>
        <w:spacing w:line="480" w:lineRule="auto"/>
        <w:jc w:val="both"/>
        <w:rPr>
          <w:szCs w:val="24"/>
        </w:rPr>
      </w:pPr>
      <w:proofErr w:type="gramStart"/>
      <w:r>
        <w:rPr>
          <w:szCs w:val="24"/>
        </w:rPr>
        <w:t>REYNOLDS, K., JOHNSON, J. &amp; COHENCA, N. 2009.</w:t>
      </w:r>
      <w:proofErr w:type="gramEnd"/>
      <w:r>
        <w:rPr>
          <w:szCs w:val="24"/>
        </w:rPr>
        <w:t xml:space="preserve"> Pulp revascularization of necrotic bilateral bicuspids using a modified novel technique to eliminate potential coronal discolouration: a case report. </w:t>
      </w:r>
      <w:r>
        <w:rPr>
          <w:i/>
          <w:iCs/>
          <w:szCs w:val="24"/>
        </w:rPr>
        <w:t>International Endodontic Journal,</w:t>
      </w:r>
      <w:r>
        <w:rPr>
          <w:szCs w:val="24"/>
        </w:rPr>
        <w:t xml:space="preserve"> 42</w:t>
      </w:r>
      <w:r>
        <w:rPr>
          <w:b/>
          <w:bCs/>
          <w:szCs w:val="24"/>
        </w:rPr>
        <w:t>,</w:t>
      </w:r>
      <w:r>
        <w:rPr>
          <w:szCs w:val="24"/>
        </w:rPr>
        <w:t xml:space="preserve"> 84-92.</w:t>
      </w:r>
    </w:p>
    <w:p w:rsidR="00AD5452" w:rsidRDefault="00AD5452" w:rsidP="00AD5452">
      <w:pPr>
        <w:spacing w:line="480" w:lineRule="auto"/>
        <w:jc w:val="both"/>
        <w:rPr>
          <w:szCs w:val="24"/>
        </w:rPr>
      </w:pPr>
      <w:r>
        <w:rPr>
          <w:szCs w:val="24"/>
        </w:rPr>
        <w:lastRenderedPageBreak/>
        <w:t xml:space="preserve">RITTER, A., RITTER, A., MURRAH, V., SIGURDSSON, A. &amp; TROPE, M. 2004. </w:t>
      </w:r>
      <w:proofErr w:type="gramStart"/>
      <w:r>
        <w:rPr>
          <w:szCs w:val="24"/>
        </w:rPr>
        <w:t>Pulp revascularization of re-planted immature dog teeth after treatment with minocycline and doxycy- cline as-sessed by laser Doppler flowmetry, radiography, and histology.</w:t>
      </w:r>
      <w:proofErr w:type="gramEnd"/>
      <w:r>
        <w:rPr>
          <w:szCs w:val="24"/>
        </w:rPr>
        <w:t xml:space="preserve"> </w:t>
      </w:r>
      <w:r>
        <w:rPr>
          <w:i/>
          <w:iCs/>
          <w:szCs w:val="24"/>
        </w:rPr>
        <w:t>Dent Traumatology,</w:t>
      </w:r>
      <w:r>
        <w:rPr>
          <w:szCs w:val="24"/>
        </w:rPr>
        <w:t xml:space="preserve"> 20</w:t>
      </w:r>
      <w:r>
        <w:rPr>
          <w:b/>
          <w:bCs/>
          <w:szCs w:val="24"/>
        </w:rPr>
        <w:t>,</w:t>
      </w:r>
      <w:r>
        <w:rPr>
          <w:szCs w:val="24"/>
        </w:rPr>
        <w:t xml:space="preserve"> 75–84.</w:t>
      </w:r>
    </w:p>
    <w:p w:rsidR="00AD5452" w:rsidRDefault="00AD5452" w:rsidP="00AD5452">
      <w:pPr>
        <w:spacing w:line="480" w:lineRule="auto"/>
        <w:jc w:val="both"/>
        <w:rPr>
          <w:szCs w:val="24"/>
        </w:rPr>
      </w:pPr>
      <w:proofErr w:type="gramStart"/>
      <w:r>
        <w:rPr>
          <w:szCs w:val="24"/>
        </w:rPr>
        <w:t>ROBERTS, H., TOTH, J., BERZINS, D. &amp; CHARLTON, D. 2008.</w:t>
      </w:r>
      <w:proofErr w:type="gramEnd"/>
      <w:r>
        <w:rPr>
          <w:szCs w:val="24"/>
        </w:rPr>
        <w:t xml:space="preserve"> Mineral trioxide aggregate material use in endodontic treatment: a review of the literature. </w:t>
      </w:r>
      <w:r>
        <w:rPr>
          <w:i/>
          <w:iCs/>
          <w:szCs w:val="24"/>
        </w:rPr>
        <w:t xml:space="preserve">Dent Mater </w:t>
      </w:r>
      <w:r>
        <w:rPr>
          <w:szCs w:val="24"/>
        </w:rPr>
        <w:t>24</w:t>
      </w:r>
      <w:r>
        <w:rPr>
          <w:b/>
          <w:bCs/>
          <w:szCs w:val="24"/>
        </w:rPr>
        <w:t>,</w:t>
      </w:r>
      <w:r>
        <w:rPr>
          <w:szCs w:val="24"/>
        </w:rPr>
        <w:t xml:space="preserve"> 149-164.</w:t>
      </w:r>
    </w:p>
    <w:p w:rsidR="00AD5452" w:rsidRDefault="00AD5452" w:rsidP="00AD5452">
      <w:pPr>
        <w:spacing w:line="480" w:lineRule="auto"/>
        <w:jc w:val="both"/>
        <w:rPr>
          <w:szCs w:val="24"/>
        </w:rPr>
      </w:pPr>
      <w:proofErr w:type="gramStart"/>
      <w:r>
        <w:rPr>
          <w:szCs w:val="24"/>
        </w:rPr>
        <w:t>ROBERTS, S. &amp; BRILLIANT, J. 1975.</w:t>
      </w:r>
      <w:proofErr w:type="gramEnd"/>
      <w:r>
        <w:rPr>
          <w:szCs w:val="24"/>
        </w:rPr>
        <w:t xml:space="preserve"> Tricalcium phosphate as an adjunct to apical closure </w:t>
      </w:r>
      <w:proofErr w:type="gramStart"/>
      <w:r>
        <w:rPr>
          <w:szCs w:val="24"/>
        </w:rPr>
        <w:t>in  pulpless</w:t>
      </w:r>
      <w:proofErr w:type="gramEnd"/>
      <w:r>
        <w:rPr>
          <w:szCs w:val="24"/>
        </w:rPr>
        <w:t xml:space="preserve"> permanent teeth. .</w:t>
      </w:r>
      <w:r>
        <w:rPr>
          <w:i/>
          <w:iCs/>
          <w:szCs w:val="24"/>
        </w:rPr>
        <w:t xml:space="preserve"> </w:t>
      </w:r>
      <w:proofErr w:type="gramStart"/>
      <w:r>
        <w:rPr>
          <w:i/>
          <w:iCs/>
          <w:szCs w:val="24"/>
        </w:rPr>
        <w:t>Journal of Endodontics,</w:t>
      </w:r>
      <w:r>
        <w:rPr>
          <w:szCs w:val="24"/>
        </w:rPr>
        <w:t xml:space="preserve"> 1</w:t>
      </w:r>
      <w:r>
        <w:rPr>
          <w:b/>
          <w:bCs/>
          <w:szCs w:val="24"/>
        </w:rPr>
        <w:t>,</w:t>
      </w:r>
      <w:r>
        <w:rPr>
          <w:szCs w:val="24"/>
        </w:rPr>
        <w:t xml:space="preserve"> 263-9.</w:t>
      </w:r>
      <w:proofErr w:type="gramEnd"/>
    </w:p>
    <w:p w:rsidR="00AD5452" w:rsidRDefault="00AD5452" w:rsidP="00AD5452">
      <w:pPr>
        <w:spacing w:line="480" w:lineRule="auto"/>
        <w:jc w:val="both"/>
        <w:rPr>
          <w:szCs w:val="24"/>
        </w:rPr>
      </w:pPr>
      <w:proofErr w:type="gramStart"/>
      <w:r>
        <w:rPr>
          <w:szCs w:val="24"/>
        </w:rPr>
        <w:t>ROCHE, Y. &amp; YOSHIMORI, R. 1997.</w:t>
      </w:r>
      <w:proofErr w:type="gramEnd"/>
      <w:r>
        <w:rPr>
          <w:szCs w:val="24"/>
        </w:rPr>
        <w:t xml:space="preserve"> In vitro activity of spiramycin and metronidazole alone or in combination against clinical isolates from odontogenic abscesses. </w:t>
      </w:r>
      <w:r>
        <w:rPr>
          <w:i/>
          <w:iCs/>
          <w:szCs w:val="24"/>
        </w:rPr>
        <w:t>J Antimicrob Chemother,</w:t>
      </w:r>
      <w:r>
        <w:rPr>
          <w:szCs w:val="24"/>
        </w:rPr>
        <w:t xml:space="preserve"> 40</w:t>
      </w:r>
      <w:r>
        <w:rPr>
          <w:b/>
          <w:bCs/>
          <w:szCs w:val="24"/>
        </w:rPr>
        <w:t>,</w:t>
      </w:r>
      <w:r>
        <w:rPr>
          <w:szCs w:val="24"/>
        </w:rPr>
        <w:t xml:space="preserve"> 353e377.</w:t>
      </w:r>
    </w:p>
    <w:p w:rsidR="00AD5452" w:rsidRDefault="00AD5452" w:rsidP="00AD5452">
      <w:pPr>
        <w:spacing w:line="480" w:lineRule="auto"/>
        <w:jc w:val="both"/>
        <w:rPr>
          <w:szCs w:val="24"/>
        </w:rPr>
      </w:pPr>
      <w:proofErr w:type="gramStart"/>
      <w:r>
        <w:rPr>
          <w:szCs w:val="24"/>
        </w:rPr>
        <w:t>ROSENBERG, B., MURRAY, P. &amp; NAMEROW, K. 2007.</w:t>
      </w:r>
      <w:proofErr w:type="gramEnd"/>
      <w:r>
        <w:rPr>
          <w:szCs w:val="24"/>
        </w:rPr>
        <w:t xml:space="preserve"> </w:t>
      </w:r>
      <w:proofErr w:type="gramStart"/>
      <w:r>
        <w:rPr>
          <w:szCs w:val="24"/>
        </w:rPr>
        <w:t>The effect of calcium hydroxide root filling on dentin fracture strength.</w:t>
      </w:r>
      <w:proofErr w:type="gramEnd"/>
      <w:r>
        <w:rPr>
          <w:szCs w:val="24"/>
        </w:rPr>
        <w:t xml:space="preserve"> </w:t>
      </w:r>
      <w:r>
        <w:rPr>
          <w:i/>
          <w:iCs/>
          <w:szCs w:val="24"/>
        </w:rPr>
        <w:t>Dental Traumatology,</w:t>
      </w:r>
      <w:r>
        <w:rPr>
          <w:szCs w:val="24"/>
        </w:rPr>
        <w:t xml:space="preserve"> 23</w:t>
      </w:r>
      <w:r>
        <w:rPr>
          <w:b/>
          <w:bCs/>
          <w:szCs w:val="24"/>
        </w:rPr>
        <w:t>,</w:t>
      </w:r>
      <w:r>
        <w:rPr>
          <w:szCs w:val="24"/>
        </w:rPr>
        <w:t xml:space="preserve"> 26-29.</w:t>
      </w:r>
    </w:p>
    <w:p w:rsidR="00AD5452" w:rsidRDefault="00AD5452" w:rsidP="00AD5452">
      <w:pPr>
        <w:spacing w:line="480" w:lineRule="auto"/>
        <w:jc w:val="both"/>
        <w:rPr>
          <w:szCs w:val="24"/>
        </w:rPr>
      </w:pPr>
      <w:proofErr w:type="gramStart"/>
      <w:r>
        <w:rPr>
          <w:szCs w:val="24"/>
        </w:rPr>
        <w:t>RULE, D. &amp; WINTER, G. 1966.</w:t>
      </w:r>
      <w:proofErr w:type="gramEnd"/>
      <w:r>
        <w:rPr>
          <w:szCs w:val="24"/>
        </w:rPr>
        <w:t xml:space="preserve"> Root growth and apical repair subsequent to pulpal necrosis in children. </w:t>
      </w:r>
      <w:proofErr w:type="gramStart"/>
      <w:r>
        <w:rPr>
          <w:i/>
          <w:iCs/>
          <w:szCs w:val="24"/>
        </w:rPr>
        <w:t>British Dental Journal,</w:t>
      </w:r>
      <w:r>
        <w:rPr>
          <w:szCs w:val="24"/>
        </w:rPr>
        <w:t xml:space="preserve"> 120</w:t>
      </w:r>
      <w:r>
        <w:rPr>
          <w:b/>
          <w:bCs/>
          <w:szCs w:val="24"/>
        </w:rPr>
        <w:t>,</w:t>
      </w:r>
      <w:r>
        <w:rPr>
          <w:szCs w:val="24"/>
        </w:rPr>
        <w:t xml:space="preserve"> 586-90.</w:t>
      </w:r>
      <w:proofErr w:type="gramEnd"/>
    </w:p>
    <w:p w:rsidR="00AD5452" w:rsidRDefault="00AD5452" w:rsidP="00AD5452">
      <w:pPr>
        <w:spacing w:line="480" w:lineRule="auto"/>
        <w:jc w:val="both"/>
        <w:rPr>
          <w:szCs w:val="24"/>
        </w:rPr>
      </w:pPr>
      <w:proofErr w:type="gramStart"/>
      <w:r>
        <w:rPr>
          <w:szCs w:val="24"/>
        </w:rPr>
        <w:t>RUNGVECHVUTTIVITTAYA, S., OKIJI, T. &amp; SUDA, H. 1998.</w:t>
      </w:r>
      <w:proofErr w:type="gramEnd"/>
      <w:r>
        <w:rPr>
          <w:szCs w:val="24"/>
        </w:rPr>
        <w:t xml:space="preserve"> </w:t>
      </w:r>
      <w:proofErr w:type="gramStart"/>
      <w:r>
        <w:rPr>
          <w:szCs w:val="24"/>
        </w:rPr>
        <w:t>Responses of macrophage-associated antigen expressing cells in the dental pulp of rat molars to experimental tooth replantation.</w:t>
      </w:r>
      <w:proofErr w:type="gramEnd"/>
      <w:r>
        <w:rPr>
          <w:szCs w:val="24"/>
        </w:rPr>
        <w:t xml:space="preserve"> </w:t>
      </w:r>
      <w:proofErr w:type="gramStart"/>
      <w:r>
        <w:rPr>
          <w:i/>
          <w:iCs/>
          <w:szCs w:val="24"/>
        </w:rPr>
        <w:t>Arch Oral Biol,</w:t>
      </w:r>
      <w:r>
        <w:rPr>
          <w:szCs w:val="24"/>
        </w:rPr>
        <w:t xml:space="preserve"> 43</w:t>
      </w:r>
      <w:r>
        <w:rPr>
          <w:b/>
          <w:bCs/>
          <w:szCs w:val="24"/>
        </w:rPr>
        <w:t>,</w:t>
      </w:r>
      <w:r>
        <w:rPr>
          <w:szCs w:val="24"/>
        </w:rPr>
        <w:t xml:space="preserve"> 701–10.</w:t>
      </w:r>
      <w:proofErr w:type="gramEnd"/>
    </w:p>
    <w:p w:rsidR="00AD5452" w:rsidRDefault="00AD5452" w:rsidP="00AD5452">
      <w:pPr>
        <w:spacing w:line="480" w:lineRule="auto"/>
        <w:jc w:val="both"/>
        <w:rPr>
          <w:szCs w:val="24"/>
        </w:rPr>
      </w:pPr>
      <w:proofErr w:type="gramStart"/>
      <w:r>
        <w:rPr>
          <w:szCs w:val="24"/>
        </w:rPr>
        <w:t>RUPAREL, N., TEIXEIRA, F., FERRAZ, C. &amp; DIOGENES, A. 2012.</w:t>
      </w:r>
      <w:proofErr w:type="gramEnd"/>
      <w:r>
        <w:rPr>
          <w:szCs w:val="24"/>
        </w:rPr>
        <w:t xml:space="preserve"> </w:t>
      </w:r>
      <w:proofErr w:type="gramStart"/>
      <w:r>
        <w:rPr>
          <w:szCs w:val="24"/>
        </w:rPr>
        <w:t>Directeffectofintracanal medicaments onsurvivalofstemcellsoftheapicalpapilla.</w:t>
      </w:r>
      <w:proofErr w:type="gramEnd"/>
      <w:r>
        <w:rPr>
          <w:szCs w:val="24"/>
        </w:rPr>
        <w:t xml:space="preserve"> </w:t>
      </w:r>
      <w:proofErr w:type="gramStart"/>
      <w:r>
        <w:rPr>
          <w:i/>
          <w:iCs/>
          <w:szCs w:val="24"/>
        </w:rPr>
        <w:t>JEndod,</w:t>
      </w:r>
      <w:r>
        <w:rPr>
          <w:szCs w:val="24"/>
        </w:rPr>
        <w:t xml:space="preserve"> 38</w:t>
      </w:r>
      <w:r>
        <w:rPr>
          <w:b/>
          <w:bCs/>
          <w:szCs w:val="24"/>
        </w:rPr>
        <w:t>,</w:t>
      </w:r>
      <w:r>
        <w:rPr>
          <w:szCs w:val="24"/>
        </w:rPr>
        <w:t xml:space="preserve"> 1372–5.</w:t>
      </w:r>
      <w:proofErr w:type="gramEnd"/>
    </w:p>
    <w:p w:rsidR="00AD5452" w:rsidRDefault="00AD5452" w:rsidP="00AD5452">
      <w:pPr>
        <w:spacing w:line="480" w:lineRule="auto"/>
        <w:jc w:val="both"/>
        <w:rPr>
          <w:szCs w:val="24"/>
        </w:rPr>
      </w:pPr>
      <w:proofErr w:type="gramStart"/>
      <w:r>
        <w:rPr>
          <w:szCs w:val="24"/>
        </w:rPr>
        <w:lastRenderedPageBreak/>
        <w:t>SAIDON, J., HE, J., ZHU, Q. &amp; SAFAVI, K. 2003.</w:t>
      </w:r>
      <w:proofErr w:type="gramEnd"/>
      <w:r>
        <w:rPr>
          <w:szCs w:val="24"/>
        </w:rPr>
        <w:t xml:space="preserve"> </w:t>
      </w:r>
      <w:proofErr w:type="gramStart"/>
      <w:r>
        <w:rPr>
          <w:szCs w:val="24"/>
        </w:rPr>
        <w:t>Cell and tissue reactions to mineral trioxide aggregate and Portland cement.</w:t>
      </w:r>
      <w:proofErr w:type="gramEnd"/>
      <w:r>
        <w:rPr>
          <w:szCs w:val="24"/>
        </w:rPr>
        <w:t xml:space="preserve"> </w:t>
      </w:r>
      <w:r>
        <w:rPr>
          <w:i/>
          <w:iCs/>
          <w:szCs w:val="24"/>
        </w:rPr>
        <w:t>Oral Surg Oral Med Oral Pathol Oral Radiol Endod,</w:t>
      </w:r>
      <w:r>
        <w:rPr>
          <w:szCs w:val="24"/>
        </w:rPr>
        <w:t xml:space="preserve"> 95</w:t>
      </w:r>
      <w:r>
        <w:rPr>
          <w:b/>
          <w:bCs/>
          <w:szCs w:val="24"/>
        </w:rPr>
        <w:t>,</w:t>
      </w:r>
      <w:r>
        <w:rPr>
          <w:szCs w:val="24"/>
        </w:rPr>
        <w:t xml:space="preserve"> 483-489</w:t>
      </w:r>
    </w:p>
    <w:p w:rsidR="00AD5452" w:rsidRDefault="00AD5452" w:rsidP="00AD5452">
      <w:pPr>
        <w:spacing w:line="480" w:lineRule="auto"/>
        <w:jc w:val="both"/>
        <w:rPr>
          <w:szCs w:val="24"/>
        </w:rPr>
      </w:pPr>
    </w:p>
    <w:p w:rsidR="00AD5452" w:rsidRDefault="00AD5452" w:rsidP="00AD5452">
      <w:pPr>
        <w:spacing w:line="480" w:lineRule="auto"/>
        <w:jc w:val="both"/>
        <w:rPr>
          <w:szCs w:val="24"/>
        </w:rPr>
      </w:pPr>
      <w:proofErr w:type="gramStart"/>
      <w:r>
        <w:rPr>
          <w:szCs w:val="24"/>
        </w:rPr>
        <w:t>SANTOS, A., MORAES, J., ARAUHO, E., YUKIMITY, K. &amp; FILHO, V. 2005.</w:t>
      </w:r>
      <w:proofErr w:type="gramEnd"/>
      <w:r>
        <w:rPr>
          <w:szCs w:val="24"/>
        </w:rPr>
        <w:t xml:space="preserve"> Physico-chemical properties of MTA and a novel experimental cement. </w:t>
      </w:r>
      <w:r>
        <w:rPr>
          <w:i/>
          <w:iCs/>
          <w:szCs w:val="24"/>
        </w:rPr>
        <w:t>Int Endod J,</w:t>
      </w:r>
      <w:r>
        <w:rPr>
          <w:szCs w:val="24"/>
        </w:rPr>
        <w:t xml:space="preserve"> 38</w:t>
      </w:r>
      <w:r>
        <w:rPr>
          <w:b/>
          <w:bCs/>
          <w:szCs w:val="24"/>
        </w:rPr>
        <w:t>,</w:t>
      </w:r>
      <w:r>
        <w:rPr>
          <w:szCs w:val="24"/>
        </w:rPr>
        <w:t xml:space="preserve"> 443-447.</w:t>
      </w:r>
    </w:p>
    <w:p w:rsidR="00AD5452" w:rsidRDefault="00AD5452" w:rsidP="00AD5452">
      <w:pPr>
        <w:spacing w:line="480" w:lineRule="auto"/>
        <w:jc w:val="both"/>
        <w:rPr>
          <w:szCs w:val="24"/>
        </w:rPr>
      </w:pPr>
      <w:proofErr w:type="gramStart"/>
      <w:r>
        <w:rPr>
          <w:szCs w:val="24"/>
        </w:rPr>
        <w:t>SARKAR, N., CAIDEDO, R., TIRWIK, P., MOISEYEVA, R. &amp; KAWASHIMA, I. 2005.</w:t>
      </w:r>
      <w:proofErr w:type="gramEnd"/>
      <w:r>
        <w:rPr>
          <w:szCs w:val="24"/>
        </w:rPr>
        <w:t xml:space="preserve"> </w:t>
      </w:r>
      <w:proofErr w:type="gramStart"/>
      <w:r>
        <w:rPr>
          <w:szCs w:val="24"/>
        </w:rPr>
        <w:t>Physicochemical basis of the biologic properties of mineral trioxide aggregate.</w:t>
      </w:r>
      <w:proofErr w:type="gramEnd"/>
      <w:r>
        <w:rPr>
          <w:szCs w:val="24"/>
        </w:rPr>
        <w:t xml:space="preserve"> </w:t>
      </w:r>
      <w:r>
        <w:rPr>
          <w:i/>
          <w:iCs/>
          <w:szCs w:val="24"/>
        </w:rPr>
        <w:t>J Endod,</w:t>
      </w:r>
      <w:r>
        <w:rPr>
          <w:szCs w:val="24"/>
        </w:rPr>
        <w:t xml:space="preserve"> 21</w:t>
      </w:r>
      <w:r>
        <w:rPr>
          <w:b/>
          <w:bCs/>
          <w:szCs w:val="24"/>
        </w:rPr>
        <w:t>,</w:t>
      </w:r>
      <w:r>
        <w:rPr>
          <w:szCs w:val="24"/>
        </w:rPr>
        <w:t xml:space="preserve"> 731-738.</w:t>
      </w:r>
    </w:p>
    <w:p w:rsidR="00AD5452" w:rsidRDefault="00AD5452" w:rsidP="00AD5452">
      <w:pPr>
        <w:spacing w:line="480" w:lineRule="auto"/>
        <w:jc w:val="both"/>
        <w:rPr>
          <w:szCs w:val="24"/>
        </w:rPr>
      </w:pPr>
      <w:r>
        <w:rPr>
          <w:szCs w:val="24"/>
        </w:rPr>
        <w:t xml:space="preserve">SARRIS, S., TAHMASSEBI, J., DUGGAL, M. &amp; CROSS, I. 2008. A clinical evaluation of mineral trioxide aggregate for root-end closure of non-vital immature permanent incisors in children: a </w:t>
      </w:r>
      <w:proofErr w:type="gramStart"/>
      <w:r>
        <w:rPr>
          <w:szCs w:val="24"/>
        </w:rPr>
        <w:t>pilot  study</w:t>
      </w:r>
      <w:proofErr w:type="gramEnd"/>
      <w:r>
        <w:rPr>
          <w:szCs w:val="24"/>
        </w:rPr>
        <w:t xml:space="preserve">. </w:t>
      </w:r>
      <w:r>
        <w:rPr>
          <w:i/>
          <w:iCs/>
          <w:szCs w:val="24"/>
        </w:rPr>
        <w:t>Dental Traumatology,</w:t>
      </w:r>
      <w:r>
        <w:rPr>
          <w:szCs w:val="24"/>
        </w:rPr>
        <w:t xml:space="preserve"> 24</w:t>
      </w:r>
      <w:r>
        <w:rPr>
          <w:b/>
          <w:bCs/>
          <w:szCs w:val="24"/>
        </w:rPr>
        <w:t>,</w:t>
      </w:r>
      <w:r>
        <w:rPr>
          <w:szCs w:val="24"/>
        </w:rPr>
        <w:t xml:space="preserve"> 79–85.</w:t>
      </w:r>
    </w:p>
    <w:p w:rsidR="00AD5452" w:rsidRDefault="00AD5452" w:rsidP="00AD5452">
      <w:pPr>
        <w:spacing w:line="480" w:lineRule="auto"/>
        <w:jc w:val="both"/>
        <w:rPr>
          <w:szCs w:val="24"/>
        </w:rPr>
      </w:pPr>
      <w:proofErr w:type="gramStart"/>
      <w:r>
        <w:rPr>
          <w:szCs w:val="24"/>
        </w:rPr>
        <w:t>SATO, I., ANDO-KURIHARA, N., KOTA, K., IWAKU, M. &amp; HOSHINO, E. 1996.</w:t>
      </w:r>
      <w:proofErr w:type="gramEnd"/>
      <w:r>
        <w:rPr>
          <w:szCs w:val="24"/>
        </w:rPr>
        <w:t xml:space="preserve"> </w:t>
      </w:r>
      <w:proofErr w:type="gramStart"/>
      <w:r>
        <w:rPr>
          <w:szCs w:val="24"/>
        </w:rPr>
        <w:t>Sterilization of infected root-canal dentine by topical application of a mixture of ciprofloxacin, metronidazole and minocycline in situ.</w:t>
      </w:r>
      <w:proofErr w:type="gramEnd"/>
      <w:r>
        <w:rPr>
          <w:szCs w:val="24"/>
        </w:rPr>
        <w:t xml:space="preserve"> </w:t>
      </w:r>
      <w:r>
        <w:rPr>
          <w:i/>
          <w:iCs/>
          <w:szCs w:val="24"/>
        </w:rPr>
        <w:t>Int Endod J,</w:t>
      </w:r>
      <w:r>
        <w:rPr>
          <w:szCs w:val="24"/>
        </w:rPr>
        <w:t xml:space="preserve"> 29</w:t>
      </w:r>
      <w:r>
        <w:rPr>
          <w:b/>
          <w:bCs/>
          <w:szCs w:val="24"/>
        </w:rPr>
        <w:t>,</w:t>
      </w:r>
      <w:r>
        <w:rPr>
          <w:szCs w:val="24"/>
        </w:rPr>
        <w:t xml:space="preserve"> 118-24.</w:t>
      </w:r>
    </w:p>
    <w:p w:rsidR="00AD5452" w:rsidRDefault="00AD5452" w:rsidP="00AD5452">
      <w:pPr>
        <w:spacing w:line="480" w:lineRule="auto"/>
        <w:jc w:val="both"/>
        <w:rPr>
          <w:szCs w:val="24"/>
        </w:rPr>
      </w:pPr>
      <w:proofErr w:type="gramStart"/>
      <w:r>
        <w:rPr>
          <w:szCs w:val="24"/>
        </w:rPr>
        <w:t>SAUNDERS, W. &amp; SAUNDERS, E. 1997.</w:t>
      </w:r>
      <w:proofErr w:type="gramEnd"/>
      <w:r>
        <w:rPr>
          <w:szCs w:val="24"/>
        </w:rPr>
        <w:t xml:space="preserve"> </w:t>
      </w:r>
      <w:proofErr w:type="gramStart"/>
      <w:r>
        <w:rPr>
          <w:i/>
          <w:iCs/>
          <w:szCs w:val="24"/>
        </w:rPr>
        <w:t>Preparation of root canal system.</w:t>
      </w:r>
      <w:proofErr w:type="gramEnd"/>
      <w:r>
        <w:rPr>
          <w:i/>
          <w:iCs/>
          <w:szCs w:val="24"/>
        </w:rPr>
        <w:t xml:space="preserve"> In: Harty’s endodontics in clinical practice</w:t>
      </w:r>
      <w:r>
        <w:rPr>
          <w:szCs w:val="24"/>
        </w:rPr>
        <w:t>, Oxford, UK: Wright.</w:t>
      </w:r>
    </w:p>
    <w:p w:rsidR="00AD5452" w:rsidRDefault="00AD5452" w:rsidP="00AD5452">
      <w:pPr>
        <w:spacing w:line="480" w:lineRule="auto"/>
        <w:jc w:val="both"/>
        <w:rPr>
          <w:szCs w:val="24"/>
        </w:rPr>
      </w:pPr>
      <w:proofErr w:type="gramStart"/>
      <w:r>
        <w:rPr>
          <w:szCs w:val="24"/>
        </w:rPr>
        <w:t>SAWYER, A., NIKONOV, S., PANCIO, A. &amp; NIU, A. 2012.</w:t>
      </w:r>
      <w:proofErr w:type="gramEnd"/>
      <w:r>
        <w:rPr>
          <w:szCs w:val="24"/>
        </w:rPr>
        <w:t xml:space="preserve"> </w:t>
      </w:r>
      <w:proofErr w:type="gramStart"/>
      <w:r>
        <w:rPr>
          <w:szCs w:val="24"/>
        </w:rPr>
        <w:t>Effects of calcium silicate-based materials on the flexural properties of dentin.</w:t>
      </w:r>
      <w:proofErr w:type="gramEnd"/>
      <w:r>
        <w:rPr>
          <w:szCs w:val="24"/>
        </w:rPr>
        <w:t xml:space="preserve"> </w:t>
      </w:r>
      <w:r>
        <w:rPr>
          <w:i/>
          <w:iCs/>
          <w:szCs w:val="24"/>
        </w:rPr>
        <w:t>Journal of Endodontics,</w:t>
      </w:r>
      <w:r>
        <w:rPr>
          <w:szCs w:val="24"/>
        </w:rPr>
        <w:t xml:space="preserve"> 38</w:t>
      </w:r>
      <w:r>
        <w:rPr>
          <w:b/>
          <w:bCs/>
          <w:szCs w:val="24"/>
        </w:rPr>
        <w:t>,</w:t>
      </w:r>
      <w:r>
        <w:rPr>
          <w:szCs w:val="24"/>
        </w:rPr>
        <w:t xml:space="preserve"> 680-683.</w:t>
      </w:r>
    </w:p>
    <w:p w:rsidR="00AD5452" w:rsidRDefault="00AD5452" w:rsidP="00AD5452">
      <w:pPr>
        <w:spacing w:line="480" w:lineRule="auto"/>
        <w:jc w:val="both"/>
        <w:rPr>
          <w:szCs w:val="24"/>
        </w:rPr>
      </w:pPr>
      <w:r>
        <w:rPr>
          <w:szCs w:val="24"/>
        </w:rPr>
        <w:lastRenderedPageBreak/>
        <w:t xml:space="preserve">SCHILDER, H. 1974. Cleaning and shaping the root canal. </w:t>
      </w:r>
      <w:r>
        <w:rPr>
          <w:i/>
          <w:iCs/>
          <w:szCs w:val="24"/>
        </w:rPr>
        <w:t>Dental Clinics of North America,</w:t>
      </w:r>
      <w:r>
        <w:rPr>
          <w:szCs w:val="24"/>
        </w:rPr>
        <w:t xml:space="preserve"> 18</w:t>
      </w:r>
      <w:r>
        <w:rPr>
          <w:b/>
          <w:bCs/>
          <w:szCs w:val="24"/>
        </w:rPr>
        <w:t>,</w:t>
      </w:r>
      <w:r>
        <w:rPr>
          <w:szCs w:val="24"/>
        </w:rPr>
        <w:t xml:space="preserve"> 269-296.</w:t>
      </w:r>
    </w:p>
    <w:p w:rsidR="00AD5452" w:rsidRDefault="00AD5452" w:rsidP="00252DE2">
      <w:pPr>
        <w:spacing w:line="480" w:lineRule="auto"/>
        <w:jc w:val="both"/>
        <w:rPr>
          <w:szCs w:val="24"/>
        </w:rPr>
      </w:pPr>
      <w:proofErr w:type="gramStart"/>
      <w:r>
        <w:rPr>
          <w:szCs w:val="24"/>
        </w:rPr>
        <w:t>SCHMITT, D., SCHMITT, L., LEE, J. &amp; BOGEN, G. 2001.</w:t>
      </w:r>
      <w:proofErr w:type="gramEnd"/>
      <w:r>
        <w:rPr>
          <w:szCs w:val="24"/>
        </w:rPr>
        <w:t xml:space="preserve"> Multifaceted use of proroot mta root canal repair material. </w:t>
      </w:r>
      <w:proofErr w:type="gramStart"/>
      <w:r>
        <w:rPr>
          <w:i/>
          <w:iCs/>
          <w:szCs w:val="24"/>
        </w:rPr>
        <w:t>pedeatric</w:t>
      </w:r>
      <w:proofErr w:type="gramEnd"/>
      <w:r>
        <w:rPr>
          <w:i/>
          <w:iCs/>
          <w:szCs w:val="24"/>
        </w:rPr>
        <w:t xml:space="preserve"> dentestry,</w:t>
      </w:r>
      <w:r>
        <w:rPr>
          <w:szCs w:val="24"/>
        </w:rPr>
        <w:t xml:space="preserve"> 23</w:t>
      </w:r>
      <w:r>
        <w:rPr>
          <w:b/>
          <w:bCs/>
          <w:szCs w:val="24"/>
        </w:rPr>
        <w:t>,</w:t>
      </w:r>
      <w:r>
        <w:rPr>
          <w:szCs w:val="24"/>
        </w:rPr>
        <w:t xml:space="preserve"> 326-330.</w:t>
      </w:r>
    </w:p>
    <w:p w:rsidR="00AD5452" w:rsidRDefault="00AD5452" w:rsidP="00AD5452">
      <w:pPr>
        <w:spacing w:line="480" w:lineRule="auto"/>
        <w:jc w:val="both"/>
        <w:rPr>
          <w:szCs w:val="24"/>
        </w:rPr>
      </w:pPr>
      <w:proofErr w:type="gramStart"/>
      <w:r>
        <w:rPr>
          <w:szCs w:val="24"/>
        </w:rPr>
        <w:t>SCHMOLDT, S., KIRKPATRICK, T., RUTLEDGE, R. &amp; YACCINO, J. 2011.</w:t>
      </w:r>
      <w:proofErr w:type="gramEnd"/>
      <w:r>
        <w:rPr>
          <w:szCs w:val="24"/>
        </w:rPr>
        <w:t xml:space="preserve"> Reinforcement of simulated immature roots restored with composite resin, mineral trioxide aggregate, guttapercha, or a fiber post after thermocycling. </w:t>
      </w:r>
      <w:proofErr w:type="gramStart"/>
      <w:r>
        <w:rPr>
          <w:i/>
          <w:iCs/>
          <w:szCs w:val="24"/>
        </w:rPr>
        <w:t xml:space="preserve">J Endod </w:t>
      </w:r>
      <w:r>
        <w:rPr>
          <w:szCs w:val="24"/>
        </w:rPr>
        <w:t>37</w:t>
      </w:r>
      <w:r>
        <w:rPr>
          <w:b/>
          <w:bCs/>
          <w:szCs w:val="24"/>
        </w:rPr>
        <w:t>,</w:t>
      </w:r>
      <w:r>
        <w:rPr>
          <w:szCs w:val="24"/>
        </w:rPr>
        <w:t xml:space="preserve"> 1390–3.</w:t>
      </w:r>
      <w:proofErr w:type="gramEnd"/>
    </w:p>
    <w:p w:rsidR="00AD5452" w:rsidRDefault="00AD5452" w:rsidP="00AD5452">
      <w:pPr>
        <w:spacing w:line="480" w:lineRule="auto"/>
        <w:jc w:val="both"/>
        <w:rPr>
          <w:szCs w:val="24"/>
        </w:rPr>
      </w:pPr>
      <w:proofErr w:type="gramStart"/>
      <w:r>
        <w:rPr>
          <w:szCs w:val="24"/>
        </w:rPr>
        <w:t>SCHRODER, U. &amp; GRANATH, L. 1971.</w:t>
      </w:r>
      <w:proofErr w:type="gramEnd"/>
      <w:r>
        <w:rPr>
          <w:szCs w:val="24"/>
        </w:rPr>
        <w:t xml:space="preserve"> </w:t>
      </w:r>
      <w:proofErr w:type="gramStart"/>
      <w:r>
        <w:rPr>
          <w:szCs w:val="24"/>
        </w:rPr>
        <w:t>Early reaction of intact human teeth to calcium hydroxide following experimental pulpotomy and its significance to the development of hard tissue barrier.</w:t>
      </w:r>
      <w:proofErr w:type="gramEnd"/>
      <w:r>
        <w:rPr>
          <w:szCs w:val="24"/>
        </w:rPr>
        <w:t xml:space="preserve"> </w:t>
      </w:r>
      <w:proofErr w:type="gramStart"/>
      <w:r>
        <w:rPr>
          <w:i/>
          <w:iCs/>
          <w:szCs w:val="24"/>
        </w:rPr>
        <w:t>Odontol Revy,</w:t>
      </w:r>
      <w:r>
        <w:rPr>
          <w:szCs w:val="24"/>
        </w:rPr>
        <w:t xml:space="preserve"> 22</w:t>
      </w:r>
      <w:r>
        <w:rPr>
          <w:b/>
          <w:bCs/>
          <w:szCs w:val="24"/>
        </w:rPr>
        <w:t>,</w:t>
      </w:r>
      <w:r>
        <w:rPr>
          <w:szCs w:val="24"/>
        </w:rPr>
        <w:t xml:space="preserve"> 379 -95.</w:t>
      </w:r>
      <w:proofErr w:type="gramEnd"/>
    </w:p>
    <w:p w:rsidR="00AD5452" w:rsidRDefault="00AD5452" w:rsidP="00AD5452">
      <w:pPr>
        <w:spacing w:line="480" w:lineRule="auto"/>
        <w:jc w:val="both"/>
        <w:rPr>
          <w:szCs w:val="24"/>
        </w:rPr>
      </w:pPr>
      <w:proofErr w:type="gramStart"/>
      <w:r>
        <w:rPr>
          <w:szCs w:val="24"/>
        </w:rPr>
        <w:t>SCHUMACHER, J. &amp; RUTLEDGE, R. 1993.</w:t>
      </w:r>
      <w:proofErr w:type="gramEnd"/>
      <w:r>
        <w:rPr>
          <w:szCs w:val="24"/>
        </w:rPr>
        <w:t xml:space="preserve"> </w:t>
      </w:r>
      <w:proofErr w:type="gramStart"/>
      <w:r>
        <w:rPr>
          <w:szCs w:val="24"/>
        </w:rPr>
        <w:t>An alternative to apexification.</w:t>
      </w:r>
      <w:proofErr w:type="gramEnd"/>
      <w:r>
        <w:rPr>
          <w:szCs w:val="24"/>
        </w:rPr>
        <w:t xml:space="preserve"> </w:t>
      </w:r>
      <w:r>
        <w:rPr>
          <w:i/>
          <w:iCs/>
          <w:szCs w:val="24"/>
        </w:rPr>
        <w:t>Journal of Endodontics,</w:t>
      </w:r>
      <w:r>
        <w:rPr>
          <w:szCs w:val="24"/>
        </w:rPr>
        <w:t xml:space="preserve"> 19</w:t>
      </w:r>
      <w:r>
        <w:rPr>
          <w:b/>
          <w:bCs/>
          <w:szCs w:val="24"/>
        </w:rPr>
        <w:t>,</w:t>
      </w:r>
      <w:r>
        <w:rPr>
          <w:szCs w:val="24"/>
        </w:rPr>
        <w:t xml:space="preserve"> 529-531.</w:t>
      </w:r>
    </w:p>
    <w:p w:rsidR="00AD5452" w:rsidRDefault="00AD5452" w:rsidP="00AD5452">
      <w:pPr>
        <w:spacing w:line="480" w:lineRule="auto"/>
        <w:jc w:val="both"/>
        <w:rPr>
          <w:szCs w:val="24"/>
        </w:rPr>
      </w:pPr>
      <w:proofErr w:type="gramStart"/>
      <w:r>
        <w:rPr>
          <w:szCs w:val="24"/>
        </w:rPr>
        <w:t>SEO, B., MIURA, M. &amp; GRONTHOS, S. 2004.</w:t>
      </w:r>
      <w:proofErr w:type="gramEnd"/>
      <w:r>
        <w:rPr>
          <w:szCs w:val="24"/>
        </w:rPr>
        <w:t xml:space="preserve"> </w:t>
      </w:r>
      <w:proofErr w:type="gramStart"/>
      <w:r>
        <w:rPr>
          <w:szCs w:val="24"/>
        </w:rPr>
        <w:t>Investigation of multipotent postnatal stem cells from human periodontal ligament.</w:t>
      </w:r>
      <w:proofErr w:type="gramEnd"/>
      <w:r>
        <w:rPr>
          <w:szCs w:val="24"/>
        </w:rPr>
        <w:t xml:space="preserve"> </w:t>
      </w:r>
      <w:proofErr w:type="gramStart"/>
      <w:r>
        <w:rPr>
          <w:i/>
          <w:iCs/>
          <w:szCs w:val="24"/>
        </w:rPr>
        <w:t>Lancet,</w:t>
      </w:r>
      <w:r>
        <w:rPr>
          <w:szCs w:val="24"/>
        </w:rPr>
        <w:t xml:space="preserve"> 364</w:t>
      </w:r>
      <w:r>
        <w:rPr>
          <w:b/>
          <w:bCs/>
          <w:szCs w:val="24"/>
        </w:rPr>
        <w:t>,</w:t>
      </w:r>
      <w:r>
        <w:rPr>
          <w:szCs w:val="24"/>
        </w:rPr>
        <w:t xml:space="preserve"> 149 -55.</w:t>
      </w:r>
      <w:proofErr w:type="gramEnd"/>
    </w:p>
    <w:p w:rsidR="00AD5452" w:rsidRDefault="00AD5452" w:rsidP="00AD5452">
      <w:pPr>
        <w:spacing w:line="480" w:lineRule="auto"/>
        <w:jc w:val="both"/>
        <w:rPr>
          <w:szCs w:val="24"/>
        </w:rPr>
      </w:pPr>
      <w:proofErr w:type="gramStart"/>
      <w:r>
        <w:rPr>
          <w:szCs w:val="24"/>
        </w:rPr>
        <w:t>SHABAHANG, S. &amp; TORABINEJAD, M. 2000.</w:t>
      </w:r>
      <w:proofErr w:type="gramEnd"/>
      <w:r>
        <w:rPr>
          <w:szCs w:val="24"/>
        </w:rPr>
        <w:t xml:space="preserve"> </w:t>
      </w:r>
      <w:proofErr w:type="gramStart"/>
      <w:r>
        <w:rPr>
          <w:szCs w:val="24"/>
        </w:rPr>
        <w:t>Treatment of teeth with open apices using mineral trioxide aggregate.</w:t>
      </w:r>
      <w:proofErr w:type="gramEnd"/>
      <w:r>
        <w:rPr>
          <w:szCs w:val="24"/>
        </w:rPr>
        <w:t xml:space="preserve"> </w:t>
      </w:r>
      <w:r>
        <w:rPr>
          <w:i/>
          <w:iCs/>
          <w:szCs w:val="24"/>
        </w:rPr>
        <w:t>Pract Periodontics Aesthet Dent,</w:t>
      </w:r>
      <w:r>
        <w:rPr>
          <w:szCs w:val="24"/>
        </w:rPr>
        <w:t xml:space="preserve"> 12</w:t>
      </w:r>
      <w:r>
        <w:rPr>
          <w:b/>
          <w:bCs/>
          <w:szCs w:val="24"/>
        </w:rPr>
        <w:t>,</w:t>
      </w:r>
      <w:r>
        <w:rPr>
          <w:szCs w:val="24"/>
        </w:rPr>
        <w:t xml:space="preserve"> 315–20.</w:t>
      </w:r>
    </w:p>
    <w:p w:rsidR="00AD5452" w:rsidRDefault="00AD5452" w:rsidP="00AD5452">
      <w:pPr>
        <w:spacing w:line="480" w:lineRule="auto"/>
        <w:jc w:val="both"/>
        <w:rPr>
          <w:szCs w:val="24"/>
        </w:rPr>
      </w:pPr>
      <w:r>
        <w:rPr>
          <w:szCs w:val="24"/>
        </w:rPr>
        <w:t xml:space="preserve">SHABAHANG, S., TORABINEJAD, M., BOYNE, P., ABEDI, H. &amp; MCMILLAN, P. 1999. Comparative study of root-end induction using osteogenic-1: </w:t>
      </w:r>
      <w:proofErr w:type="gramStart"/>
      <w:r>
        <w:rPr>
          <w:szCs w:val="24"/>
        </w:rPr>
        <w:t>calcium hydroxide,</w:t>
      </w:r>
      <w:proofErr w:type="gramEnd"/>
      <w:r>
        <w:rPr>
          <w:szCs w:val="24"/>
        </w:rPr>
        <w:t xml:space="preserve"> and mineral trioxide aggregate in dogs. </w:t>
      </w:r>
      <w:r>
        <w:rPr>
          <w:i/>
          <w:iCs/>
          <w:szCs w:val="24"/>
        </w:rPr>
        <w:t>Journal of Endodontics,</w:t>
      </w:r>
      <w:r>
        <w:rPr>
          <w:szCs w:val="24"/>
        </w:rPr>
        <w:t xml:space="preserve"> 25</w:t>
      </w:r>
      <w:r>
        <w:rPr>
          <w:b/>
          <w:bCs/>
          <w:szCs w:val="24"/>
        </w:rPr>
        <w:t>,</w:t>
      </w:r>
      <w:r>
        <w:rPr>
          <w:szCs w:val="24"/>
        </w:rPr>
        <w:t xml:space="preserve"> 1-5.</w:t>
      </w:r>
    </w:p>
    <w:p w:rsidR="00AD5452" w:rsidRDefault="00AD5452" w:rsidP="00AD5452">
      <w:pPr>
        <w:spacing w:line="480" w:lineRule="auto"/>
        <w:jc w:val="both"/>
        <w:rPr>
          <w:szCs w:val="24"/>
        </w:rPr>
      </w:pPr>
      <w:proofErr w:type="gramStart"/>
      <w:r>
        <w:rPr>
          <w:szCs w:val="24"/>
        </w:rPr>
        <w:lastRenderedPageBreak/>
        <w:t>SHAH, N., LOGANI, A., BHASKAR, U. &amp; AGGARWAL, V. 2008.</w:t>
      </w:r>
      <w:proofErr w:type="gramEnd"/>
      <w:r>
        <w:rPr>
          <w:szCs w:val="24"/>
        </w:rPr>
        <w:t xml:space="preserve"> Efficacy of Revascularization to Induce Apexification/Apexogensis in Infected, Nonvital</w:t>
      </w:r>
      <w:proofErr w:type="gramStart"/>
      <w:r>
        <w:rPr>
          <w:szCs w:val="24"/>
        </w:rPr>
        <w:t>,Immature</w:t>
      </w:r>
      <w:proofErr w:type="gramEnd"/>
      <w:r>
        <w:rPr>
          <w:szCs w:val="24"/>
        </w:rPr>
        <w:t xml:space="preserve"> Teeth: A Pilot Clinical Study. </w:t>
      </w:r>
      <w:r>
        <w:rPr>
          <w:i/>
          <w:iCs/>
          <w:szCs w:val="24"/>
        </w:rPr>
        <w:t>Journal of Endodontics,</w:t>
      </w:r>
      <w:r>
        <w:rPr>
          <w:szCs w:val="24"/>
        </w:rPr>
        <w:t xml:space="preserve"> 34</w:t>
      </w:r>
      <w:r>
        <w:rPr>
          <w:b/>
          <w:bCs/>
          <w:szCs w:val="24"/>
        </w:rPr>
        <w:t>,</w:t>
      </w:r>
      <w:r>
        <w:rPr>
          <w:szCs w:val="24"/>
        </w:rPr>
        <w:t xml:space="preserve"> 919–925.</w:t>
      </w:r>
    </w:p>
    <w:p w:rsidR="00AD5452" w:rsidRDefault="00AD5452" w:rsidP="00AD5452">
      <w:pPr>
        <w:spacing w:line="480" w:lineRule="auto"/>
        <w:jc w:val="both"/>
        <w:rPr>
          <w:szCs w:val="24"/>
        </w:rPr>
      </w:pPr>
      <w:proofErr w:type="gramStart"/>
      <w:r>
        <w:rPr>
          <w:szCs w:val="24"/>
        </w:rPr>
        <w:t>SHEPPARD, P. &amp; BURICH, R. 1980.</w:t>
      </w:r>
      <w:proofErr w:type="gramEnd"/>
      <w:r>
        <w:rPr>
          <w:szCs w:val="24"/>
        </w:rPr>
        <w:t xml:space="preserve"> </w:t>
      </w:r>
      <w:proofErr w:type="gramStart"/>
      <w:r>
        <w:rPr>
          <w:szCs w:val="24"/>
        </w:rPr>
        <w:t>Effects of Extra-oral Exposure and Multiple Avulsions on Revascularization of Reimplanted Teeth in Dogs.</w:t>
      </w:r>
      <w:proofErr w:type="gramEnd"/>
      <w:r>
        <w:rPr>
          <w:szCs w:val="24"/>
        </w:rPr>
        <w:t xml:space="preserve"> </w:t>
      </w:r>
      <w:proofErr w:type="gramStart"/>
      <w:r>
        <w:rPr>
          <w:i/>
          <w:iCs/>
          <w:szCs w:val="24"/>
        </w:rPr>
        <w:t>J Dent Res,</w:t>
      </w:r>
      <w:r>
        <w:rPr>
          <w:szCs w:val="24"/>
        </w:rPr>
        <w:t xml:space="preserve"> 59</w:t>
      </w:r>
      <w:r>
        <w:rPr>
          <w:b/>
          <w:bCs/>
          <w:szCs w:val="24"/>
        </w:rPr>
        <w:t>,</w:t>
      </w:r>
      <w:r>
        <w:rPr>
          <w:szCs w:val="24"/>
        </w:rPr>
        <w:t xml:space="preserve"> 140.</w:t>
      </w:r>
      <w:proofErr w:type="gramEnd"/>
    </w:p>
    <w:p w:rsidR="00AD5452" w:rsidRDefault="00AD5452" w:rsidP="00AD5452">
      <w:pPr>
        <w:spacing w:line="480" w:lineRule="auto"/>
        <w:jc w:val="both"/>
        <w:rPr>
          <w:szCs w:val="24"/>
        </w:rPr>
      </w:pPr>
      <w:r>
        <w:rPr>
          <w:szCs w:val="24"/>
        </w:rPr>
        <w:t xml:space="preserve">SIMON, S., RILLIARD, F., BERDAL, A. &amp; MACHTOU, P. 2007. The use of mineral trioxide aggregate in one-visit apexification treatment: a prospective study. </w:t>
      </w:r>
      <w:proofErr w:type="gramStart"/>
      <w:r>
        <w:rPr>
          <w:i/>
          <w:iCs/>
          <w:szCs w:val="24"/>
        </w:rPr>
        <w:t>International Endodontic Journal,</w:t>
      </w:r>
      <w:r>
        <w:rPr>
          <w:szCs w:val="24"/>
        </w:rPr>
        <w:t xml:space="preserve"> 40</w:t>
      </w:r>
      <w:r>
        <w:rPr>
          <w:b/>
          <w:bCs/>
          <w:szCs w:val="24"/>
        </w:rPr>
        <w:t>,</w:t>
      </w:r>
      <w:r>
        <w:rPr>
          <w:szCs w:val="24"/>
        </w:rPr>
        <w:t xml:space="preserve"> 186 –97.</w:t>
      </w:r>
      <w:proofErr w:type="gramEnd"/>
    </w:p>
    <w:p w:rsidR="00AD5452" w:rsidRDefault="00AD5452" w:rsidP="00AD5452">
      <w:pPr>
        <w:spacing w:line="480" w:lineRule="auto"/>
        <w:jc w:val="both"/>
        <w:rPr>
          <w:szCs w:val="24"/>
        </w:rPr>
      </w:pPr>
      <w:r>
        <w:rPr>
          <w:szCs w:val="24"/>
        </w:rPr>
        <w:t xml:space="preserve">SIPERT, C., HUSSNE, R., NISHIYAMA, C. &amp; TORRES, S. 2005. In vitro antimicrobial activity of Fill Canal, Sealapex, mineral trioxide aggregate, Portland cement </w:t>
      </w:r>
      <w:proofErr w:type="gramStart"/>
      <w:r>
        <w:rPr>
          <w:szCs w:val="24"/>
        </w:rPr>
        <w:t>and  EndoRez</w:t>
      </w:r>
      <w:proofErr w:type="gramEnd"/>
      <w:r>
        <w:rPr>
          <w:szCs w:val="24"/>
        </w:rPr>
        <w:t xml:space="preserve">. </w:t>
      </w:r>
      <w:r>
        <w:rPr>
          <w:i/>
          <w:iCs/>
          <w:szCs w:val="24"/>
        </w:rPr>
        <w:t xml:space="preserve">Int Endod J </w:t>
      </w:r>
      <w:r>
        <w:rPr>
          <w:szCs w:val="24"/>
        </w:rPr>
        <w:t>38</w:t>
      </w:r>
      <w:r>
        <w:rPr>
          <w:b/>
          <w:bCs/>
          <w:szCs w:val="24"/>
        </w:rPr>
        <w:t>,</w:t>
      </w:r>
      <w:r>
        <w:rPr>
          <w:szCs w:val="24"/>
        </w:rPr>
        <w:t xml:space="preserve"> 539-43.</w:t>
      </w:r>
    </w:p>
    <w:p w:rsidR="00AD5452" w:rsidRDefault="00AD5452" w:rsidP="00AD5452">
      <w:pPr>
        <w:spacing w:line="480" w:lineRule="auto"/>
        <w:jc w:val="both"/>
        <w:rPr>
          <w:szCs w:val="24"/>
        </w:rPr>
      </w:pPr>
      <w:proofErr w:type="gramStart"/>
      <w:r>
        <w:rPr>
          <w:szCs w:val="24"/>
        </w:rPr>
        <w:t>SIQUEIRA, J. &amp; ROCAS, I. 2011.</w:t>
      </w:r>
      <w:proofErr w:type="gramEnd"/>
      <w:r>
        <w:rPr>
          <w:szCs w:val="24"/>
        </w:rPr>
        <w:t xml:space="preserve"> </w:t>
      </w:r>
      <w:proofErr w:type="gramStart"/>
      <w:r>
        <w:rPr>
          <w:i/>
          <w:iCs/>
          <w:szCs w:val="24"/>
        </w:rPr>
        <w:t xml:space="preserve">Microbiology and treatment of Endodontic infections     </w:t>
      </w:r>
      <w:r>
        <w:rPr>
          <w:szCs w:val="24"/>
        </w:rPr>
        <w:t>Mosby Elsevier.</w:t>
      </w:r>
      <w:proofErr w:type="gramEnd"/>
    </w:p>
    <w:p w:rsidR="00AD5452" w:rsidRDefault="00AD5452" w:rsidP="00AD5452">
      <w:pPr>
        <w:spacing w:line="480" w:lineRule="auto"/>
        <w:jc w:val="both"/>
        <w:rPr>
          <w:szCs w:val="24"/>
        </w:rPr>
      </w:pPr>
      <w:proofErr w:type="gramStart"/>
      <w:r>
        <w:rPr>
          <w:szCs w:val="24"/>
        </w:rPr>
        <w:t>SIQUEIRA, J. &amp; RÔÇAS, I. 2009.</w:t>
      </w:r>
      <w:proofErr w:type="gramEnd"/>
      <w:r>
        <w:rPr>
          <w:szCs w:val="24"/>
        </w:rPr>
        <w:t xml:space="preserve"> </w:t>
      </w:r>
      <w:proofErr w:type="gramStart"/>
      <w:r>
        <w:rPr>
          <w:i/>
          <w:iCs/>
          <w:szCs w:val="24"/>
        </w:rPr>
        <w:t>Endodontic Microbiology.</w:t>
      </w:r>
      <w:proofErr w:type="gramEnd"/>
      <w:r>
        <w:rPr>
          <w:i/>
          <w:iCs/>
          <w:szCs w:val="24"/>
        </w:rPr>
        <w:t xml:space="preserve"> In: Walton RE, Torabinejad M, editors. Endodontics: Principles and Practice</w:t>
      </w:r>
      <w:r>
        <w:rPr>
          <w:szCs w:val="24"/>
        </w:rPr>
        <w:t>, Saunders/Elsevier.</w:t>
      </w:r>
    </w:p>
    <w:p w:rsidR="00AD5452" w:rsidRDefault="00AD5452" w:rsidP="00AD5452">
      <w:pPr>
        <w:spacing w:line="480" w:lineRule="auto"/>
        <w:jc w:val="both"/>
        <w:rPr>
          <w:szCs w:val="24"/>
        </w:rPr>
      </w:pPr>
      <w:r>
        <w:rPr>
          <w:szCs w:val="24"/>
        </w:rPr>
        <w:t xml:space="preserve">SIQUEIRA, J., ROCAS, I., LOPES, H., MAGALHAES, F. &amp; DE UZEDA, M. 2003. </w:t>
      </w:r>
      <w:proofErr w:type="gramStart"/>
      <w:r>
        <w:rPr>
          <w:szCs w:val="24"/>
        </w:rPr>
        <w:t>Elimination of Candida albicans infection of the radicular dentin by intracanal medications.</w:t>
      </w:r>
      <w:proofErr w:type="gramEnd"/>
      <w:r>
        <w:rPr>
          <w:i/>
          <w:iCs/>
          <w:szCs w:val="24"/>
        </w:rPr>
        <w:t xml:space="preserve"> J Endod,</w:t>
      </w:r>
      <w:r>
        <w:rPr>
          <w:szCs w:val="24"/>
        </w:rPr>
        <w:t xml:space="preserve"> 29</w:t>
      </w:r>
      <w:r>
        <w:rPr>
          <w:b/>
          <w:bCs/>
          <w:szCs w:val="24"/>
        </w:rPr>
        <w:t>,</w:t>
      </w:r>
      <w:r>
        <w:rPr>
          <w:szCs w:val="24"/>
        </w:rPr>
        <w:t xml:space="preserve"> 501–504.</w:t>
      </w:r>
    </w:p>
    <w:p w:rsidR="00AD5452" w:rsidRDefault="00AD5452" w:rsidP="00AD5452">
      <w:pPr>
        <w:spacing w:line="480" w:lineRule="auto"/>
        <w:jc w:val="both"/>
        <w:rPr>
          <w:szCs w:val="24"/>
        </w:rPr>
      </w:pPr>
      <w:proofErr w:type="gramStart"/>
      <w:r>
        <w:rPr>
          <w:szCs w:val="24"/>
        </w:rPr>
        <w:lastRenderedPageBreak/>
        <w:t>SIQUERIA, J. &amp; DEUZEDA, M. 1997.</w:t>
      </w:r>
      <w:proofErr w:type="gramEnd"/>
      <w:r>
        <w:rPr>
          <w:szCs w:val="24"/>
        </w:rPr>
        <w:t xml:space="preserve"> Intracanal medicaments: evaluation of the antibacterial ef-fects of chlorhexidine, metronidazole, and calcium hydroxide asso ciated withthreevehicles. </w:t>
      </w:r>
      <w:proofErr w:type="gramStart"/>
      <w:r>
        <w:rPr>
          <w:i/>
          <w:iCs/>
          <w:szCs w:val="24"/>
        </w:rPr>
        <w:t>JEndod,</w:t>
      </w:r>
      <w:r>
        <w:rPr>
          <w:szCs w:val="24"/>
        </w:rPr>
        <w:t xml:space="preserve"> 23</w:t>
      </w:r>
      <w:r>
        <w:rPr>
          <w:b/>
          <w:bCs/>
          <w:szCs w:val="24"/>
        </w:rPr>
        <w:t>,</w:t>
      </w:r>
      <w:r>
        <w:rPr>
          <w:szCs w:val="24"/>
        </w:rPr>
        <w:t xml:space="preserve"> 167–9.</w:t>
      </w:r>
      <w:proofErr w:type="gramEnd"/>
    </w:p>
    <w:p w:rsidR="00AD5452" w:rsidRDefault="00AD5452" w:rsidP="00AD5452">
      <w:pPr>
        <w:spacing w:line="480" w:lineRule="auto"/>
        <w:jc w:val="both"/>
        <w:rPr>
          <w:szCs w:val="24"/>
        </w:rPr>
      </w:pPr>
      <w:proofErr w:type="gramStart"/>
      <w:r>
        <w:rPr>
          <w:szCs w:val="24"/>
        </w:rPr>
        <w:t>SIREN, E., HAAPASALO, M., RANTA, K., SALMI, P. &amp; KEROSUO, E. 1997.</w:t>
      </w:r>
      <w:proofErr w:type="gramEnd"/>
      <w:r>
        <w:rPr>
          <w:szCs w:val="24"/>
        </w:rPr>
        <w:t xml:space="preserve"> Microbiological findings and clinical treatment procedures in endodontic cases selected for microbiological investigation. </w:t>
      </w:r>
      <w:r>
        <w:rPr>
          <w:i/>
          <w:iCs/>
          <w:szCs w:val="24"/>
        </w:rPr>
        <w:t>International Endodontic Journal,</w:t>
      </w:r>
      <w:r>
        <w:rPr>
          <w:szCs w:val="24"/>
        </w:rPr>
        <w:t xml:space="preserve"> 30</w:t>
      </w:r>
      <w:r>
        <w:rPr>
          <w:b/>
          <w:bCs/>
          <w:szCs w:val="24"/>
        </w:rPr>
        <w:t>,</w:t>
      </w:r>
      <w:r>
        <w:rPr>
          <w:szCs w:val="24"/>
        </w:rPr>
        <w:t xml:space="preserve"> 91-95.</w:t>
      </w:r>
    </w:p>
    <w:p w:rsidR="00AD5452" w:rsidRDefault="00AD5452" w:rsidP="00AD5452">
      <w:pPr>
        <w:spacing w:line="480" w:lineRule="auto"/>
        <w:jc w:val="both"/>
        <w:rPr>
          <w:szCs w:val="24"/>
        </w:rPr>
      </w:pPr>
      <w:proofErr w:type="gramStart"/>
      <w:r>
        <w:rPr>
          <w:szCs w:val="24"/>
        </w:rPr>
        <w:t>SLOAN, A. &amp; SMITH, A. 2007.</w:t>
      </w:r>
      <w:proofErr w:type="gramEnd"/>
      <w:r>
        <w:rPr>
          <w:szCs w:val="24"/>
        </w:rPr>
        <w:t xml:space="preserve"> Stem cells and the dental pulp: potential roles in dentine regeneration and repair. </w:t>
      </w:r>
      <w:proofErr w:type="gramStart"/>
      <w:r>
        <w:rPr>
          <w:i/>
          <w:iCs/>
          <w:szCs w:val="24"/>
        </w:rPr>
        <w:t>Oral Dis,</w:t>
      </w:r>
      <w:r>
        <w:rPr>
          <w:szCs w:val="24"/>
        </w:rPr>
        <w:t xml:space="preserve"> 13</w:t>
      </w:r>
      <w:r>
        <w:rPr>
          <w:b/>
          <w:bCs/>
          <w:szCs w:val="24"/>
        </w:rPr>
        <w:t>,</w:t>
      </w:r>
      <w:r>
        <w:rPr>
          <w:szCs w:val="24"/>
        </w:rPr>
        <w:t xml:space="preserve"> 151-7.</w:t>
      </w:r>
      <w:proofErr w:type="gramEnd"/>
    </w:p>
    <w:p w:rsidR="00AD5452" w:rsidRDefault="00AD5452" w:rsidP="00AD5452">
      <w:pPr>
        <w:spacing w:line="480" w:lineRule="auto"/>
        <w:jc w:val="both"/>
        <w:rPr>
          <w:szCs w:val="24"/>
        </w:rPr>
      </w:pPr>
      <w:proofErr w:type="gramStart"/>
      <w:r>
        <w:rPr>
          <w:szCs w:val="24"/>
        </w:rPr>
        <w:t>SLOAN, A. &amp; WADDINGTON, R. 2009.</w:t>
      </w:r>
      <w:proofErr w:type="gramEnd"/>
      <w:r>
        <w:rPr>
          <w:szCs w:val="24"/>
        </w:rPr>
        <w:t xml:space="preserve"> Dental pulp stem cells: what, where, how? </w:t>
      </w:r>
      <w:r>
        <w:rPr>
          <w:i/>
          <w:iCs/>
          <w:szCs w:val="24"/>
        </w:rPr>
        <w:t>Int J Paediatr Dent,</w:t>
      </w:r>
      <w:r>
        <w:rPr>
          <w:szCs w:val="24"/>
        </w:rPr>
        <w:t xml:space="preserve"> 19</w:t>
      </w:r>
      <w:r>
        <w:rPr>
          <w:b/>
          <w:bCs/>
          <w:szCs w:val="24"/>
        </w:rPr>
        <w:t>,</w:t>
      </w:r>
      <w:r>
        <w:rPr>
          <w:szCs w:val="24"/>
        </w:rPr>
        <w:t xml:space="preserve"> 61-70.</w:t>
      </w:r>
    </w:p>
    <w:p w:rsidR="00AD5452" w:rsidRDefault="00AD5452" w:rsidP="00AD5452">
      <w:pPr>
        <w:spacing w:line="480" w:lineRule="auto"/>
        <w:jc w:val="both"/>
        <w:rPr>
          <w:szCs w:val="24"/>
        </w:rPr>
      </w:pPr>
      <w:proofErr w:type="gramStart"/>
      <w:r>
        <w:rPr>
          <w:szCs w:val="24"/>
        </w:rPr>
        <w:t>SLUYK, S., MOON, P. &amp; HARTWEEL, G. 1998.</w:t>
      </w:r>
      <w:proofErr w:type="gramEnd"/>
      <w:r>
        <w:rPr>
          <w:szCs w:val="24"/>
        </w:rPr>
        <w:t xml:space="preserve"> </w:t>
      </w:r>
      <w:proofErr w:type="gramStart"/>
      <w:r>
        <w:rPr>
          <w:szCs w:val="24"/>
        </w:rPr>
        <w:t>Evaluation of sealing properties and retention charcteristic of mineral trioxide aggregate when used as a furcation perforation repair material.</w:t>
      </w:r>
      <w:proofErr w:type="gramEnd"/>
      <w:r>
        <w:rPr>
          <w:szCs w:val="24"/>
        </w:rPr>
        <w:t xml:space="preserve"> </w:t>
      </w:r>
      <w:r>
        <w:rPr>
          <w:i/>
          <w:iCs/>
          <w:szCs w:val="24"/>
        </w:rPr>
        <w:t>Journal of Endodontics,</w:t>
      </w:r>
      <w:r>
        <w:rPr>
          <w:szCs w:val="24"/>
        </w:rPr>
        <w:t xml:space="preserve"> 24</w:t>
      </w:r>
      <w:r>
        <w:rPr>
          <w:b/>
          <w:bCs/>
          <w:szCs w:val="24"/>
        </w:rPr>
        <w:t>,</w:t>
      </w:r>
      <w:r>
        <w:rPr>
          <w:szCs w:val="24"/>
        </w:rPr>
        <w:t xml:space="preserve"> 768-771.</w:t>
      </w:r>
    </w:p>
    <w:p w:rsidR="00AD5452" w:rsidRDefault="00AD5452" w:rsidP="00AD5452">
      <w:pPr>
        <w:spacing w:line="480" w:lineRule="auto"/>
        <w:jc w:val="both"/>
        <w:rPr>
          <w:i/>
          <w:iCs/>
          <w:szCs w:val="24"/>
        </w:rPr>
      </w:pPr>
      <w:proofErr w:type="gramStart"/>
      <w:r>
        <w:rPr>
          <w:szCs w:val="24"/>
        </w:rPr>
        <w:t>SONOYAMA, W., LIU, Y. &amp; FANG, D. 2006.</w:t>
      </w:r>
      <w:proofErr w:type="gramEnd"/>
      <w:r>
        <w:rPr>
          <w:szCs w:val="24"/>
        </w:rPr>
        <w:t xml:space="preserve"> </w:t>
      </w:r>
      <w:proofErr w:type="gramStart"/>
      <w:r>
        <w:rPr>
          <w:szCs w:val="24"/>
        </w:rPr>
        <w:t>Mesenchymal stem cell-mediated functional tooth regeneration in swine.</w:t>
      </w:r>
      <w:proofErr w:type="gramEnd"/>
      <w:r>
        <w:rPr>
          <w:i/>
          <w:iCs/>
          <w:szCs w:val="24"/>
        </w:rPr>
        <w:t xml:space="preserve"> PLoS ONE </w:t>
      </w:r>
      <w:r>
        <w:rPr>
          <w:szCs w:val="24"/>
        </w:rPr>
        <w:t>1</w:t>
      </w:r>
      <w:r>
        <w:rPr>
          <w:b/>
          <w:bCs/>
          <w:szCs w:val="24"/>
        </w:rPr>
        <w:t>,</w:t>
      </w:r>
      <w:r>
        <w:rPr>
          <w:szCs w:val="24"/>
        </w:rPr>
        <w:t xml:space="preserve"> e79.</w:t>
      </w:r>
    </w:p>
    <w:p w:rsidR="00AD5452" w:rsidRDefault="00AD5452" w:rsidP="00AD5452">
      <w:pPr>
        <w:spacing w:line="480" w:lineRule="auto"/>
        <w:jc w:val="both"/>
        <w:rPr>
          <w:i/>
          <w:iCs/>
          <w:szCs w:val="24"/>
        </w:rPr>
      </w:pPr>
      <w:proofErr w:type="gramStart"/>
      <w:r>
        <w:rPr>
          <w:szCs w:val="24"/>
        </w:rPr>
        <w:t>SONOYAMA, W., LIU, Y., YAMAZA, T., TUAN, R., WANG, S., SHI, S. &amp; HUANG, G. 2008.</w:t>
      </w:r>
      <w:proofErr w:type="gramEnd"/>
      <w:r>
        <w:rPr>
          <w:szCs w:val="24"/>
        </w:rPr>
        <w:t xml:space="preserve"> Characterization of the Apical Papilla and Its Residing Stem Cells from Human Immature Permanent Teeth</w:t>
      </w:r>
      <w:proofErr w:type="gramStart"/>
      <w:r>
        <w:rPr>
          <w:szCs w:val="24"/>
        </w:rPr>
        <w:t>:A</w:t>
      </w:r>
      <w:proofErr w:type="gramEnd"/>
      <w:r>
        <w:rPr>
          <w:szCs w:val="24"/>
        </w:rPr>
        <w:t xml:space="preserve"> Pilot Study.</w:t>
      </w:r>
      <w:r>
        <w:rPr>
          <w:i/>
          <w:iCs/>
          <w:szCs w:val="24"/>
        </w:rPr>
        <w:t xml:space="preserve">  Journal of Endodontics </w:t>
      </w:r>
      <w:r>
        <w:rPr>
          <w:szCs w:val="24"/>
        </w:rPr>
        <w:t>34</w:t>
      </w:r>
      <w:r>
        <w:rPr>
          <w:b/>
          <w:bCs/>
          <w:szCs w:val="24"/>
        </w:rPr>
        <w:t>,</w:t>
      </w:r>
      <w:r>
        <w:rPr>
          <w:szCs w:val="24"/>
        </w:rPr>
        <w:t xml:space="preserve"> 166-171.</w:t>
      </w:r>
    </w:p>
    <w:p w:rsidR="00AD5452" w:rsidRDefault="00AD5452" w:rsidP="00AD5452">
      <w:pPr>
        <w:spacing w:line="480" w:lineRule="auto"/>
        <w:jc w:val="both"/>
        <w:rPr>
          <w:szCs w:val="24"/>
        </w:rPr>
      </w:pPr>
      <w:proofErr w:type="gramStart"/>
      <w:r>
        <w:rPr>
          <w:szCs w:val="24"/>
        </w:rPr>
        <w:t>SOUSA, C., VERSIANI, M., BIFFI, J., OLIVEIRA, R. &amp; PASCON, E. 2004.</w:t>
      </w:r>
      <w:proofErr w:type="gramEnd"/>
      <w:r>
        <w:rPr>
          <w:szCs w:val="24"/>
        </w:rPr>
        <w:t xml:space="preserve"> </w:t>
      </w:r>
      <w:proofErr w:type="gramStart"/>
      <w:r>
        <w:rPr>
          <w:szCs w:val="24"/>
        </w:rPr>
        <w:t>A comparative histological evaluation of the biocompatibility of materials used in apical surgery.</w:t>
      </w:r>
      <w:proofErr w:type="gramEnd"/>
      <w:r>
        <w:rPr>
          <w:i/>
          <w:iCs/>
          <w:szCs w:val="24"/>
        </w:rPr>
        <w:t xml:space="preserve"> International Endodontic Journal,</w:t>
      </w:r>
      <w:r>
        <w:rPr>
          <w:szCs w:val="24"/>
        </w:rPr>
        <w:t xml:space="preserve"> 37</w:t>
      </w:r>
      <w:r>
        <w:rPr>
          <w:b/>
          <w:bCs/>
          <w:szCs w:val="24"/>
        </w:rPr>
        <w:t>,</w:t>
      </w:r>
      <w:r>
        <w:rPr>
          <w:szCs w:val="24"/>
        </w:rPr>
        <w:t xml:space="preserve"> 738-748.</w:t>
      </w:r>
    </w:p>
    <w:p w:rsidR="00AD5452" w:rsidRDefault="00AD5452" w:rsidP="00AD5452">
      <w:pPr>
        <w:spacing w:line="480" w:lineRule="auto"/>
        <w:jc w:val="both"/>
        <w:rPr>
          <w:szCs w:val="24"/>
        </w:rPr>
      </w:pPr>
      <w:proofErr w:type="gramStart"/>
      <w:r>
        <w:rPr>
          <w:szCs w:val="24"/>
        </w:rPr>
        <w:lastRenderedPageBreak/>
        <w:t>SPANGBURG, L. &amp; HAAPASALO, M. 2002.</w:t>
      </w:r>
      <w:proofErr w:type="gramEnd"/>
      <w:r>
        <w:rPr>
          <w:szCs w:val="24"/>
        </w:rPr>
        <w:t xml:space="preserve"> </w:t>
      </w:r>
      <w:proofErr w:type="gramStart"/>
      <w:r>
        <w:rPr>
          <w:szCs w:val="24"/>
        </w:rPr>
        <w:t>Rationale and efficacy of root canal medicaments and root filling materials with emphasis ontreatment outcome.</w:t>
      </w:r>
      <w:proofErr w:type="gramEnd"/>
      <w:r>
        <w:rPr>
          <w:i/>
          <w:iCs/>
          <w:szCs w:val="24"/>
        </w:rPr>
        <w:t xml:space="preserve"> Endodontic Topics,</w:t>
      </w:r>
      <w:r>
        <w:rPr>
          <w:szCs w:val="24"/>
        </w:rPr>
        <w:t xml:space="preserve"> 2</w:t>
      </w:r>
      <w:r>
        <w:rPr>
          <w:b/>
          <w:bCs/>
          <w:szCs w:val="24"/>
        </w:rPr>
        <w:t>,</w:t>
      </w:r>
      <w:r>
        <w:rPr>
          <w:szCs w:val="24"/>
        </w:rPr>
        <w:t xml:space="preserve"> 35–58.</w:t>
      </w:r>
    </w:p>
    <w:p w:rsidR="00AD5452" w:rsidRDefault="00AD5452" w:rsidP="00AD5452">
      <w:pPr>
        <w:spacing w:line="480" w:lineRule="auto"/>
        <w:jc w:val="both"/>
        <w:rPr>
          <w:szCs w:val="24"/>
        </w:rPr>
      </w:pPr>
      <w:proofErr w:type="gramStart"/>
      <w:r>
        <w:rPr>
          <w:szCs w:val="24"/>
        </w:rPr>
        <w:t>STOCK, C. 1985.</w:t>
      </w:r>
      <w:proofErr w:type="gramEnd"/>
      <w:r>
        <w:rPr>
          <w:szCs w:val="24"/>
        </w:rPr>
        <w:t xml:space="preserve"> Calcium hydroxide: root resorption and perio-endo lesions. </w:t>
      </w:r>
      <w:r>
        <w:rPr>
          <w:i/>
          <w:iCs/>
          <w:szCs w:val="24"/>
        </w:rPr>
        <w:t xml:space="preserve">Br Dent J </w:t>
      </w:r>
      <w:r>
        <w:rPr>
          <w:szCs w:val="24"/>
        </w:rPr>
        <w:t>158</w:t>
      </w:r>
      <w:r>
        <w:rPr>
          <w:b/>
          <w:bCs/>
          <w:szCs w:val="24"/>
        </w:rPr>
        <w:t>,</w:t>
      </w:r>
      <w:r>
        <w:rPr>
          <w:szCs w:val="24"/>
        </w:rPr>
        <w:t xml:space="preserve"> 325–34.</w:t>
      </w:r>
    </w:p>
    <w:p w:rsidR="00AD5452" w:rsidRDefault="00AD5452" w:rsidP="00AD5452">
      <w:pPr>
        <w:spacing w:line="480" w:lineRule="auto"/>
        <w:jc w:val="both"/>
        <w:rPr>
          <w:szCs w:val="24"/>
        </w:rPr>
      </w:pPr>
      <w:proofErr w:type="gramStart"/>
      <w:r>
        <w:rPr>
          <w:szCs w:val="24"/>
        </w:rPr>
        <w:t>STOCK, C. 1985.</w:t>
      </w:r>
      <w:proofErr w:type="gramEnd"/>
      <w:r>
        <w:rPr>
          <w:szCs w:val="24"/>
        </w:rPr>
        <w:t xml:space="preserve"> Calcium hydroxide: root resorption and perio-endo lesions. </w:t>
      </w:r>
      <w:r>
        <w:rPr>
          <w:i/>
          <w:iCs/>
          <w:szCs w:val="24"/>
        </w:rPr>
        <w:t>Br Dent J,</w:t>
      </w:r>
      <w:r>
        <w:rPr>
          <w:szCs w:val="24"/>
        </w:rPr>
        <w:t xml:space="preserve"> 158</w:t>
      </w:r>
      <w:r>
        <w:rPr>
          <w:b/>
          <w:bCs/>
          <w:szCs w:val="24"/>
        </w:rPr>
        <w:t>,</w:t>
      </w:r>
      <w:r>
        <w:rPr>
          <w:szCs w:val="24"/>
        </w:rPr>
        <w:t xml:space="preserve"> 325–334.</w:t>
      </w:r>
    </w:p>
    <w:p w:rsidR="00AD5452" w:rsidRDefault="00AD5452" w:rsidP="00AD5452">
      <w:pPr>
        <w:spacing w:line="480" w:lineRule="auto"/>
        <w:jc w:val="both"/>
        <w:rPr>
          <w:szCs w:val="24"/>
        </w:rPr>
      </w:pPr>
      <w:proofErr w:type="gramStart"/>
      <w:r>
        <w:rPr>
          <w:szCs w:val="24"/>
        </w:rPr>
        <w:t>STOCKWELL, A. 1988.</w:t>
      </w:r>
      <w:proofErr w:type="gramEnd"/>
      <w:r>
        <w:rPr>
          <w:szCs w:val="24"/>
        </w:rPr>
        <w:t xml:space="preserve"> </w:t>
      </w:r>
      <w:proofErr w:type="gramStart"/>
      <w:r>
        <w:rPr>
          <w:szCs w:val="24"/>
        </w:rPr>
        <w:t xml:space="preserve">Incidence of dental trauma in the We s t e rn Australian School Dental Service </w:t>
      </w:r>
      <w:r>
        <w:rPr>
          <w:i/>
          <w:iCs/>
          <w:szCs w:val="24"/>
        </w:rPr>
        <w:t xml:space="preserve">Community Dent Oral Epidemiol </w:t>
      </w:r>
      <w:r>
        <w:rPr>
          <w:szCs w:val="24"/>
        </w:rPr>
        <w:t>16</w:t>
      </w:r>
      <w:r>
        <w:rPr>
          <w:b/>
          <w:bCs/>
          <w:szCs w:val="24"/>
        </w:rPr>
        <w:t>,</w:t>
      </w:r>
      <w:r>
        <w:rPr>
          <w:szCs w:val="24"/>
        </w:rPr>
        <w:t xml:space="preserve"> 294-298.</w:t>
      </w:r>
      <w:proofErr w:type="gramEnd"/>
    </w:p>
    <w:p w:rsidR="00AD5452" w:rsidRDefault="00AD5452" w:rsidP="00AD5452">
      <w:pPr>
        <w:spacing w:line="480" w:lineRule="auto"/>
        <w:jc w:val="both"/>
        <w:rPr>
          <w:szCs w:val="24"/>
        </w:rPr>
      </w:pPr>
      <w:proofErr w:type="gramStart"/>
      <w:r>
        <w:rPr>
          <w:szCs w:val="24"/>
        </w:rPr>
        <w:t>STOWE, T., SEDGLEY, C., STOWE, B. &amp; FENNO, J. 2004.</w:t>
      </w:r>
      <w:proofErr w:type="gramEnd"/>
      <w:r>
        <w:rPr>
          <w:szCs w:val="24"/>
        </w:rPr>
        <w:t xml:space="preserve"> The effects of chlorhexidine gluconate (0.12%) on the antimicrobial properties of tooth-colored ProRoot mineral trioxide aggregate</w:t>
      </w:r>
      <w:proofErr w:type="gramStart"/>
      <w:r>
        <w:rPr>
          <w:szCs w:val="24"/>
        </w:rPr>
        <w:t xml:space="preserve">. </w:t>
      </w:r>
      <w:r>
        <w:rPr>
          <w:i/>
          <w:iCs/>
          <w:szCs w:val="24"/>
        </w:rPr>
        <w:t>.</w:t>
      </w:r>
      <w:proofErr w:type="gramEnd"/>
      <w:r>
        <w:rPr>
          <w:i/>
          <w:iCs/>
          <w:szCs w:val="24"/>
        </w:rPr>
        <w:t xml:space="preserve"> </w:t>
      </w:r>
      <w:proofErr w:type="gramStart"/>
      <w:r>
        <w:rPr>
          <w:i/>
          <w:iCs/>
          <w:szCs w:val="24"/>
        </w:rPr>
        <w:t xml:space="preserve">J Endod </w:t>
      </w:r>
      <w:r>
        <w:rPr>
          <w:szCs w:val="24"/>
        </w:rPr>
        <w:t>30</w:t>
      </w:r>
      <w:r>
        <w:rPr>
          <w:b/>
          <w:bCs/>
          <w:szCs w:val="24"/>
        </w:rPr>
        <w:t>,</w:t>
      </w:r>
      <w:r>
        <w:rPr>
          <w:szCs w:val="24"/>
        </w:rPr>
        <w:t xml:space="preserve"> 429–31.</w:t>
      </w:r>
      <w:proofErr w:type="gramEnd"/>
    </w:p>
    <w:p w:rsidR="00AD5452" w:rsidRDefault="00AD5452" w:rsidP="00AD5452">
      <w:pPr>
        <w:spacing w:line="480" w:lineRule="auto"/>
        <w:jc w:val="both"/>
        <w:rPr>
          <w:szCs w:val="24"/>
        </w:rPr>
      </w:pPr>
      <w:r>
        <w:rPr>
          <w:szCs w:val="24"/>
        </w:rPr>
        <w:t xml:space="preserve">SUNDQVIST, G. 1992. </w:t>
      </w:r>
      <w:proofErr w:type="gramStart"/>
      <w:r>
        <w:rPr>
          <w:szCs w:val="24"/>
        </w:rPr>
        <w:t>Ecology of the root canal flora.</w:t>
      </w:r>
      <w:proofErr w:type="gramEnd"/>
      <w:r>
        <w:rPr>
          <w:szCs w:val="24"/>
        </w:rPr>
        <w:t xml:space="preserve"> </w:t>
      </w:r>
      <w:proofErr w:type="gramStart"/>
      <w:r>
        <w:rPr>
          <w:i/>
          <w:iCs/>
          <w:szCs w:val="24"/>
        </w:rPr>
        <w:t xml:space="preserve">Journal of Endodontics </w:t>
      </w:r>
      <w:r>
        <w:rPr>
          <w:szCs w:val="24"/>
        </w:rPr>
        <w:t>18</w:t>
      </w:r>
      <w:r>
        <w:rPr>
          <w:b/>
          <w:bCs/>
          <w:szCs w:val="24"/>
        </w:rPr>
        <w:t>,</w:t>
      </w:r>
      <w:r>
        <w:rPr>
          <w:szCs w:val="24"/>
        </w:rPr>
        <w:t xml:space="preserve"> 427-30.</w:t>
      </w:r>
      <w:proofErr w:type="gramEnd"/>
    </w:p>
    <w:p w:rsidR="00AD5452" w:rsidRDefault="00AD5452" w:rsidP="00AD5452">
      <w:pPr>
        <w:spacing w:line="480" w:lineRule="auto"/>
        <w:jc w:val="both"/>
        <w:rPr>
          <w:szCs w:val="24"/>
        </w:rPr>
      </w:pPr>
      <w:r>
        <w:rPr>
          <w:szCs w:val="24"/>
        </w:rPr>
        <w:t xml:space="preserve">SVINGEN, P., LOEGERING, D., RODRIGUEZ, J., MENG XW, MESNER, P., HOLBECK, S., MONKS, A., KRAJEWSKI, S., SCUDIERO, D., SAUSVILLE, E., REED, J., LAZEBNIK, Y. &amp; KAUFMANN, S. 2004. </w:t>
      </w:r>
      <w:proofErr w:type="gramStart"/>
      <w:r>
        <w:rPr>
          <w:szCs w:val="24"/>
        </w:rPr>
        <w:t>Components of the cell death machine and drug sensitivity of the National Cancer Institute Cell Line Panel.</w:t>
      </w:r>
      <w:proofErr w:type="gramEnd"/>
      <w:r>
        <w:rPr>
          <w:szCs w:val="24"/>
        </w:rPr>
        <w:t xml:space="preserve"> </w:t>
      </w:r>
      <w:r>
        <w:rPr>
          <w:i/>
          <w:iCs/>
          <w:szCs w:val="24"/>
        </w:rPr>
        <w:t>Clin Cancer Rev,</w:t>
      </w:r>
      <w:r>
        <w:rPr>
          <w:szCs w:val="24"/>
        </w:rPr>
        <w:t xml:space="preserve"> 10</w:t>
      </w:r>
      <w:r>
        <w:rPr>
          <w:b/>
          <w:bCs/>
          <w:szCs w:val="24"/>
        </w:rPr>
        <w:t>,</w:t>
      </w:r>
      <w:r>
        <w:rPr>
          <w:szCs w:val="24"/>
        </w:rPr>
        <w:t xml:space="preserve"> 6807-20.</w:t>
      </w:r>
    </w:p>
    <w:p w:rsidR="00AD5452" w:rsidRDefault="00AD5452" w:rsidP="00AD5452">
      <w:pPr>
        <w:spacing w:line="480" w:lineRule="auto"/>
        <w:jc w:val="both"/>
        <w:rPr>
          <w:szCs w:val="24"/>
        </w:rPr>
      </w:pPr>
      <w:r>
        <w:rPr>
          <w:szCs w:val="24"/>
        </w:rPr>
        <w:t xml:space="preserve">TANI-ISHII, N., WANG, C., TANNER, A. &amp; STASHENKO, P. 1994. </w:t>
      </w:r>
      <w:proofErr w:type="gramStart"/>
      <w:r>
        <w:rPr>
          <w:szCs w:val="24"/>
        </w:rPr>
        <w:t>Changes in root canal microbiota during the development of rat periapical lesions.</w:t>
      </w:r>
      <w:proofErr w:type="gramEnd"/>
      <w:r>
        <w:rPr>
          <w:szCs w:val="24"/>
        </w:rPr>
        <w:t xml:space="preserve"> </w:t>
      </w:r>
      <w:r>
        <w:rPr>
          <w:i/>
          <w:iCs/>
          <w:szCs w:val="24"/>
        </w:rPr>
        <w:t>Oral Microbiology and Immunology,</w:t>
      </w:r>
      <w:r>
        <w:rPr>
          <w:szCs w:val="24"/>
        </w:rPr>
        <w:t xml:space="preserve"> 9</w:t>
      </w:r>
      <w:r>
        <w:rPr>
          <w:b/>
          <w:bCs/>
          <w:szCs w:val="24"/>
        </w:rPr>
        <w:t>,</w:t>
      </w:r>
      <w:r>
        <w:rPr>
          <w:szCs w:val="24"/>
        </w:rPr>
        <w:t xml:space="preserve"> 129-135.</w:t>
      </w:r>
    </w:p>
    <w:p w:rsidR="00AD5452" w:rsidRDefault="00AD5452" w:rsidP="00AD5452">
      <w:pPr>
        <w:spacing w:line="480" w:lineRule="auto"/>
        <w:jc w:val="both"/>
        <w:rPr>
          <w:szCs w:val="24"/>
        </w:rPr>
      </w:pPr>
      <w:proofErr w:type="gramStart"/>
      <w:r>
        <w:rPr>
          <w:szCs w:val="24"/>
        </w:rPr>
        <w:lastRenderedPageBreak/>
        <w:t>TANOMARU-FILHO, M., TANOMARU, J., BARROS, D., WATANABE, E. &amp; ITO, I. 2007.</w:t>
      </w:r>
      <w:proofErr w:type="gramEnd"/>
      <w:r>
        <w:rPr>
          <w:szCs w:val="24"/>
        </w:rPr>
        <w:t xml:space="preserve"> </w:t>
      </w:r>
      <w:proofErr w:type="gramStart"/>
      <w:r>
        <w:rPr>
          <w:szCs w:val="24"/>
        </w:rPr>
        <w:t>In vitro antimicrobial activity of endodontic sealers, MTA-based cements and Portland cement.</w:t>
      </w:r>
      <w:proofErr w:type="gramEnd"/>
      <w:r>
        <w:rPr>
          <w:szCs w:val="24"/>
        </w:rPr>
        <w:t xml:space="preserve"> </w:t>
      </w:r>
      <w:proofErr w:type="gramStart"/>
      <w:r>
        <w:rPr>
          <w:i/>
          <w:iCs/>
          <w:szCs w:val="24"/>
        </w:rPr>
        <w:t xml:space="preserve">J Oral Sci </w:t>
      </w:r>
      <w:r>
        <w:rPr>
          <w:szCs w:val="24"/>
        </w:rPr>
        <w:t>49</w:t>
      </w:r>
      <w:r>
        <w:rPr>
          <w:b/>
          <w:bCs/>
          <w:szCs w:val="24"/>
        </w:rPr>
        <w:t>,</w:t>
      </w:r>
      <w:r>
        <w:rPr>
          <w:szCs w:val="24"/>
        </w:rPr>
        <w:t xml:space="preserve"> 41–5.</w:t>
      </w:r>
      <w:proofErr w:type="gramEnd"/>
    </w:p>
    <w:p w:rsidR="00AD5452" w:rsidRDefault="00AD5452" w:rsidP="00AD5452">
      <w:pPr>
        <w:spacing w:line="480" w:lineRule="auto"/>
        <w:jc w:val="both"/>
        <w:rPr>
          <w:szCs w:val="24"/>
        </w:rPr>
      </w:pPr>
      <w:proofErr w:type="gramStart"/>
      <w:r>
        <w:rPr>
          <w:szCs w:val="24"/>
        </w:rPr>
        <w:t>TECLES, O., LAURENT, P., ZYGOURITSAS, S., BURGER, A., CAMPS, J., DEJOU, J. &amp; ABOUT, I. 2005.</w:t>
      </w:r>
      <w:proofErr w:type="gramEnd"/>
      <w:r>
        <w:rPr>
          <w:szCs w:val="24"/>
        </w:rPr>
        <w:t xml:space="preserve"> Activation of human dental pulp progenitor/stem cells in response to odontoblast injury.</w:t>
      </w:r>
      <w:r>
        <w:rPr>
          <w:i/>
          <w:iCs/>
          <w:szCs w:val="24"/>
        </w:rPr>
        <w:t xml:space="preserve"> </w:t>
      </w:r>
      <w:proofErr w:type="gramStart"/>
      <w:r>
        <w:rPr>
          <w:i/>
          <w:iCs/>
          <w:szCs w:val="24"/>
        </w:rPr>
        <w:t>Arch Oral Biol,</w:t>
      </w:r>
      <w:r>
        <w:rPr>
          <w:szCs w:val="24"/>
        </w:rPr>
        <w:t xml:space="preserve"> 50</w:t>
      </w:r>
      <w:r>
        <w:rPr>
          <w:b/>
          <w:bCs/>
          <w:szCs w:val="24"/>
        </w:rPr>
        <w:t>,</w:t>
      </w:r>
      <w:r>
        <w:rPr>
          <w:szCs w:val="24"/>
        </w:rPr>
        <w:t xml:space="preserve"> 103-8.</w:t>
      </w:r>
      <w:proofErr w:type="gramEnd"/>
    </w:p>
    <w:p w:rsidR="00AD5452" w:rsidRDefault="00AD5452" w:rsidP="00AD5452">
      <w:pPr>
        <w:spacing w:line="480" w:lineRule="auto"/>
        <w:jc w:val="both"/>
        <w:rPr>
          <w:szCs w:val="24"/>
        </w:rPr>
      </w:pPr>
      <w:proofErr w:type="gramStart"/>
      <w:r>
        <w:rPr>
          <w:szCs w:val="24"/>
        </w:rPr>
        <w:t>THIBODEAU, B. &amp; TROPE, M. 2007.</w:t>
      </w:r>
      <w:proofErr w:type="gramEnd"/>
      <w:r>
        <w:rPr>
          <w:szCs w:val="24"/>
        </w:rPr>
        <w:t xml:space="preserve"> Pulp revascularization of a necrotic infected immature per-manent tooth: case report and review of the literature. </w:t>
      </w:r>
      <w:r>
        <w:rPr>
          <w:i/>
          <w:iCs/>
          <w:szCs w:val="24"/>
        </w:rPr>
        <w:t xml:space="preserve">Pediatr Dent </w:t>
      </w:r>
      <w:r>
        <w:rPr>
          <w:szCs w:val="24"/>
        </w:rPr>
        <w:t>29</w:t>
      </w:r>
      <w:r>
        <w:rPr>
          <w:b/>
          <w:bCs/>
          <w:szCs w:val="24"/>
        </w:rPr>
        <w:t>,</w:t>
      </w:r>
      <w:r>
        <w:rPr>
          <w:szCs w:val="24"/>
        </w:rPr>
        <w:t xml:space="preserve"> 47–50.</w:t>
      </w:r>
    </w:p>
    <w:p w:rsidR="00AD5452" w:rsidRDefault="00AD5452" w:rsidP="00AD5452">
      <w:pPr>
        <w:spacing w:line="480" w:lineRule="auto"/>
        <w:jc w:val="both"/>
        <w:rPr>
          <w:szCs w:val="24"/>
        </w:rPr>
      </w:pPr>
      <w:proofErr w:type="gramStart"/>
      <w:r>
        <w:rPr>
          <w:szCs w:val="24"/>
        </w:rPr>
        <w:t>TITTLE, K., FARLEY, J., LINKHARD, T. &amp; TORABINEJAD, M. 1996.</w:t>
      </w:r>
      <w:proofErr w:type="gramEnd"/>
      <w:r>
        <w:rPr>
          <w:szCs w:val="24"/>
        </w:rPr>
        <w:t xml:space="preserve"> Apical clouser induction using bone growth factors and trioxide aggregate. </w:t>
      </w:r>
      <w:proofErr w:type="gramStart"/>
      <w:r>
        <w:rPr>
          <w:i/>
          <w:iCs/>
          <w:szCs w:val="24"/>
        </w:rPr>
        <w:t>Journal of Endodontics,</w:t>
      </w:r>
      <w:r>
        <w:rPr>
          <w:szCs w:val="24"/>
        </w:rPr>
        <w:t xml:space="preserve"> 22</w:t>
      </w:r>
      <w:r>
        <w:rPr>
          <w:b/>
          <w:bCs/>
          <w:szCs w:val="24"/>
        </w:rPr>
        <w:t>,</w:t>
      </w:r>
      <w:r>
        <w:rPr>
          <w:szCs w:val="24"/>
        </w:rPr>
        <w:t xml:space="preserve"> 198.</w:t>
      </w:r>
      <w:proofErr w:type="gramEnd"/>
    </w:p>
    <w:p w:rsidR="00AD5452" w:rsidRDefault="00AD5452" w:rsidP="00AD5452">
      <w:pPr>
        <w:spacing w:line="480" w:lineRule="auto"/>
        <w:jc w:val="both"/>
        <w:rPr>
          <w:szCs w:val="24"/>
        </w:rPr>
      </w:pPr>
      <w:proofErr w:type="gramStart"/>
      <w:r>
        <w:rPr>
          <w:szCs w:val="24"/>
        </w:rPr>
        <w:t>TORABINEJAD, M. &amp; CHIVIAN, N. 1999.</w:t>
      </w:r>
      <w:proofErr w:type="gramEnd"/>
      <w:r>
        <w:rPr>
          <w:szCs w:val="24"/>
        </w:rPr>
        <w:t xml:space="preserve"> </w:t>
      </w:r>
      <w:proofErr w:type="gramStart"/>
      <w:r>
        <w:rPr>
          <w:szCs w:val="24"/>
        </w:rPr>
        <w:t>Clinical application of mineral trioxide aggregate.</w:t>
      </w:r>
      <w:proofErr w:type="gramEnd"/>
      <w:r>
        <w:rPr>
          <w:szCs w:val="24"/>
        </w:rPr>
        <w:t xml:space="preserve"> . </w:t>
      </w:r>
      <w:proofErr w:type="gramStart"/>
      <w:r>
        <w:rPr>
          <w:i/>
          <w:iCs/>
          <w:szCs w:val="24"/>
        </w:rPr>
        <w:t>journal</w:t>
      </w:r>
      <w:proofErr w:type="gramEnd"/>
      <w:r>
        <w:rPr>
          <w:i/>
          <w:iCs/>
          <w:szCs w:val="24"/>
        </w:rPr>
        <w:t xml:space="preserve"> of endodontics.,</w:t>
      </w:r>
      <w:r>
        <w:rPr>
          <w:szCs w:val="24"/>
        </w:rPr>
        <w:t xml:space="preserve"> 25</w:t>
      </w:r>
      <w:r>
        <w:rPr>
          <w:b/>
          <w:bCs/>
          <w:szCs w:val="24"/>
        </w:rPr>
        <w:t>,</w:t>
      </w:r>
      <w:r>
        <w:rPr>
          <w:szCs w:val="24"/>
        </w:rPr>
        <w:t xml:space="preserve"> 197-205.</w:t>
      </w:r>
    </w:p>
    <w:p w:rsidR="00AD5452" w:rsidRDefault="00AD5452" w:rsidP="00AD5452">
      <w:pPr>
        <w:spacing w:line="480" w:lineRule="auto"/>
        <w:jc w:val="both"/>
        <w:rPr>
          <w:szCs w:val="24"/>
        </w:rPr>
      </w:pPr>
      <w:r>
        <w:rPr>
          <w:szCs w:val="24"/>
        </w:rPr>
        <w:t xml:space="preserve">TORABINEJAD, M., HANG, C., MCDONALD, F. &amp; PITT-FORD, </w:t>
      </w:r>
      <w:proofErr w:type="gramStart"/>
      <w:r>
        <w:rPr>
          <w:szCs w:val="24"/>
        </w:rPr>
        <w:t>T</w:t>
      </w:r>
      <w:proofErr w:type="gramEnd"/>
      <w:r>
        <w:rPr>
          <w:szCs w:val="24"/>
        </w:rPr>
        <w:t xml:space="preserve">. 1995a. </w:t>
      </w:r>
      <w:proofErr w:type="gramStart"/>
      <w:r>
        <w:rPr>
          <w:szCs w:val="24"/>
        </w:rPr>
        <w:t>physical</w:t>
      </w:r>
      <w:proofErr w:type="gramEnd"/>
      <w:r>
        <w:rPr>
          <w:szCs w:val="24"/>
        </w:rPr>
        <w:t xml:space="preserve"> and chemical properties of anew root-end filling material.</w:t>
      </w:r>
      <w:r>
        <w:rPr>
          <w:i/>
          <w:iCs/>
          <w:szCs w:val="24"/>
        </w:rPr>
        <w:t xml:space="preserve"> </w:t>
      </w:r>
      <w:proofErr w:type="gramStart"/>
      <w:r>
        <w:rPr>
          <w:i/>
          <w:iCs/>
          <w:szCs w:val="24"/>
        </w:rPr>
        <w:t>journal</w:t>
      </w:r>
      <w:proofErr w:type="gramEnd"/>
      <w:r>
        <w:rPr>
          <w:i/>
          <w:iCs/>
          <w:szCs w:val="24"/>
        </w:rPr>
        <w:t xml:space="preserve"> of endodontics,</w:t>
      </w:r>
      <w:r>
        <w:rPr>
          <w:szCs w:val="24"/>
        </w:rPr>
        <w:t xml:space="preserve"> 21</w:t>
      </w:r>
      <w:r>
        <w:rPr>
          <w:b/>
          <w:bCs/>
          <w:szCs w:val="24"/>
        </w:rPr>
        <w:t>,</w:t>
      </w:r>
      <w:r>
        <w:rPr>
          <w:szCs w:val="24"/>
        </w:rPr>
        <w:t xml:space="preserve"> 349-353.</w:t>
      </w:r>
    </w:p>
    <w:p w:rsidR="00AD5452" w:rsidRDefault="00AD5452" w:rsidP="00AD5452">
      <w:pPr>
        <w:spacing w:line="480" w:lineRule="auto"/>
        <w:jc w:val="both"/>
        <w:rPr>
          <w:szCs w:val="24"/>
        </w:rPr>
      </w:pPr>
      <w:r>
        <w:rPr>
          <w:szCs w:val="24"/>
        </w:rPr>
        <w:t>TORABINEJAD, M., HIGA, R., MCKENDRY, D. &amp; PITT FORD, T. 2004</w:t>
      </w:r>
    </w:p>
    <w:p w:rsidR="00AD5452" w:rsidRDefault="00AD5452" w:rsidP="00AD5452">
      <w:pPr>
        <w:spacing w:line="480" w:lineRule="auto"/>
        <w:jc w:val="both"/>
        <w:rPr>
          <w:szCs w:val="24"/>
        </w:rPr>
      </w:pPr>
      <w:r>
        <w:rPr>
          <w:szCs w:val="24"/>
        </w:rPr>
        <w:t>Dye leakage of four root end filling materials</w:t>
      </w:r>
      <w:proofErr w:type="gramStart"/>
      <w:r>
        <w:rPr>
          <w:szCs w:val="24"/>
        </w:rPr>
        <w:t>:effects</w:t>
      </w:r>
      <w:proofErr w:type="gramEnd"/>
      <w:r>
        <w:rPr>
          <w:szCs w:val="24"/>
        </w:rPr>
        <w:t xml:space="preserve"> of blood contamination. </w:t>
      </w:r>
      <w:proofErr w:type="gramStart"/>
      <w:r>
        <w:rPr>
          <w:i/>
          <w:iCs/>
          <w:szCs w:val="24"/>
        </w:rPr>
        <w:t>journal</w:t>
      </w:r>
      <w:proofErr w:type="gramEnd"/>
      <w:r>
        <w:rPr>
          <w:i/>
          <w:iCs/>
          <w:szCs w:val="24"/>
        </w:rPr>
        <w:t xml:space="preserve"> of endodontics. ,</w:t>
      </w:r>
      <w:r>
        <w:rPr>
          <w:szCs w:val="24"/>
        </w:rPr>
        <w:t xml:space="preserve"> 20</w:t>
      </w:r>
      <w:r>
        <w:rPr>
          <w:b/>
          <w:bCs/>
          <w:szCs w:val="24"/>
        </w:rPr>
        <w:t>,</w:t>
      </w:r>
      <w:r>
        <w:rPr>
          <w:szCs w:val="24"/>
        </w:rPr>
        <w:t xml:space="preserve"> 159-163.</w:t>
      </w:r>
    </w:p>
    <w:p w:rsidR="00AD5452" w:rsidRDefault="00AD5452" w:rsidP="00AD5452">
      <w:pPr>
        <w:spacing w:line="480" w:lineRule="auto"/>
        <w:jc w:val="both"/>
        <w:rPr>
          <w:szCs w:val="24"/>
        </w:rPr>
      </w:pPr>
      <w:r>
        <w:rPr>
          <w:szCs w:val="24"/>
        </w:rPr>
        <w:t>TORABINEJAD, M., HIGA, R., MCKENDRY, D. &amp; PITT-FORD, T. 1994. Dye leakage of four root end filling materials</w:t>
      </w:r>
      <w:proofErr w:type="gramStart"/>
      <w:r>
        <w:rPr>
          <w:szCs w:val="24"/>
        </w:rPr>
        <w:t>:effects</w:t>
      </w:r>
      <w:proofErr w:type="gramEnd"/>
      <w:r>
        <w:rPr>
          <w:szCs w:val="24"/>
        </w:rPr>
        <w:t xml:space="preserve"> of blood contamination. </w:t>
      </w:r>
      <w:r>
        <w:rPr>
          <w:i/>
          <w:iCs/>
          <w:szCs w:val="24"/>
        </w:rPr>
        <w:t>Journal of Endodontics,</w:t>
      </w:r>
      <w:r>
        <w:rPr>
          <w:szCs w:val="24"/>
        </w:rPr>
        <w:t xml:space="preserve"> 20</w:t>
      </w:r>
      <w:r>
        <w:rPr>
          <w:b/>
          <w:bCs/>
          <w:szCs w:val="24"/>
        </w:rPr>
        <w:t>,</w:t>
      </w:r>
      <w:r>
        <w:rPr>
          <w:szCs w:val="24"/>
        </w:rPr>
        <w:t xml:space="preserve"> 159-163.</w:t>
      </w:r>
    </w:p>
    <w:p w:rsidR="00AD5452" w:rsidRDefault="00AD5452" w:rsidP="00AD5452">
      <w:pPr>
        <w:spacing w:line="480" w:lineRule="auto"/>
        <w:jc w:val="both"/>
        <w:rPr>
          <w:szCs w:val="24"/>
        </w:rPr>
      </w:pPr>
      <w:r>
        <w:rPr>
          <w:szCs w:val="24"/>
        </w:rPr>
        <w:lastRenderedPageBreak/>
        <w:t xml:space="preserve">TORABINEJAD, M., HONG, C., PITT FORD, T. &amp; KETTERING, J. 1995. Antibacterial effects of some root end filling materials. </w:t>
      </w:r>
      <w:proofErr w:type="gramStart"/>
      <w:r>
        <w:rPr>
          <w:i/>
          <w:iCs/>
          <w:szCs w:val="24"/>
        </w:rPr>
        <w:t xml:space="preserve">J Endod </w:t>
      </w:r>
      <w:r>
        <w:rPr>
          <w:szCs w:val="24"/>
        </w:rPr>
        <w:t>21</w:t>
      </w:r>
      <w:r>
        <w:rPr>
          <w:b/>
          <w:bCs/>
          <w:szCs w:val="24"/>
        </w:rPr>
        <w:t>,</w:t>
      </w:r>
      <w:r>
        <w:rPr>
          <w:szCs w:val="24"/>
        </w:rPr>
        <w:t xml:space="preserve"> 403–6.</w:t>
      </w:r>
      <w:proofErr w:type="gramEnd"/>
    </w:p>
    <w:p w:rsidR="00AD5452" w:rsidRDefault="00AD5452" w:rsidP="00AD5452">
      <w:pPr>
        <w:spacing w:line="480" w:lineRule="auto"/>
        <w:jc w:val="both"/>
        <w:rPr>
          <w:szCs w:val="24"/>
        </w:rPr>
      </w:pPr>
      <w:r>
        <w:rPr>
          <w:szCs w:val="24"/>
        </w:rPr>
        <w:t xml:space="preserve">TORABINEJAD, M., SMITH, P., KETTERING, J. &amp; PITT-FORD, T. 1995g. Comparative investigation of marginal adaptation of mineral trioxide aggregate and other commonly used root-end filling materials. </w:t>
      </w:r>
      <w:proofErr w:type="gramStart"/>
      <w:r>
        <w:rPr>
          <w:i/>
          <w:iCs/>
          <w:szCs w:val="24"/>
        </w:rPr>
        <w:t>Journal of Endodontics</w:t>
      </w:r>
      <w:r>
        <w:rPr>
          <w:szCs w:val="24"/>
        </w:rPr>
        <w:t>.</w:t>
      </w:r>
      <w:proofErr w:type="gramEnd"/>
    </w:p>
    <w:p w:rsidR="00AD5452" w:rsidRDefault="00AD5452" w:rsidP="00AD5452">
      <w:pPr>
        <w:spacing w:line="480" w:lineRule="auto"/>
        <w:jc w:val="both"/>
        <w:rPr>
          <w:szCs w:val="24"/>
        </w:rPr>
      </w:pPr>
      <w:proofErr w:type="gramStart"/>
      <w:r>
        <w:rPr>
          <w:szCs w:val="24"/>
        </w:rPr>
        <w:t>TORABINEJAD, M., TORABINEJAD, M., WASTON, T. &amp; PITT-FORD, T. 1993.</w:t>
      </w:r>
      <w:proofErr w:type="gramEnd"/>
      <w:r>
        <w:rPr>
          <w:szCs w:val="24"/>
        </w:rPr>
        <w:t xml:space="preserve"> </w:t>
      </w:r>
      <w:proofErr w:type="gramStart"/>
      <w:r>
        <w:rPr>
          <w:szCs w:val="24"/>
        </w:rPr>
        <w:t>Sealing ability of mineral trioxide aggregate when used as a root end filling material.</w:t>
      </w:r>
      <w:proofErr w:type="gramEnd"/>
      <w:r>
        <w:rPr>
          <w:szCs w:val="24"/>
        </w:rPr>
        <w:t xml:space="preserve"> </w:t>
      </w:r>
      <w:proofErr w:type="gramStart"/>
      <w:r>
        <w:rPr>
          <w:i/>
          <w:iCs/>
          <w:szCs w:val="24"/>
        </w:rPr>
        <w:t>journal</w:t>
      </w:r>
      <w:proofErr w:type="gramEnd"/>
      <w:r>
        <w:rPr>
          <w:i/>
          <w:iCs/>
          <w:szCs w:val="24"/>
        </w:rPr>
        <w:t xml:space="preserve"> of endodontics,</w:t>
      </w:r>
      <w:r>
        <w:rPr>
          <w:szCs w:val="24"/>
        </w:rPr>
        <w:t xml:space="preserve"> 19</w:t>
      </w:r>
      <w:r>
        <w:rPr>
          <w:b/>
          <w:bCs/>
          <w:szCs w:val="24"/>
        </w:rPr>
        <w:t>,</w:t>
      </w:r>
      <w:r>
        <w:rPr>
          <w:szCs w:val="24"/>
        </w:rPr>
        <w:t xml:space="preserve"> 591-595.</w:t>
      </w:r>
    </w:p>
    <w:p w:rsidR="00AD5452" w:rsidRDefault="00AD5452" w:rsidP="00AD5452">
      <w:pPr>
        <w:spacing w:line="480" w:lineRule="auto"/>
        <w:jc w:val="both"/>
        <w:rPr>
          <w:szCs w:val="24"/>
        </w:rPr>
      </w:pPr>
      <w:proofErr w:type="gramStart"/>
      <w:r>
        <w:rPr>
          <w:szCs w:val="24"/>
        </w:rPr>
        <w:t>TORABINEJAD, M. &amp; WALTON, R. 2008.</w:t>
      </w:r>
      <w:proofErr w:type="gramEnd"/>
      <w:r>
        <w:rPr>
          <w:szCs w:val="24"/>
        </w:rPr>
        <w:t xml:space="preserve"> </w:t>
      </w:r>
      <w:r>
        <w:rPr>
          <w:i/>
          <w:iCs/>
          <w:szCs w:val="24"/>
        </w:rPr>
        <w:t>Endodontics: principles and practice</w:t>
      </w:r>
      <w:r>
        <w:rPr>
          <w:szCs w:val="24"/>
        </w:rPr>
        <w:t>, St. Louis Saunders-Elsevier.</w:t>
      </w:r>
    </w:p>
    <w:p w:rsidR="00AD5452" w:rsidRDefault="00AD5452" w:rsidP="00AD5452">
      <w:pPr>
        <w:spacing w:line="480" w:lineRule="auto"/>
        <w:jc w:val="both"/>
        <w:rPr>
          <w:szCs w:val="24"/>
        </w:rPr>
      </w:pPr>
      <w:proofErr w:type="gramStart"/>
      <w:r>
        <w:rPr>
          <w:szCs w:val="24"/>
        </w:rPr>
        <w:t>TORABINEJAD, M., WATSON, T. &amp; PITT FORD, T. 1993.</w:t>
      </w:r>
      <w:proofErr w:type="gramEnd"/>
      <w:r>
        <w:rPr>
          <w:szCs w:val="24"/>
        </w:rPr>
        <w:t xml:space="preserve"> </w:t>
      </w:r>
      <w:proofErr w:type="gramStart"/>
      <w:r>
        <w:rPr>
          <w:szCs w:val="24"/>
        </w:rPr>
        <w:t>Sealing ability of a mineral trioxide aggregate when used as a root end filling material.</w:t>
      </w:r>
      <w:proofErr w:type="gramEnd"/>
      <w:r>
        <w:rPr>
          <w:szCs w:val="24"/>
        </w:rPr>
        <w:t xml:space="preserve"> </w:t>
      </w:r>
      <w:proofErr w:type="gramStart"/>
      <w:r>
        <w:rPr>
          <w:i/>
          <w:iCs/>
          <w:szCs w:val="24"/>
        </w:rPr>
        <w:t xml:space="preserve">J Endod </w:t>
      </w:r>
      <w:r>
        <w:rPr>
          <w:szCs w:val="24"/>
        </w:rPr>
        <w:t>21</w:t>
      </w:r>
      <w:r>
        <w:rPr>
          <w:b/>
          <w:bCs/>
          <w:szCs w:val="24"/>
        </w:rPr>
        <w:t>,</w:t>
      </w:r>
      <w:r>
        <w:rPr>
          <w:szCs w:val="24"/>
        </w:rPr>
        <w:t xml:space="preserve"> 349–53.</w:t>
      </w:r>
      <w:proofErr w:type="gramEnd"/>
    </w:p>
    <w:p w:rsidR="00AD5452" w:rsidRDefault="00AD5452" w:rsidP="00AD5452">
      <w:pPr>
        <w:spacing w:line="480" w:lineRule="auto"/>
        <w:jc w:val="both"/>
        <w:rPr>
          <w:szCs w:val="24"/>
        </w:rPr>
      </w:pPr>
      <w:r>
        <w:rPr>
          <w:szCs w:val="24"/>
        </w:rPr>
        <w:t xml:space="preserve">TORNECK, C. 1982. </w:t>
      </w:r>
      <w:proofErr w:type="gramStart"/>
      <w:r>
        <w:rPr>
          <w:szCs w:val="24"/>
        </w:rPr>
        <w:t>Effects of trauma to the developing permanent dentition.</w:t>
      </w:r>
      <w:proofErr w:type="gramEnd"/>
      <w:r>
        <w:rPr>
          <w:szCs w:val="24"/>
        </w:rPr>
        <w:t xml:space="preserve"> </w:t>
      </w:r>
      <w:r>
        <w:rPr>
          <w:i/>
          <w:iCs/>
          <w:szCs w:val="24"/>
        </w:rPr>
        <w:t>Dent Clin N Am,</w:t>
      </w:r>
      <w:r>
        <w:rPr>
          <w:szCs w:val="24"/>
        </w:rPr>
        <w:t xml:space="preserve"> 26</w:t>
      </w:r>
      <w:r>
        <w:rPr>
          <w:b/>
          <w:bCs/>
          <w:szCs w:val="24"/>
        </w:rPr>
        <w:t>,</w:t>
      </w:r>
      <w:r>
        <w:rPr>
          <w:szCs w:val="24"/>
        </w:rPr>
        <w:t xml:space="preserve"> 481-504.</w:t>
      </w:r>
    </w:p>
    <w:p w:rsidR="00AD5452" w:rsidRDefault="00AD5452" w:rsidP="00AD5452">
      <w:pPr>
        <w:spacing w:line="480" w:lineRule="auto"/>
        <w:jc w:val="both"/>
        <w:rPr>
          <w:szCs w:val="24"/>
        </w:rPr>
      </w:pPr>
      <w:proofErr w:type="gramStart"/>
      <w:r>
        <w:rPr>
          <w:szCs w:val="24"/>
        </w:rPr>
        <w:t>TORNECK, C., MOE, H. &amp; HOWLEY, T. 1983.</w:t>
      </w:r>
      <w:proofErr w:type="gramEnd"/>
      <w:r>
        <w:rPr>
          <w:szCs w:val="24"/>
        </w:rPr>
        <w:t xml:space="preserve"> </w:t>
      </w:r>
      <w:proofErr w:type="gramStart"/>
      <w:r>
        <w:rPr>
          <w:szCs w:val="24"/>
        </w:rPr>
        <w:t>The effect of calcium hydroxide on porcine pulp fibroblasts in vitro.</w:t>
      </w:r>
      <w:proofErr w:type="gramEnd"/>
      <w:r>
        <w:rPr>
          <w:szCs w:val="24"/>
        </w:rPr>
        <w:t xml:space="preserve"> </w:t>
      </w:r>
      <w:proofErr w:type="gramStart"/>
      <w:r>
        <w:rPr>
          <w:i/>
          <w:iCs/>
          <w:szCs w:val="24"/>
        </w:rPr>
        <w:t>J Endod,</w:t>
      </w:r>
      <w:r>
        <w:rPr>
          <w:szCs w:val="24"/>
        </w:rPr>
        <w:t xml:space="preserve"> 9</w:t>
      </w:r>
      <w:r>
        <w:rPr>
          <w:b/>
          <w:bCs/>
          <w:szCs w:val="24"/>
        </w:rPr>
        <w:t>,</w:t>
      </w:r>
      <w:r>
        <w:rPr>
          <w:szCs w:val="24"/>
        </w:rPr>
        <w:t xml:space="preserve"> 131–6.</w:t>
      </w:r>
      <w:proofErr w:type="gramEnd"/>
    </w:p>
    <w:p w:rsidR="00AD5452" w:rsidRDefault="00AD5452" w:rsidP="00AD5452">
      <w:pPr>
        <w:spacing w:line="480" w:lineRule="auto"/>
        <w:jc w:val="both"/>
        <w:rPr>
          <w:szCs w:val="24"/>
        </w:rPr>
      </w:pPr>
      <w:proofErr w:type="gramStart"/>
      <w:r>
        <w:rPr>
          <w:szCs w:val="24"/>
        </w:rPr>
        <w:t>TREVINO, E., PATWARDHAN, A. &amp; HENRY, M. 2011.</w:t>
      </w:r>
      <w:proofErr w:type="gramEnd"/>
      <w:r>
        <w:rPr>
          <w:szCs w:val="24"/>
        </w:rPr>
        <w:t xml:space="preserve"> </w:t>
      </w:r>
      <w:proofErr w:type="gramStart"/>
      <w:r>
        <w:rPr>
          <w:szCs w:val="24"/>
        </w:rPr>
        <w:t>Effect of irrigants on the survival of human stem cells of the apical papilla in a platelet-rich plasma scaffold in human root tips.</w:t>
      </w:r>
      <w:proofErr w:type="gramEnd"/>
      <w:r>
        <w:rPr>
          <w:szCs w:val="24"/>
        </w:rPr>
        <w:t xml:space="preserve"> </w:t>
      </w:r>
      <w:r>
        <w:rPr>
          <w:i/>
          <w:iCs/>
          <w:szCs w:val="24"/>
        </w:rPr>
        <w:t xml:space="preserve">. J Endod </w:t>
      </w:r>
      <w:r>
        <w:rPr>
          <w:szCs w:val="24"/>
        </w:rPr>
        <w:t>37</w:t>
      </w:r>
      <w:r>
        <w:rPr>
          <w:b/>
          <w:bCs/>
          <w:szCs w:val="24"/>
        </w:rPr>
        <w:t>,</w:t>
      </w:r>
      <w:r>
        <w:rPr>
          <w:szCs w:val="24"/>
        </w:rPr>
        <w:t xml:space="preserve"> 1109–15.</w:t>
      </w:r>
    </w:p>
    <w:p w:rsidR="00AD5452" w:rsidRDefault="00AD5452" w:rsidP="00AD5452">
      <w:pPr>
        <w:spacing w:line="480" w:lineRule="auto"/>
        <w:jc w:val="both"/>
        <w:rPr>
          <w:szCs w:val="24"/>
        </w:rPr>
      </w:pPr>
      <w:r>
        <w:rPr>
          <w:szCs w:val="24"/>
        </w:rPr>
        <w:t xml:space="preserve">TRONSTAD, L. 1992. </w:t>
      </w:r>
      <w:proofErr w:type="gramStart"/>
      <w:r>
        <w:rPr>
          <w:szCs w:val="24"/>
        </w:rPr>
        <w:t>Recent development in endodontic research.</w:t>
      </w:r>
      <w:proofErr w:type="gramEnd"/>
      <w:r>
        <w:rPr>
          <w:szCs w:val="24"/>
        </w:rPr>
        <w:t xml:space="preserve"> </w:t>
      </w:r>
      <w:proofErr w:type="gramStart"/>
      <w:r>
        <w:rPr>
          <w:i/>
          <w:iCs/>
          <w:szCs w:val="24"/>
        </w:rPr>
        <w:t>Scandinavian Journal of Dental Research,</w:t>
      </w:r>
      <w:r>
        <w:rPr>
          <w:szCs w:val="24"/>
        </w:rPr>
        <w:t xml:space="preserve"> 100</w:t>
      </w:r>
      <w:r>
        <w:rPr>
          <w:b/>
          <w:bCs/>
          <w:szCs w:val="24"/>
        </w:rPr>
        <w:t>,</w:t>
      </w:r>
      <w:r>
        <w:rPr>
          <w:szCs w:val="24"/>
        </w:rPr>
        <w:t xml:space="preserve"> 52-9.</w:t>
      </w:r>
      <w:proofErr w:type="gramEnd"/>
    </w:p>
    <w:p w:rsidR="00AD5452" w:rsidRDefault="00AD5452" w:rsidP="00AD5452">
      <w:pPr>
        <w:spacing w:line="480" w:lineRule="auto"/>
        <w:jc w:val="both"/>
        <w:rPr>
          <w:szCs w:val="24"/>
        </w:rPr>
      </w:pPr>
      <w:proofErr w:type="gramStart"/>
      <w:r>
        <w:rPr>
          <w:szCs w:val="24"/>
        </w:rPr>
        <w:lastRenderedPageBreak/>
        <w:t>TRONSTAD, L., ANDREASON, J. &amp; HASSELGREN, G. 1981.</w:t>
      </w:r>
      <w:proofErr w:type="gramEnd"/>
      <w:r>
        <w:rPr>
          <w:szCs w:val="24"/>
        </w:rPr>
        <w:t xml:space="preserve"> </w:t>
      </w:r>
      <w:proofErr w:type="gramStart"/>
      <w:r>
        <w:rPr>
          <w:szCs w:val="24"/>
        </w:rPr>
        <w:t>pH</w:t>
      </w:r>
      <w:proofErr w:type="gramEnd"/>
      <w:r>
        <w:rPr>
          <w:szCs w:val="24"/>
        </w:rPr>
        <w:t xml:space="preserve"> changes in dental tissues after root canal filling with calcium hydroxide. </w:t>
      </w:r>
      <w:r>
        <w:rPr>
          <w:i/>
          <w:iCs/>
          <w:szCs w:val="24"/>
        </w:rPr>
        <w:t xml:space="preserve">J Endod </w:t>
      </w:r>
      <w:r>
        <w:rPr>
          <w:szCs w:val="24"/>
        </w:rPr>
        <w:t>7</w:t>
      </w:r>
      <w:r>
        <w:rPr>
          <w:b/>
          <w:bCs/>
          <w:szCs w:val="24"/>
        </w:rPr>
        <w:t>,</w:t>
      </w:r>
      <w:r>
        <w:rPr>
          <w:szCs w:val="24"/>
        </w:rPr>
        <w:t xml:space="preserve"> 17–21.</w:t>
      </w:r>
    </w:p>
    <w:p w:rsidR="00AD5452" w:rsidRDefault="00AD5452" w:rsidP="00AD5452">
      <w:pPr>
        <w:spacing w:line="480" w:lineRule="auto"/>
        <w:jc w:val="both"/>
        <w:rPr>
          <w:szCs w:val="24"/>
        </w:rPr>
      </w:pPr>
      <w:proofErr w:type="gramStart"/>
      <w:r>
        <w:rPr>
          <w:szCs w:val="24"/>
        </w:rPr>
        <w:t>TROPE, M. 2006.</w:t>
      </w:r>
      <w:proofErr w:type="gramEnd"/>
      <w:r>
        <w:rPr>
          <w:szCs w:val="24"/>
        </w:rPr>
        <w:t xml:space="preserve"> </w:t>
      </w:r>
      <w:proofErr w:type="gramStart"/>
      <w:r>
        <w:rPr>
          <w:szCs w:val="24"/>
        </w:rPr>
        <w:t>Treatment of immature teeth with non-vital pulps and apical periodontitis.</w:t>
      </w:r>
      <w:proofErr w:type="gramEnd"/>
      <w:r>
        <w:rPr>
          <w:szCs w:val="24"/>
        </w:rPr>
        <w:t xml:space="preserve"> </w:t>
      </w:r>
      <w:proofErr w:type="gramStart"/>
      <w:r>
        <w:rPr>
          <w:i/>
          <w:iCs/>
          <w:szCs w:val="24"/>
        </w:rPr>
        <w:t>Endodod Topics,</w:t>
      </w:r>
      <w:r>
        <w:rPr>
          <w:szCs w:val="24"/>
        </w:rPr>
        <w:t xml:space="preserve"> 14</w:t>
      </w:r>
      <w:r>
        <w:rPr>
          <w:b/>
          <w:bCs/>
          <w:szCs w:val="24"/>
        </w:rPr>
        <w:t>,</w:t>
      </w:r>
      <w:r>
        <w:rPr>
          <w:szCs w:val="24"/>
        </w:rPr>
        <w:t xml:space="preserve"> 51-9.</w:t>
      </w:r>
      <w:proofErr w:type="gramEnd"/>
    </w:p>
    <w:p w:rsidR="00AD5452" w:rsidRDefault="00AD5452" w:rsidP="00AD5452">
      <w:pPr>
        <w:spacing w:line="480" w:lineRule="auto"/>
        <w:jc w:val="both"/>
        <w:rPr>
          <w:szCs w:val="24"/>
        </w:rPr>
      </w:pPr>
      <w:proofErr w:type="gramStart"/>
      <w:r>
        <w:rPr>
          <w:szCs w:val="24"/>
        </w:rPr>
        <w:t>TROPE, M. 2008.</w:t>
      </w:r>
      <w:proofErr w:type="gramEnd"/>
      <w:r>
        <w:rPr>
          <w:szCs w:val="24"/>
        </w:rPr>
        <w:t xml:space="preserve"> </w:t>
      </w:r>
      <w:proofErr w:type="gramStart"/>
      <w:r>
        <w:rPr>
          <w:szCs w:val="24"/>
        </w:rPr>
        <w:t>Regenerative potential of dental pulp.</w:t>
      </w:r>
      <w:proofErr w:type="gramEnd"/>
      <w:r>
        <w:rPr>
          <w:szCs w:val="24"/>
        </w:rPr>
        <w:t xml:space="preserve"> </w:t>
      </w:r>
      <w:proofErr w:type="gramStart"/>
      <w:r>
        <w:rPr>
          <w:i/>
          <w:iCs/>
          <w:szCs w:val="24"/>
        </w:rPr>
        <w:t>J Endod,</w:t>
      </w:r>
      <w:r>
        <w:rPr>
          <w:szCs w:val="24"/>
        </w:rPr>
        <w:t xml:space="preserve"> 34</w:t>
      </w:r>
      <w:r>
        <w:rPr>
          <w:b/>
          <w:bCs/>
          <w:szCs w:val="24"/>
        </w:rPr>
        <w:t>,</w:t>
      </w:r>
      <w:r>
        <w:rPr>
          <w:szCs w:val="24"/>
        </w:rPr>
        <w:t xml:space="preserve"> S13-7.</w:t>
      </w:r>
      <w:proofErr w:type="gramEnd"/>
    </w:p>
    <w:p w:rsidR="00AD5452" w:rsidRDefault="00AD5452" w:rsidP="00AD5452">
      <w:pPr>
        <w:spacing w:line="480" w:lineRule="auto"/>
        <w:jc w:val="both"/>
        <w:rPr>
          <w:szCs w:val="24"/>
        </w:rPr>
      </w:pPr>
      <w:r>
        <w:rPr>
          <w:szCs w:val="24"/>
        </w:rPr>
        <w:t>TSUKAMOTO-TANAKA, H.</w:t>
      </w:r>
      <w:proofErr w:type="gramStart"/>
      <w:r>
        <w:rPr>
          <w:szCs w:val="24"/>
        </w:rPr>
        <w:t>, ,</w:t>
      </w:r>
      <w:proofErr w:type="gramEnd"/>
      <w:r>
        <w:rPr>
          <w:szCs w:val="24"/>
        </w:rPr>
        <w:t xml:space="preserve"> I., M., TAKAGI, R. &amp; HARADA, H. 2008. Histochemical and immunohistochemical study of hard tissue formation in dental pulp during the healing process inr at molars after tooth replantation. </w:t>
      </w:r>
      <w:proofErr w:type="gramStart"/>
      <w:r>
        <w:rPr>
          <w:i/>
          <w:iCs/>
          <w:szCs w:val="24"/>
        </w:rPr>
        <w:t>Cell Tissue Res,</w:t>
      </w:r>
      <w:r>
        <w:rPr>
          <w:szCs w:val="24"/>
        </w:rPr>
        <w:t xml:space="preserve"> 325</w:t>
      </w:r>
      <w:r>
        <w:rPr>
          <w:b/>
          <w:bCs/>
          <w:szCs w:val="24"/>
        </w:rPr>
        <w:t>,</w:t>
      </w:r>
      <w:r>
        <w:rPr>
          <w:szCs w:val="24"/>
        </w:rPr>
        <w:t xml:space="preserve"> 219–29.</w:t>
      </w:r>
      <w:proofErr w:type="gramEnd"/>
    </w:p>
    <w:p w:rsidR="00AD5452" w:rsidRDefault="00AD5452" w:rsidP="00AD5452">
      <w:pPr>
        <w:spacing w:line="480" w:lineRule="auto"/>
        <w:jc w:val="both"/>
        <w:rPr>
          <w:szCs w:val="24"/>
        </w:rPr>
      </w:pPr>
      <w:proofErr w:type="gramStart"/>
      <w:r>
        <w:rPr>
          <w:szCs w:val="24"/>
        </w:rPr>
        <w:t>TUNA, E., DINC¸OL, M., GENC¸AY, K. &amp; AKT€OREN, O. 2011.</w:t>
      </w:r>
      <w:proofErr w:type="gramEnd"/>
      <w:r>
        <w:rPr>
          <w:szCs w:val="24"/>
        </w:rPr>
        <w:t xml:space="preserve"> Fracture resistance of immature teeth filled with BioAggregate, mineral trioxide aggregate and calcium hydroxide. . </w:t>
      </w:r>
      <w:r>
        <w:rPr>
          <w:i/>
          <w:iCs/>
          <w:szCs w:val="24"/>
        </w:rPr>
        <w:t>Dent Traumatol,</w:t>
      </w:r>
      <w:r>
        <w:rPr>
          <w:szCs w:val="24"/>
        </w:rPr>
        <w:t xml:space="preserve"> 27</w:t>
      </w:r>
      <w:r>
        <w:rPr>
          <w:b/>
          <w:bCs/>
          <w:szCs w:val="24"/>
        </w:rPr>
        <w:t>,</w:t>
      </w:r>
      <w:r>
        <w:rPr>
          <w:szCs w:val="24"/>
        </w:rPr>
        <w:t xml:space="preserve"> 174–8.</w:t>
      </w:r>
    </w:p>
    <w:p w:rsidR="00AD5452" w:rsidRDefault="00AD5452" w:rsidP="00AD5452">
      <w:pPr>
        <w:spacing w:line="480" w:lineRule="auto"/>
        <w:jc w:val="both"/>
        <w:rPr>
          <w:szCs w:val="24"/>
        </w:rPr>
      </w:pPr>
      <w:proofErr w:type="gramStart"/>
      <w:r>
        <w:rPr>
          <w:szCs w:val="24"/>
        </w:rPr>
        <w:t>TWATI, W., WOOD, D., LISKIWEICZ, T., WILLMOTT, N. &amp; DUGGAL, M. 2009.</w:t>
      </w:r>
      <w:proofErr w:type="gramEnd"/>
      <w:r>
        <w:rPr>
          <w:szCs w:val="24"/>
        </w:rPr>
        <w:t xml:space="preserve"> An evaluation of non setting calcium hydroxide on human dentine: a pilot study. </w:t>
      </w:r>
      <w:r>
        <w:rPr>
          <w:i/>
          <w:iCs/>
          <w:szCs w:val="24"/>
        </w:rPr>
        <w:t xml:space="preserve">European Archives of Paediatric Dentistry </w:t>
      </w:r>
      <w:r>
        <w:rPr>
          <w:szCs w:val="24"/>
        </w:rPr>
        <w:t>10</w:t>
      </w:r>
      <w:r>
        <w:rPr>
          <w:b/>
          <w:bCs/>
          <w:szCs w:val="24"/>
        </w:rPr>
        <w:t>,</w:t>
      </w:r>
      <w:r>
        <w:rPr>
          <w:szCs w:val="24"/>
        </w:rPr>
        <w:t xml:space="preserve"> 104-109.</w:t>
      </w:r>
    </w:p>
    <w:p w:rsidR="00AD5452" w:rsidRDefault="00AD5452" w:rsidP="00AD5452">
      <w:pPr>
        <w:spacing w:line="480" w:lineRule="auto"/>
        <w:jc w:val="both"/>
        <w:rPr>
          <w:szCs w:val="24"/>
        </w:rPr>
      </w:pPr>
      <w:proofErr w:type="gramStart"/>
      <w:r>
        <w:rPr>
          <w:szCs w:val="24"/>
        </w:rPr>
        <w:t>VERMES, I., HAANEN, C. &amp; REUTELINGSPERGER, C. 2000.</w:t>
      </w:r>
      <w:proofErr w:type="gramEnd"/>
      <w:r>
        <w:rPr>
          <w:szCs w:val="24"/>
        </w:rPr>
        <w:t xml:space="preserve"> Flow cytometry of apoptotic cell death. </w:t>
      </w:r>
      <w:proofErr w:type="gramStart"/>
      <w:r>
        <w:rPr>
          <w:i/>
          <w:iCs/>
          <w:szCs w:val="24"/>
        </w:rPr>
        <w:t>Journal of immunological,</w:t>
      </w:r>
      <w:r>
        <w:rPr>
          <w:szCs w:val="24"/>
        </w:rPr>
        <w:t xml:space="preserve"> 243</w:t>
      </w:r>
      <w:r>
        <w:rPr>
          <w:b/>
          <w:bCs/>
          <w:szCs w:val="24"/>
        </w:rPr>
        <w:t>,</w:t>
      </w:r>
      <w:r>
        <w:rPr>
          <w:szCs w:val="24"/>
        </w:rPr>
        <w:t xml:space="preserve"> 167–190.</w:t>
      </w:r>
      <w:proofErr w:type="gramEnd"/>
    </w:p>
    <w:p w:rsidR="00AD5452" w:rsidRDefault="00AD5452" w:rsidP="00AD5452">
      <w:pPr>
        <w:spacing w:line="480" w:lineRule="auto"/>
        <w:jc w:val="both"/>
        <w:rPr>
          <w:szCs w:val="24"/>
        </w:rPr>
      </w:pPr>
      <w:proofErr w:type="gramStart"/>
      <w:r>
        <w:rPr>
          <w:szCs w:val="24"/>
        </w:rPr>
        <w:t>VIEIRA, A., HANCOCK, R., DUMITRIU, M., SCHWARTZ, M., LIMEBACK, H. &amp; GRYNPAS, M. 2005.</w:t>
      </w:r>
      <w:proofErr w:type="gramEnd"/>
      <w:r>
        <w:rPr>
          <w:szCs w:val="24"/>
        </w:rPr>
        <w:t xml:space="preserve"> How Does Fluoride Affect Dentin Microhardness and Mineralization? </w:t>
      </w:r>
      <w:proofErr w:type="gramStart"/>
      <w:r>
        <w:rPr>
          <w:i/>
          <w:iCs/>
          <w:szCs w:val="24"/>
        </w:rPr>
        <w:t>Journal of Dental Research,</w:t>
      </w:r>
      <w:r>
        <w:rPr>
          <w:szCs w:val="24"/>
        </w:rPr>
        <w:t xml:space="preserve"> 84</w:t>
      </w:r>
      <w:r>
        <w:rPr>
          <w:b/>
          <w:bCs/>
          <w:szCs w:val="24"/>
        </w:rPr>
        <w:t>,</w:t>
      </w:r>
      <w:r>
        <w:rPr>
          <w:szCs w:val="24"/>
        </w:rPr>
        <w:t xml:space="preserve"> 951.</w:t>
      </w:r>
      <w:proofErr w:type="gramEnd"/>
    </w:p>
    <w:p w:rsidR="00AD5452" w:rsidRDefault="00AD5452" w:rsidP="00AD5452">
      <w:pPr>
        <w:spacing w:line="480" w:lineRule="auto"/>
        <w:jc w:val="both"/>
        <w:rPr>
          <w:szCs w:val="24"/>
        </w:rPr>
      </w:pPr>
      <w:r>
        <w:rPr>
          <w:szCs w:val="24"/>
        </w:rPr>
        <w:t xml:space="preserve">WANG, Q., LIN, X., LIN, Z., LIU, G. &amp; SHAN, X. 2007. </w:t>
      </w:r>
      <w:proofErr w:type="gramStart"/>
      <w:r>
        <w:rPr>
          <w:szCs w:val="24"/>
        </w:rPr>
        <w:t>Expression of vascular endothelial growth factor in dental pulp of immature and mature permanent teeth in human.</w:t>
      </w:r>
      <w:proofErr w:type="gramEnd"/>
      <w:r>
        <w:rPr>
          <w:szCs w:val="24"/>
        </w:rPr>
        <w:t xml:space="preserve"> </w:t>
      </w:r>
      <w:r>
        <w:rPr>
          <w:i/>
          <w:iCs/>
          <w:szCs w:val="24"/>
        </w:rPr>
        <w:t>Shanghai Kou Qiang Yi Zue,</w:t>
      </w:r>
      <w:r>
        <w:rPr>
          <w:szCs w:val="24"/>
        </w:rPr>
        <w:t xml:space="preserve"> 16</w:t>
      </w:r>
      <w:r>
        <w:rPr>
          <w:b/>
          <w:bCs/>
          <w:szCs w:val="24"/>
        </w:rPr>
        <w:t>,</w:t>
      </w:r>
      <w:r>
        <w:rPr>
          <w:szCs w:val="24"/>
        </w:rPr>
        <w:t xml:space="preserve"> 285-9.</w:t>
      </w:r>
    </w:p>
    <w:p w:rsidR="00AD5452" w:rsidRDefault="00AD5452" w:rsidP="00AD5452">
      <w:pPr>
        <w:spacing w:line="480" w:lineRule="auto"/>
        <w:jc w:val="both"/>
        <w:rPr>
          <w:szCs w:val="24"/>
        </w:rPr>
      </w:pPr>
      <w:proofErr w:type="gramStart"/>
      <w:r>
        <w:rPr>
          <w:szCs w:val="24"/>
        </w:rPr>
        <w:lastRenderedPageBreak/>
        <w:t>WANG, Z., WANG, D., ZHANG, L. &amp; KONG, L. 2003.</w:t>
      </w:r>
      <w:proofErr w:type="gramEnd"/>
      <w:r>
        <w:rPr>
          <w:szCs w:val="24"/>
        </w:rPr>
        <w:t xml:space="preserve"> </w:t>
      </w:r>
      <w:proofErr w:type="gramStart"/>
      <w:r>
        <w:rPr>
          <w:szCs w:val="24"/>
        </w:rPr>
        <w:t>The observation of the effect of metronidazole-chlorhexidine solution on treatment of periapical periodontitis.</w:t>
      </w:r>
      <w:proofErr w:type="gramEnd"/>
      <w:r>
        <w:rPr>
          <w:szCs w:val="24"/>
        </w:rPr>
        <w:t xml:space="preserve"> </w:t>
      </w:r>
      <w:r>
        <w:rPr>
          <w:i/>
          <w:iCs/>
          <w:szCs w:val="24"/>
        </w:rPr>
        <w:t>Shanghai Kou Qiang Yi Xue,</w:t>
      </w:r>
      <w:r>
        <w:rPr>
          <w:szCs w:val="24"/>
        </w:rPr>
        <w:t xml:space="preserve"> 12</w:t>
      </w:r>
      <w:r>
        <w:rPr>
          <w:b/>
          <w:bCs/>
          <w:szCs w:val="24"/>
        </w:rPr>
        <w:t>,</w:t>
      </w:r>
      <w:r>
        <w:rPr>
          <w:szCs w:val="24"/>
        </w:rPr>
        <w:t xml:space="preserve"> 244e246.</w:t>
      </w:r>
    </w:p>
    <w:p w:rsidR="00AD5452" w:rsidRDefault="00AD5452" w:rsidP="00AD5452">
      <w:pPr>
        <w:spacing w:line="480" w:lineRule="auto"/>
        <w:jc w:val="both"/>
        <w:rPr>
          <w:szCs w:val="24"/>
        </w:rPr>
      </w:pPr>
      <w:r>
        <w:rPr>
          <w:szCs w:val="24"/>
        </w:rPr>
        <w:t xml:space="preserve">WEINE, F. 2004. </w:t>
      </w:r>
      <w:r>
        <w:rPr>
          <w:i/>
          <w:iCs/>
          <w:szCs w:val="24"/>
        </w:rPr>
        <w:t>Endodontic Therapy</w:t>
      </w:r>
      <w:r>
        <w:rPr>
          <w:szCs w:val="24"/>
        </w:rPr>
        <w:t>, Mosby.</w:t>
      </w:r>
    </w:p>
    <w:p w:rsidR="00AD5452" w:rsidRDefault="00AD5452" w:rsidP="00AD5452">
      <w:pPr>
        <w:spacing w:line="480" w:lineRule="auto"/>
        <w:jc w:val="both"/>
        <w:rPr>
          <w:szCs w:val="24"/>
        </w:rPr>
      </w:pPr>
      <w:r>
        <w:rPr>
          <w:szCs w:val="24"/>
        </w:rPr>
        <w:t>WEINSTEIN, L. 1975.</w:t>
      </w:r>
      <w:r>
        <w:rPr>
          <w:i/>
          <w:iCs/>
          <w:szCs w:val="24"/>
        </w:rPr>
        <w:t xml:space="preserve"> Antimicrobial agents: Tetracyclines and Chloramphenicol., </w:t>
      </w:r>
      <w:r>
        <w:rPr>
          <w:szCs w:val="24"/>
        </w:rPr>
        <w:t>New York: Macmillan.</w:t>
      </w:r>
    </w:p>
    <w:p w:rsidR="00AD5452" w:rsidRDefault="00AD5452" w:rsidP="00AD5452">
      <w:pPr>
        <w:spacing w:line="480" w:lineRule="auto"/>
        <w:jc w:val="both"/>
        <w:rPr>
          <w:szCs w:val="24"/>
        </w:rPr>
      </w:pPr>
      <w:proofErr w:type="gramStart"/>
      <w:r>
        <w:rPr>
          <w:szCs w:val="24"/>
        </w:rPr>
        <w:t>WEISENSEEL, J., HICKS, M. &amp; PELLEN, G. 1987.</w:t>
      </w:r>
      <w:proofErr w:type="gramEnd"/>
      <w:r>
        <w:rPr>
          <w:szCs w:val="24"/>
        </w:rPr>
        <w:t xml:space="preserve"> </w:t>
      </w:r>
      <w:proofErr w:type="gramStart"/>
      <w:r>
        <w:rPr>
          <w:szCs w:val="24"/>
        </w:rPr>
        <w:t>Calcium hydroxide as an apical barrier.</w:t>
      </w:r>
      <w:proofErr w:type="gramEnd"/>
      <w:r>
        <w:rPr>
          <w:szCs w:val="24"/>
        </w:rPr>
        <w:t xml:space="preserve"> </w:t>
      </w:r>
      <w:proofErr w:type="gramStart"/>
      <w:r>
        <w:rPr>
          <w:i/>
          <w:iCs/>
          <w:szCs w:val="24"/>
        </w:rPr>
        <w:t>Journal of endodontics,</w:t>
      </w:r>
      <w:r>
        <w:rPr>
          <w:szCs w:val="24"/>
        </w:rPr>
        <w:t xml:space="preserve"> 13</w:t>
      </w:r>
      <w:r>
        <w:rPr>
          <w:b/>
          <w:bCs/>
          <w:szCs w:val="24"/>
        </w:rPr>
        <w:t>,</w:t>
      </w:r>
      <w:r>
        <w:rPr>
          <w:szCs w:val="24"/>
        </w:rPr>
        <w:t xml:space="preserve"> 1-5.</w:t>
      </w:r>
      <w:proofErr w:type="gramEnd"/>
    </w:p>
    <w:p w:rsidR="00AD5452" w:rsidRDefault="00AD5452" w:rsidP="00AD5452">
      <w:pPr>
        <w:spacing w:line="480" w:lineRule="auto"/>
        <w:jc w:val="both"/>
        <w:rPr>
          <w:szCs w:val="24"/>
        </w:rPr>
      </w:pPr>
      <w:r>
        <w:rPr>
          <w:szCs w:val="24"/>
        </w:rPr>
        <w:t xml:space="preserve">WHITE, J., LACEFIELD, W., CHAVERS, L. &amp; ELEAZER, P. 2002. The effect of three commonly used endodontic materials on the strength and hardness of root dentin. </w:t>
      </w:r>
      <w:proofErr w:type="gramStart"/>
      <w:r>
        <w:rPr>
          <w:i/>
          <w:iCs/>
          <w:szCs w:val="24"/>
        </w:rPr>
        <w:t xml:space="preserve">J Endod </w:t>
      </w:r>
      <w:r>
        <w:rPr>
          <w:szCs w:val="24"/>
        </w:rPr>
        <w:t>28</w:t>
      </w:r>
      <w:r>
        <w:rPr>
          <w:b/>
          <w:bCs/>
          <w:szCs w:val="24"/>
        </w:rPr>
        <w:t>,</w:t>
      </w:r>
      <w:r>
        <w:rPr>
          <w:szCs w:val="24"/>
        </w:rPr>
        <w:t xml:space="preserve"> 828–30.</w:t>
      </w:r>
      <w:proofErr w:type="gramEnd"/>
    </w:p>
    <w:p w:rsidR="00AD5452" w:rsidRDefault="00AD5452" w:rsidP="00AD5452">
      <w:pPr>
        <w:spacing w:line="480" w:lineRule="auto"/>
        <w:jc w:val="both"/>
        <w:rPr>
          <w:szCs w:val="24"/>
        </w:rPr>
      </w:pPr>
      <w:proofErr w:type="gramStart"/>
      <w:r>
        <w:rPr>
          <w:szCs w:val="24"/>
        </w:rPr>
        <w:t>WINDLEY, W., TEIXEIRA, F., LEVIN, L., SIGURDSSON, A. &amp; TROPE, M. 2005.</w:t>
      </w:r>
      <w:proofErr w:type="gramEnd"/>
      <w:r>
        <w:rPr>
          <w:szCs w:val="24"/>
        </w:rPr>
        <w:t xml:space="preserve"> </w:t>
      </w:r>
      <w:proofErr w:type="gramStart"/>
      <w:r>
        <w:rPr>
          <w:szCs w:val="24"/>
        </w:rPr>
        <w:t>Disinfection of immature teeth with a triple antibiotic paste.</w:t>
      </w:r>
      <w:proofErr w:type="gramEnd"/>
      <w:r>
        <w:rPr>
          <w:szCs w:val="24"/>
        </w:rPr>
        <w:t xml:space="preserve"> </w:t>
      </w:r>
      <w:proofErr w:type="gramStart"/>
      <w:r>
        <w:rPr>
          <w:i/>
          <w:iCs/>
          <w:szCs w:val="24"/>
        </w:rPr>
        <w:t>J Endod,</w:t>
      </w:r>
      <w:r>
        <w:rPr>
          <w:szCs w:val="24"/>
        </w:rPr>
        <w:t xml:space="preserve"> 31</w:t>
      </w:r>
      <w:r>
        <w:rPr>
          <w:b/>
          <w:bCs/>
          <w:szCs w:val="24"/>
        </w:rPr>
        <w:t>,</w:t>
      </w:r>
      <w:r>
        <w:rPr>
          <w:szCs w:val="24"/>
        </w:rPr>
        <w:t xml:space="preserve"> 439-43.</w:t>
      </w:r>
      <w:proofErr w:type="gramEnd"/>
    </w:p>
    <w:p w:rsidR="00AD5452" w:rsidRDefault="00AD5452" w:rsidP="00AD5452">
      <w:pPr>
        <w:spacing w:line="480" w:lineRule="auto"/>
        <w:jc w:val="both"/>
        <w:rPr>
          <w:szCs w:val="24"/>
        </w:rPr>
      </w:pPr>
      <w:proofErr w:type="gramStart"/>
      <w:r>
        <w:rPr>
          <w:szCs w:val="24"/>
        </w:rPr>
        <w:t>YASUDA, Y., KAMAGUCHI, A. &amp; SAITO, T. 2008.</w:t>
      </w:r>
      <w:proofErr w:type="gramEnd"/>
      <w:r>
        <w:rPr>
          <w:szCs w:val="24"/>
        </w:rPr>
        <w:t xml:space="preserve"> </w:t>
      </w:r>
      <w:proofErr w:type="gramStart"/>
      <w:r>
        <w:rPr>
          <w:szCs w:val="24"/>
        </w:rPr>
        <w:t>In vitro evaluation of the antimicrobial activity of a new resin-based endodontic sealer against endodontic pathogens.</w:t>
      </w:r>
      <w:proofErr w:type="gramEnd"/>
      <w:r>
        <w:rPr>
          <w:szCs w:val="24"/>
        </w:rPr>
        <w:t xml:space="preserve"> </w:t>
      </w:r>
      <w:proofErr w:type="gramStart"/>
      <w:r>
        <w:rPr>
          <w:i/>
          <w:iCs/>
          <w:szCs w:val="24"/>
        </w:rPr>
        <w:t xml:space="preserve">J Oral Sci </w:t>
      </w:r>
      <w:r>
        <w:rPr>
          <w:szCs w:val="24"/>
        </w:rPr>
        <w:t>50</w:t>
      </w:r>
      <w:r>
        <w:rPr>
          <w:b/>
          <w:bCs/>
          <w:szCs w:val="24"/>
        </w:rPr>
        <w:t>,</w:t>
      </w:r>
      <w:r>
        <w:rPr>
          <w:szCs w:val="24"/>
        </w:rPr>
        <w:t xml:space="preserve"> 309–13.</w:t>
      </w:r>
      <w:proofErr w:type="gramEnd"/>
    </w:p>
    <w:p w:rsidR="00AD5452" w:rsidRDefault="00AD5452" w:rsidP="00AD5452">
      <w:pPr>
        <w:spacing w:line="480" w:lineRule="auto"/>
        <w:jc w:val="both"/>
        <w:rPr>
          <w:szCs w:val="24"/>
        </w:rPr>
      </w:pPr>
      <w:r>
        <w:rPr>
          <w:szCs w:val="24"/>
        </w:rPr>
        <w:t xml:space="preserve">YATES, J. 1988. </w:t>
      </w:r>
      <w:proofErr w:type="gramStart"/>
      <w:r>
        <w:rPr>
          <w:szCs w:val="24"/>
        </w:rPr>
        <w:t>Barrier formation time in non vital teeth with open apices.</w:t>
      </w:r>
      <w:proofErr w:type="gramEnd"/>
      <w:r>
        <w:rPr>
          <w:szCs w:val="24"/>
        </w:rPr>
        <w:t xml:space="preserve"> </w:t>
      </w:r>
      <w:r>
        <w:rPr>
          <w:i/>
          <w:iCs/>
          <w:szCs w:val="24"/>
        </w:rPr>
        <w:t>International Endodontic Journal,</w:t>
      </w:r>
      <w:r>
        <w:rPr>
          <w:szCs w:val="24"/>
        </w:rPr>
        <w:t xml:space="preserve"> 21</w:t>
      </w:r>
      <w:r>
        <w:rPr>
          <w:b/>
          <w:bCs/>
          <w:szCs w:val="24"/>
        </w:rPr>
        <w:t>,</w:t>
      </w:r>
      <w:r>
        <w:rPr>
          <w:szCs w:val="24"/>
        </w:rPr>
        <w:t xml:space="preserve"> 313-319.</w:t>
      </w:r>
    </w:p>
    <w:p w:rsidR="00AD5452" w:rsidRDefault="00AD5452" w:rsidP="00AD5452">
      <w:pPr>
        <w:spacing w:line="480" w:lineRule="auto"/>
        <w:jc w:val="both"/>
        <w:rPr>
          <w:szCs w:val="24"/>
        </w:rPr>
      </w:pPr>
      <w:proofErr w:type="gramStart"/>
      <w:r>
        <w:rPr>
          <w:szCs w:val="24"/>
        </w:rPr>
        <w:t>YING, Q., NICHOLS, J., EVANS, E. &amp; SMITH, A. 2002.</w:t>
      </w:r>
      <w:proofErr w:type="gramEnd"/>
      <w:r>
        <w:rPr>
          <w:szCs w:val="24"/>
        </w:rPr>
        <w:t xml:space="preserve"> </w:t>
      </w:r>
      <w:proofErr w:type="gramStart"/>
      <w:r>
        <w:rPr>
          <w:szCs w:val="24"/>
        </w:rPr>
        <w:t>Changing potency by spontaneous fusion.</w:t>
      </w:r>
      <w:proofErr w:type="gramEnd"/>
      <w:r>
        <w:rPr>
          <w:szCs w:val="24"/>
        </w:rPr>
        <w:t xml:space="preserve"> </w:t>
      </w:r>
      <w:proofErr w:type="gramStart"/>
      <w:r>
        <w:rPr>
          <w:i/>
          <w:iCs/>
          <w:szCs w:val="24"/>
        </w:rPr>
        <w:t>Nature,</w:t>
      </w:r>
      <w:r>
        <w:rPr>
          <w:szCs w:val="24"/>
        </w:rPr>
        <w:t xml:space="preserve"> 416</w:t>
      </w:r>
      <w:r>
        <w:rPr>
          <w:b/>
          <w:bCs/>
          <w:szCs w:val="24"/>
        </w:rPr>
        <w:t>,</w:t>
      </w:r>
      <w:r>
        <w:rPr>
          <w:szCs w:val="24"/>
        </w:rPr>
        <w:t xml:space="preserve"> 545-8.</w:t>
      </w:r>
      <w:proofErr w:type="gramEnd"/>
    </w:p>
    <w:p w:rsidR="00AD5452" w:rsidRDefault="00AD5452" w:rsidP="00AD5452">
      <w:pPr>
        <w:spacing w:line="480" w:lineRule="auto"/>
        <w:jc w:val="both"/>
        <w:rPr>
          <w:szCs w:val="24"/>
        </w:rPr>
      </w:pPr>
      <w:proofErr w:type="gramStart"/>
      <w:r>
        <w:rPr>
          <w:szCs w:val="24"/>
        </w:rPr>
        <w:lastRenderedPageBreak/>
        <w:t>YOLDAŞ, O., DOĞAN, C. &amp; SEYDAOĞLU, G. 2004.</w:t>
      </w:r>
      <w:proofErr w:type="gramEnd"/>
      <w:r>
        <w:rPr>
          <w:szCs w:val="24"/>
        </w:rPr>
        <w:t xml:space="preserve"> </w:t>
      </w:r>
      <w:proofErr w:type="gramStart"/>
      <w:r>
        <w:rPr>
          <w:szCs w:val="24"/>
        </w:rPr>
        <w:t>The effect of two different calcium hydroxide combinations on root dentine microhardness.</w:t>
      </w:r>
      <w:proofErr w:type="gramEnd"/>
      <w:r>
        <w:rPr>
          <w:szCs w:val="24"/>
        </w:rPr>
        <w:t xml:space="preserve"> </w:t>
      </w:r>
      <w:r>
        <w:rPr>
          <w:i/>
          <w:iCs/>
          <w:szCs w:val="24"/>
        </w:rPr>
        <w:t>Int Endod J.,</w:t>
      </w:r>
      <w:r>
        <w:rPr>
          <w:szCs w:val="24"/>
        </w:rPr>
        <w:t xml:space="preserve"> 37</w:t>
      </w:r>
      <w:r>
        <w:rPr>
          <w:b/>
          <w:bCs/>
          <w:szCs w:val="24"/>
        </w:rPr>
        <w:t>,</w:t>
      </w:r>
      <w:r>
        <w:rPr>
          <w:szCs w:val="24"/>
        </w:rPr>
        <w:t xml:space="preserve"> 828-31.</w:t>
      </w:r>
    </w:p>
    <w:p w:rsidR="00AD5452" w:rsidRDefault="00AD5452" w:rsidP="00AD5452">
      <w:pPr>
        <w:spacing w:line="480" w:lineRule="auto"/>
        <w:jc w:val="both"/>
        <w:rPr>
          <w:szCs w:val="24"/>
        </w:rPr>
      </w:pPr>
      <w:proofErr w:type="gramStart"/>
      <w:r>
        <w:rPr>
          <w:szCs w:val="24"/>
        </w:rPr>
        <w:t>YOSHIDA, T., ITOH, T., SAITOH, T. &amp; SEKINE, I. 1998.</w:t>
      </w:r>
      <w:proofErr w:type="gramEnd"/>
      <w:r>
        <w:rPr>
          <w:szCs w:val="24"/>
        </w:rPr>
        <w:t xml:space="preserve"> Histopathological study of the use free dried allogenic dentine powder and true bone ceramic as apical barrier materials. </w:t>
      </w:r>
      <w:proofErr w:type="gramStart"/>
      <w:r>
        <w:rPr>
          <w:i/>
          <w:iCs/>
          <w:szCs w:val="24"/>
        </w:rPr>
        <w:t>Journal of endodontics,</w:t>
      </w:r>
      <w:r>
        <w:rPr>
          <w:szCs w:val="24"/>
        </w:rPr>
        <w:t xml:space="preserve"> 24</w:t>
      </w:r>
      <w:r>
        <w:rPr>
          <w:b/>
          <w:bCs/>
          <w:szCs w:val="24"/>
        </w:rPr>
        <w:t>,</w:t>
      </w:r>
      <w:r>
        <w:rPr>
          <w:szCs w:val="24"/>
        </w:rPr>
        <w:t xml:space="preserve"> 581-586.</w:t>
      </w:r>
      <w:proofErr w:type="gramEnd"/>
    </w:p>
    <w:p w:rsidR="00AD5452" w:rsidRDefault="00AD5452" w:rsidP="00AD5452">
      <w:pPr>
        <w:spacing w:line="480" w:lineRule="auto"/>
        <w:jc w:val="both"/>
        <w:rPr>
          <w:szCs w:val="24"/>
        </w:rPr>
      </w:pPr>
      <w:proofErr w:type="gramStart"/>
      <w:r>
        <w:rPr>
          <w:szCs w:val="24"/>
        </w:rPr>
        <w:t>YOSHIMINE, Y., ONO, M. &amp; AKAMINE, A. 2007.</w:t>
      </w:r>
      <w:proofErr w:type="gramEnd"/>
      <w:r>
        <w:rPr>
          <w:szCs w:val="24"/>
        </w:rPr>
        <w:t xml:space="preserve"> In vitro comparison of the biocompatibility of mineral trioxide aggregate, 4META/MMA-TBB resin, </w:t>
      </w:r>
      <w:proofErr w:type="gramStart"/>
      <w:r>
        <w:rPr>
          <w:szCs w:val="24"/>
        </w:rPr>
        <w:t>and  intermediate</w:t>
      </w:r>
      <w:proofErr w:type="gramEnd"/>
      <w:r>
        <w:rPr>
          <w:szCs w:val="24"/>
        </w:rPr>
        <w:t xml:space="preserve"> restorative material as root-end-filling materials. </w:t>
      </w:r>
      <w:proofErr w:type="gramStart"/>
      <w:r>
        <w:rPr>
          <w:i/>
          <w:iCs/>
          <w:szCs w:val="24"/>
        </w:rPr>
        <w:t>J Endod,</w:t>
      </w:r>
      <w:r>
        <w:rPr>
          <w:szCs w:val="24"/>
        </w:rPr>
        <w:t xml:space="preserve"> 33</w:t>
      </w:r>
      <w:r>
        <w:rPr>
          <w:b/>
          <w:bCs/>
          <w:szCs w:val="24"/>
        </w:rPr>
        <w:t>,</w:t>
      </w:r>
      <w:r>
        <w:rPr>
          <w:szCs w:val="24"/>
        </w:rPr>
        <w:t xml:space="preserve"> 1066 -9.</w:t>
      </w:r>
      <w:proofErr w:type="gramEnd"/>
    </w:p>
    <w:p w:rsidR="00AD5452" w:rsidRDefault="00AD5452" w:rsidP="00AD5452">
      <w:pPr>
        <w:spacing w:line="480" w:lineRule="auto"/>
        <w:jc w:val="both"/>
        <w:rPr>
          <w:szCs w:val="24"/>
        </w:rPr>
      </w:pPr>
      <w:proofErr w:type="gramStart"/>
      <w:r>
        <w:rPr>
          <w:szCs w:val="24"/>
        </w:rPr>
        <w:t>ZHANG, H., PAPPEN, F. &amp; HAAPASALO, M. 2009.</w:t>
      </w:r>
      <w:proofErr w:type="gramEnd"/>
      <w:r>
        <w:rPr>
          <w:szCs w:val="24"/>
        </w:rPr>
        <w:t xml:space="preserve"> Dentin enhances the antibacterial effect of mineral trioxide aggregate and bioaggregate. </w:t>
      </w:r>
      <w:proofErr w:type="gramStart"/>
      <w:r>
        <w:rPr>
          <w:i/>
          <w:iCs/>
          <w:szCs w:val="24"/>
        </w:rPr>
        <w:t xml:space="preserve">J Endod </w:t>
      </w:r>
      <w:r>
        <w:rPr>
          <w:szCs w:val="24"/>
        </w:rPr>
        <w:t>35</w:t>
      </w:r>
      <w:r>
        <w:rPr>
          <w:b/>
          <w:bCs/>
          <w:szCs w:val="24"/>
        </w:rPr>
        <w:t>,</w:t>
      </w:r>
      <w:r>
        <w:rPr>
          <w:szCs w:val="24"/>
        </w:rPr>
        <w:t xml:space="preserve"> 221–4.</w:t>
      </w:r>
      <w:proofErr w:type="gramEnd"/>
    </w:p>
    <w:p w:rsidR="00AD5452" w:rsidRDefault="00AD5452" w:rsidP="00AD5452">
      <w:pPr>
        <w:spacing w:line="480" w:lineRule="auto"/>
        <w:jc w:val="both"/>
        <w:rPr>
          <w:szCs w:val="24"/>
        </w:rPr>
      </w:pPr>
      <w:proofErr w:type="gramStart"/>
      <w:r>
        <w:rPr>
          <w:szCs w:val="24"/>
        </w:rPr>
        <w:t>ZMENER, O., PAMEIJER, C. &amp; BANEGAS, G. 2007.</w:t>
      </w:r>
      <w:proofErr w:type="gramEnd"/>
      <w:r>
        <w:rPr>
          <w:szCs w:val="24"/>
        </w:rPr>
        <w:t xml:space="preserve"> </w:t>
      </w:r>
      <w:proofErr w:type="gramStart"/>
      <w:r>
        <w:rPr>
          <w:szCs w:val="24"/>
        </w:rPr>
        <w:t>An in vitro study of the pH of three calcium hydroxide dressing materials.</w:t>
      </w:r>
      <w:proofErr w:type="gramEnd"/>
      <w:r>
        <w:rPr>
          <w:szCs w:val="24"/>
        </w:rPr>
        <w:t xml:space="preserve"> </w:t>
      </w:r>
      <w:r>
        <w:rPr>
          <w:i/>
          <w:iCs/>
          <w:szCs w:val="24"/>
        </w:rPr>
        <w:t>Dental Traumatol,</w:t>
      </w:r>
      <w:r>
        <w:rPr>
          <w:szCs w:val="24"/>
        </w:rPr>
        <w:t xml:space="preserve"> 23</w:t>
      </w:r>
      <w:r>
        <w:rPr>
          <w:b/>
          <w:bCs/>
          <w:szCs w:val="24"/>
        </w:rPr>
        <w:t>,</w:t>
      </w:r>
      <w:r>
        <w:rPr>
          <w:szCs w:val="24"/>
        </w:rPr>
        <w:t xml:space="preserve"> 21-25.</w:t>
      </w:r>
    </w:p>
    <w:p w:rsidR="00EB7B9E" w:rsidRDefault="00EB7B9E" w:rsidP="00AD5452">
      <w:pPr>
        <w:spacing w:after="120" w:line="360" w:lineRule="auto"/>
        <w:jc w:val="both"/>
      </w:pPr>
      <w:r>
        <w:br w:type="page"/>
      </w:r>
    </w:p>
    <w:p w:rsidR="00891086" w:rsidRPr="002A5F7C" w:rsidRDefault="00EB7B9E" w:rsidP="002F74FE">
      <w:r>
        <w:rPr>
          <w:noProof/>
          <w:lang w:eastAsia="en-GB"/>
        </w:rPr>
        <w:lastRenderedPageBreak/>
        <w:drawing>
          <wp:anchor distT="0" distB="0" distL="114300" distR="114300" simplePos="0" relativeHeight="251834368" behindDoc="0" locked="0" layoutInCell="1" allowOverlap="1" wp14:anchorId="16984B55" wp14:editId="6B8EBCEA">
            <wp:simplePos x="0" y="0"/>
            <wp:positionH relativeFrom="column">
              <wp:posOffset>-210820</wp:posOffset>
            </wp:positionH>
            <wp:positionV relativeFrom="paragraph">
              <wp:posOffset>257175</wp:posOffset>
            </wp:positionV>
            <wp:extent cx="5807075" cy="8772525"/>
            <wp:effectExtent l="0" t="0" r="3175" b="9525"/>
            <wp:wrapSquare wrapText="bothSides"/>
            <wp:docPr id="34" name="Picture 34"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an"/>
                    <pic:cNvPicPr>
                      <a:picLocks noChangeAspect="1" noChangeArrowheads="1"/>
                    </pic:cNvPicPr>
                  </pic:nvPicPr>
                  <pic:blipFill>
                    <a:blip r:embed="rId115"/>
                    <a:srcRect/>
                    <a:stretch>
                      <a:fillRect/>
                    </a:stretch>
                  </pic:blipFill>
                  <pic:spPr bwMode="auto">
                    <a:xfrm>
                      <a:off x="0" y="0"/>
                      <a:ext cx="5807075" cy="8772525"/>
                    </a:xfrm>
                    <a:prstGeom prst="rect">
                      <a:avLst/>
                    </a:prstGeom>
                    <a:noFill/>
                  </pic:spPr>
                </pic:pic>
              </a:graphicData>
            </a:graphic>
            <wp14:sizeRelH relativeFrom="margin">
              <wp14:pctWidth>0</wp14:pctWidth>
            </wp14:sizeRelH>
            <wp14:sizeRelV relativeFrom="margin">
              <wp14:pctHeight>0</wp14:pctHeight>
            </wp14:sizeRelV>
          </wp:anchor>
        </w:drawing>
      </w:r>
    </w:p>
    <w:sectPr w:rsidR="00891086" w:rsidRPr="002A5F7C" w:rsidSect="00381B28">
      <w:pgSz w:w="11906" w:h="16838"/>
      <w:pgMar w:top="1440" w:right="1298" w:bottom="115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01A" w:rsidRDefault="00A9701A">
      <w:pPr>
        <w:spacing w:after="0" w:line="240" w:lineRule="auto"/>
      </w:pPr>
      <w:r>
        <w:separator/>
      </w:r>
    </w:p>
  </w:endnote>
  <w:endnote w:type="continuationSeparator" w:id="0">
    <w:p w:rsidR="00A9701A" w:rsidRDefault="00A97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Kharashi 11">
    <w:altName w:val="Times New Roman"/>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dvPS7C84">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aramond-BookCondensed">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01A" w:rsidRDefault="00A9701A">
      <w:pPr>
        <w:spacing w:after="0" w:line="240" w:lineRule="auto"/>
      </w:pPr>
      <w:r>
        <w:separator/>
      </w:r>
    </w:p>
  </w:footnote>
  <w:footnote w:type="continuationSeparator" w:id="0">
    <w:p w:rsidR="00A9701A" w:rsidRDefault="00A97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9432197"/>
      <w:docPartObj>
        <w:docPartGallery w:val="Page Numbers (Top of Page)"/>
        <w:docPartUnique/>
      </w:docPartObj>
    </w:sdtPr>
    <w:sdtEndPr>
      <w:rPr>
        <w:noProof/>
      </w:rPr>
    </w:sdtEndPr>
    <w:sdtContent>
      <w:p w:rsidR="003208E6" w:rsidRDefault="003208E6">
        <w:pPr>
          <w:pStyle w:val="Header"/>
        </w:pPr>
        <w:r>
          <w:fldChar w:fldCharType="begin"/>
        </w:r>
        <w:r>
          <w:instrText xml:space="preserve"> PAGE   \* MERGEFORMAT </w:instrText>
        </w:r>
        <w:r>
          <w:fldChar w:fldCharType="separate"/>
        </w:r>
        <w:r>
          <w:rPr>
            <w:noProof/>
          </w:rPr>
          <w:t>XIII</w:t>
        </w:r>
        <w:r>
          <w:rPr>
            <w:noProof/>
          </w:rPr>
          <w:fldChar w:fldCharType="end"/>
        </w:r>
      </w:p>
    </w:sdtContent>
  </w:sdt>
  <w:p w:rsidR="003208E6" w:rsidRDefault="003208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504550"/>
      <w:docPartObj>
        <w:docPartGallery w:val="Page Numbers (Top of Page)"/>
        <w:docPartUnique/>
      </w:docPartObj>
    </w:sdtPr>
    <w:sdtEndPr>
      <w:rPr>
        <w:noProof/>
      </w:rPr>
    </w:sdtEndPr>
    <w:sdtContent>
      <w:p w:rsidR="003208E6" w:rsidRDefault="003208E6">
        <w:pPr>
          <w:pStyle w:val="Header"/>
        </w:pPr>
        <w:r>
          <w:fldChar w:fldCharType="begin"/>
        </w:r>
        <w:r>
          <w:instrText xml:space="preserve"> PAGE   \* MERGEFORMAT </w:instrText>
        </w:r>
        <w:r>
          <w:fldChar w:fldCharType="separate"/>
        </w:r>
        <w:r w:rsidR="008B47D9">
          <w:rPr>
            <w:noProof/>
          </w:rPr>
          <w:t>XVIII</w:t>
        </w:r>
        <w:r>
          <w:rPr>
            <w:noProof/>
          </w:rPr>
          <w:fldChar w:fldCharType="end"/>
        </w:r>
      </w:p>
    </w:sdtContent>
  </w:sdt>
  <w:p w:rsidR="003208E6" w:rsidRDefault="003208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518709"/>
      <w:docPartObj>
        <w:docPartGallery w:val="Page Numbers (Top of Page)"/>
        <w:docPartUnique/>
      </w:docPartObj>
    </w:sdtPr>
    <w:sdtEndPr>
      <w:rPr>
        <w:noProof/>
      </w:rPr>
    </w:sdtEndPr>
    <w:sdtContent>
      <w:p w:rsidR="003208E6" w:rsidRDefault="003208E6" w:rsidP="00F534E6">
        <w:pPr>
          <w:pStyle w:val="Header"/>
        </w:pPr>
        <w:r>
          <w:fldChar w:fldCharType="begin"/>
        </w:r>
        <w:r>
          <w:instrText xml:space="preserve"> PAGE  \* Arabic  \* MERGEFORMAT </w:instrText>
        </w:r>
        <w:r>
          <w:fldChar w:fldCharType="separate"/>
        </w:r>
        <w:r w:rsidR="00A545AD">
          <w:rPr>
            <w:noProof/>
          </w:rPr>
          <w:t>27</w:t>
        </w:r>
        <w:r>
          <w:fldChar w:fldCharType="end"/>
        </w:r>
      </w:p>
    </w:sdtContent>
  </w:sdt>
  <w:p w:rsidR="003208E6" w:rsidRDefault="003208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998508"/>
      <w:docPartObj>
        <w:docPartGallery w:val="Page Numbers (Top of Page)"/>
        <w:docPartUnique/>
      </w:docPartObj>
    </w:sdtPr>
    <w:sdtEndPr>
      <w:rPr>
        <w:noProof/>
      </w:rPr>
    </w:sdtEndPr>
    <w:sdtContent>
      <w:p w:rsidR="003208E6" w:rsidRDefault="003208E6">
        <w:pPr>
          <w:pStyle w:val="Header"/>
        </w:pPr>
        <w:r>
          <w:fldChar w:fldCharType="begin"/>
        </w:r>
        <w:r>
          <w:instrText xml:space="preserve"> PAGE   \* MERGEFORMAT </w:instrText>
        </w:r>
        <w:r>
          <w:fldChar w:fldCharType="separate"/>
        </w:r>
        <w:r w:rsidR="008B47D9">
          <w:rPr>
            <w:noProof/>
          </w:rPr>
          <w:t>290</w:t>
        </w:r>
        <w:r>
          <w:rPr>
            <w:noProof/>
          </w:rPr>
          <w:fldChar w:fldCharType="end"/>
        </w:r>
      </w:p>
    </w:sdtContent>
  </w:sdt>
  <w:p w:rsidR="003208E6" w:rsidRDefault="003208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BC348E"/>
    <w:multiLevelType w:val="multilevel"/>
    <w:tmpl w:val="F2009232"/>
    <w:lvl w:ilvl="0">
      <w:numFmt w:val="bullet"/>
      <w:lvlText w:val="•"/>
      <w:lvlJc w:val="left"/>
      <w:pPr>
        <w:ind w:left="720" w:hanging="360"/>
      </w:pPr>
      <w:rPr>
        <w:rFonts w:ascii="Comic Sans MS" w:hAnsi="Comic Sans M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01C5145C"/>
    <w:multiLevelType w:val="hybridMultilevel"/>
    <w:tmpl w:val="89FC2EA6"/>
    <w:lvl w:ilvl="0" w:tplc="4DB6C110">
      <w:start w:val="1"/>
      <w:numFmt w:val="bullet"/>
      <w:lvlText w:val=""/>
      <w:lvlJc w:val="left"/>
      <w:pPr>
        <w:tabs>
          <w:tab w:val="num" w:pos="170"/>
        </w:tabs>
        <w:ind w:left="170" w:hanging="170"/>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01C8145A"/>
    <w:multiLevelType w:val="multilevel"/>
    <w:tmpl w:val="C73CEC52"/>
    <w:lvl w:ilvl="0">
      <w:start w:val="1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02B87AC1"/>
    <w:multiLevelType w:val="hybridMultilevel"/>
    <w:tmpl w:val="0A00012A"/>
    <w:lvl w:ilvl="0" w:tplc="4DB6C110">
      <w:start w:val="1"/>
      <w:numFmt w:val="bullet"/>
      <w:lvlText w:val=""/>
      <w:lvlJc w:val="left"/>
      <w:pPr>
        <w:tabs>
          <w:tab w:val="num" w:pos="170"/>
        </w:tabs>
        <w:ind w:left="170" w:hanging="170"/>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046C4E75"/>
    <w:multiLevelType w:val="hybridMultilevel"/>
    <w:tmpl w:val="2672502A"/>
    <w:lvl w:ilvl="0" w:tplc="60BA3EF2">
      <w:start w:val="1"/>
      <w:numFmt w:val="bullet"/>
      <w:lvlText w:val=""/>
      <w:lvlJc w:val="left"/>
      <w:pPr>
        <w:tabs>
          <w:tab w:val="num" w:pos="284"/>
        </w:tabs>
        <w:ind w:left="284" w:hanging="284"/>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nsid w:val="04847476"/>
    <w:multiLevelType w:val="multilevel"/>
    <w:tmpl w:val="51464BFC"/>
    <w:numStyleLink w:val="StyleStyle1LatinBodyCSArialComplexBodyCSArial"/>
  </w:abstractNum>
  <w:abstractNum w:abstractNumId="8">
    <w:nsid w:val="050B3743"/>
    <w:multiLevelType w:val="hybridMultilevel"/>
    <w:tmpl w:val="66E4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64F30E0"/>
    <w:multiLevelType w:val="hybridMultilevel"/>
    <w:tmpl w:val="967C8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6A06680"/>
    <w:multiLevelType w:val="hybridMultilevel"/>
    <w:tmpl w:val="3D9849D0"/>
    <w:lvl w:ilvl="0" w:tplc="D5EA0D02">
      <w:start w:val="1"/>
      <w:numFmt w:val="bullet"/>
      <w:lvlText w:val=""/>
      <w:lvlJc w:val="left"/>
      <w:pPr>
        <w:tabs>
          <w:tab w:val="num" w:pos="284"/>
        </w:tabs>
        <w:ind w:left="284" w:hanging="284"/>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nsid w:val="07FB4DCC"/>
    <w:multiLevelType w:val="multilevel"/>
    <w:tmpl w:val="51464BFC"/>
    <w:numStyleLink w:val="StyleStyle1LatinBodyCSArialComplexBodyCSArial"/>
  </w:abstractNum>
  <w:abstractNum w:abstractNumId="12">
    <w:nsid w:val="0828282D"/>
    <w:multiLevelType w:val="multilevel"/>
    <w:tmpl w:val="0809001D"/>
    <w:styleLink w:val="Style3"/>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8472E69"/>
    <w:multiLevelType w:val="multilevel"/>
    <w:tmpl w:val="9E3275D2"/>
    <w:styleLink w:val="111111"/>
    <w:lvl w:ilvl="0">
      <w:start w:val="1"/>
      <w:numFmt w:val="decimal"/>
      <w:lvlText w:val="%1."/>
      <w:lvlJc w:val="left"/>
      <w:pPr>
        <w:ind w:left="360" w:hanging="360"/>
      </w:pPr>
      <w:rPr>
        <w:rFonts w:asciiTheme="minorHAnsi" w:hAnsiTheme="minorHAnsi" w:hint="default"/>
        <w:b/>
        <w:sz w:val="28"/>
      </w:rPr>
    </w:lvl>
    <w:lvl w:ilvl="1">
      <w:start w:val="1"/>
      <w:numFmt w:val="decimal"/>
      <w:lvlText w:val="%1.%2."/>
      <w:lvlJc w:val="left"/>
      <w:pPr>
        <w:ind w:left="792" w:hanging="432"/>
      </w:pPr>
      <w:rPr>
        <w:rFonts w:hint="default"/>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CEA0F23"/>
    <w:multiLevelType w:val="hybridMultilevel"/>
    <w:tmpl w:val="981AA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D5D4B46"/>
    <w:multiLevelType w:val="hybridMultilevel"/>
    <w:tmpl w:val="10F87BFC"/>
    <w:lvl w:ilvl="0" w:tplc="4DB6C110">
      <w:start w:val="1"/>
      <w:numFmt w:val="bullet"/>
      <w:lvlText w:val=""/>
      <w:lvlJc w:val="left"/>
      <w:pPr>
        <w:tabs>
          <w:tab w:val="num" w:pos="170"/>
        </w:tabs>
        <w:ind w:left="170" w:hanging="170"/>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0DFD5F99"/>
    <w:multiLevelType w:val="multilevel"/>
    <w:tmpl w:val="51464BFC"/>
    <w:styleLink w:val="StyleStyle1BodyCSArial"/>
    <w:lvl w:ilvl="0">
      <w:start w:val="2"/>
      <w:numFmt w:val="decimal"/>
      <w:lvlText w:val="%1."/>
      <w:lvlJc w:val="left"/>
      <w:pPr>
        <w:ind w:left="360" w:hanging="360"/>
      </w:pPr>
      <w:rPr>
        <w:rFonts w:asciiTheme="minorBidi" w:hAnsiTheme="minorBidi"/>
        <w:sz w:val="28"/>
      </w:rPr>
    </w:lvl>
    <w:lvl w:ilvl="1">
      <w:start w:val="1"/>
      <w:numFmt w:val="decimal"/>
      <w:lvlText w:val="%1.%2."/>
      <w:lvlJc w:val="left"/>
      <w:pPr>
        <w:ind w:left="432" w:hanging="432"/>
      </w:pPr>
      <w:rPr>
        <w:rFonts w:hint="default"/>
      </w:rPr>
    </w:lvl>
    <w:lvl w:ilvl="2">
      <w:start w:val="1"/>
      <w:numFmt w:val="decimal"/>
      <w:lvlText w:val="%1.%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0E300B2"/>
    <w:multiLevelType w:val="hybridMultilevel"/>
    <w:tmpl w:val="D3E0D98A"/>
    <w:lvl w:ilvl="0" w:tplc="D5EA0D02">
      <w:start w:val="1"/>
      <w:numFmt w:val="bullet"/>
      <w:lvlText w:val=""/>
      <w:lvlJc w:val="left"/>
      <w:pPr>
        <w:tabs>
          <w:tab w:val="num" w:pos="284"/>
        </w:tabs>
        <w:ind w:left="284" w:hanging="284"/>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nsid w:val="11896348"/>
    <w:multiLevelType w:val="multilevel"/>
    <w:tmpl w:val="08889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1F3436B"/>
    <w:multiLevelType w:val="hybridMultilevel"/>
    <w:tmpl w:val="2D44F0A2"/>
    <w:lvl w:ilvl="0" w:tplc="60BA3EF2">
      <w:start w:val="1"/>
      <w:numFmt w:val="bullet"/>
      <w:lvlText w:val=""/>
      <w:lvlJc w:val="left"/>
      <w:pPr>
        <w:tabs>
          <w:tab w:val="num" w:pos="284"/>
        </w:tabs>
        <w:ind w:left="284" w:hanging="284"/>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nsid w:val="15F63AFB"/>
    <w:multiLevelType w:val="multilevel"/>
    <w:tmpl w:val="51464BFC"/>
    <w:numStyleLink w:val="StyleStyle1LatinBodyCSArialComplexBodyCSArial"/>
  </w:abstractNum>
  <w:abstractNum w:abstractNumId="21">
    <w:nsid w:val="16450BEB"/>
    <w:multiLevelType w:val="hybridMultilevel"/>
    <w:tmpl w:val="DE141E3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7927A2A"/>
    <w:multiLevelType w:val="hybridMultilevel"/>
    <w:tmpl w:val="D186BE22"/>
    <w:lvl w:ilvl="0" w:tplc="9300E152">
      <w:start w:val="1"/>
      <w:numFmt w:val="bullet"/>
      <w:lvlText w:val="•"/>
      <w:lvlJc w:val="left"/>
      <w:pPr>
        <w:tabs>
          <w:tab w:val="num" w:pos="720"/>
        </w:tabs>
        <w:ind w:left="720" w:hanging="360"/>
      </w:pPr>
      <w:rPr>
        <w:rFonts w:ascii="Comic Sans MS" w:hAnsi="Comic Sans MS" w:hint="default"/>
        <w:lang w:val="en-US"/>
      </w:rPr>
    </w:lvl>
    <w:lvl w:ilvl="1" w:tplc="3C306168" w:tentative="1">
      <w:start w:val="1"/>
      <w:numFmt w:val="bullet"/>
      <w:lvlText w:val="•"/>
      <w:lvlJc w:val="left"/>
      <w:pPr>
        <w:tabs>
          <w:tab w:val="num" w:pos="1440"/>
        </w:tabs>
        <w:ind w:left="1440" w:hanging="360"/>
      </w:pPr>
      <w:rPr>
        <w:rFonts w:ascii="Comic Sans MS" w:hAnsi="Comic Sans MS" w:hint="default"/>
      </w:rPr>
    </w:lvl>
    <w:lvl w:ilvl="2" w:tplc="2B0483C4" w:tentative="1">
      <w:start w:val="1"/>
      <w:numFmt w:val="bullet"/>
      <w:lvlText w:val="•"/>
      <w:lvlJc w:val="left"/>
      <w:pPr>
        <w:tabs>
          <w:tab w:val="num" w:pos="2160"/>
        </w:tabs>
        <w:ind w:left="2160" w:hanging="360"/>
      </w:pPr>
      <w:rPr>
        <w:rFonts w:ascii="Comic Sans MS" w:hAnsi="Comic Sans MS" w:hint="default"/>
      </w:rPr>
    </w:lvl>
    <w:lvl w:ilvl="3" w:tplc="5D2E2BA0" w:tentative="1">
      <w:start w:val="1"/>
      <w:numFmt w:val="bullet"/>
      <w:lvlText w:val="•"/>
      <w:lvlJc w:val="left"/>
      <w:pPr>
        <w:tabs>
          <w:tab w:val="num" w:pos="2880"/>
        </w:tabs>
        <w:ind w:left="2880" w:hanging="360"/>
      </w:pPr>
      <w:rPr>
        <w:rFonts w:ascii="Comic Sans MS" w:hAnsi="Comic Sans MS" w:hint="default"/>
      </w:rPr>
    </w:lvl>
    <w:lvl w:ilvl="4" w:tplc="E5E87860" w:tentative="1">
      <w:start w:val="1"/>
      <w:numFmt w:val="bullet"/>
      <w:lvlText w:val="•"/>
      <w:lvlJc w:val="left"/>
      <w:pPr>
        <w:tabs>
          <w:tab w:val="num" w:pos="3600"/>
        </w:tabs>
        <w:ind w:left="3600" w:hanging="360"/>
      </w:pPr>
      <w:rPr>
        <w:rFonts w:ascii="Comic Sans MS" w:hAnsi="Comic Sans MS" w:hint="default"/>
      </w:rPr>
    </w:lvl>
    <w:lvl w:ilvl="5" w:tplc="8C60B7F6" w:tentative="1">
      <w:start w:val="1"/>
      <w:numFmt w:val="bullet"/>
      <w:lvlText w:val="•"/>
      <w:lvlJc w:val="left"/>
      <w:pPr>
        <w:tabs>
          <w:tab w:val="num" w:pos="4320"/>
        </w:tabs>
        <w:ind w:left="4320" w:hanging="360"/>
      </w:pPr>
      <w:rPr>
        <w:rFonts w:ascii="Comic Sans MS" w:hAnsi="Comic Sans MS" w:hint="default"/>
      </w:rPr>
    </w:lvl>
    <w:lvl w:ilvl="6" w:tplc="E982A380" w:tentative="1">
      <w:start w:val="1"/>
      <w:numFmt w:val="bullet"/>
      <w:lvlText w:val="•"/>
      <w:lvlJc w:val="left"/>
      <w:pPr>
        <w:tabs>
          <w:tab w:val="num" w:pos="5040"/>
        </w:tabs>
        <w:ind w:left="5040" w:hanging="360"/>
      </w:pPr>
      <w:rPr>
        <w:rFonts w:ascii="Comic Sans MS" w:hAnsi="Comic Sans MS" w:hint="default"/>
      </w:rPr>
    </w:lvl>
    <w:lvl w:ilvl="7" w:tplc="F03E0CD8" w:tentative="1">
      <w:start w:val="1"/>
      <w:numFmt w:val="bullet"/>
      <w:lvlText w:val="•"/>
      <w:lvlJc w:val="left"/>
      <w:pPr>
        <w:tabs>
          <w:tab w:val="num" w:pos="5760"/>
        </w:tabs>
        <w:ind w:left="5760" w:hanging="360"/>
      </w:pPr>
      <w:rPr>
        <w:rFonts w:ascii="Comic Sans MS" w:hAnsi="Comic Sans MS" w:hint="default"/>
      </w:rPr>
    </w:lvl>
    <w:lvl w:ilvl="8" w:tplc="F8A0B446" w:tentative="1">
      <w:start w:val="1"/>
      <w:numFmt w:val="bullet"/>
      <w:lvlText w:val="•"/>
      <w:lvlJc w:val="left"/>
      <w:pPr>
        <w:tabs>
          <w:tab w:val="num" w:pos="6480"/>
        </w:tabs>
        <w:ind w:left="6480" w:hanging="360"/>
      </w:pPr>
      <w:rPr>
        <w:rFonts w:ascii="Comic Sans MS" w:hAnsi="Comic Sans MS" w:hint="default"/>
      </w:rPr>
    </w:lvl>
  </w:abstractNum>
  <w:abstractNum w:abstractNumId="23">
    <w:nsid w:val="19BD21ED"/>
    <w:multiLevelType w:val="multilevel"/>
    <w:tmpl w:val="51464BFC"/>
    <w:numStyleLink w:val="Style1"/>
  </w:abstractNum>
  <w:abstractNum w:abstractNumId="24">
    <w:nsid w:val="1A1E3373"/>
    <w:multiLevelType w:val="multilevel"/>
    <w:tmpl w:val="10B8BA4A"/>
    <w:lvl w:ilvl="0">
      <w:numFmt w:val="bullet"/>
      <w:lvlText w:val="•"/>
      <w:lvlJc w:val="left"/>
      <w:pPr>
        <w:ind w:left="720" w:hanging="360"/>
      </w:pPr>
      <w:rPr>
        <w:rFonts w:ascii="Comic Sans MS" w:hAnsi="Comic Sans MS"/>
      </w:rPr>
    </w:lvl>
    <w:lvl w:ilvl="1">
      <w:numFmt w:val="bullet"/>
      <w:lvlText w:val="•"/>
      <w:lvlJc w:val="left"/>
      <w:pPr>
        <w:ind w:left="1440" w:hanging="360"/>
      </w:pPr>
      <w:rPr>
        <w:rFonts w:ascii="Comic Sans MS" w:hAnsi="Comic Sans MS"/>
      </w:rPr>
    </w:lvl>
    <w:lvl w:ilvl="2">
      <w:numFmt w:val="bullet"/>
      <w:lvlText w:val="•"/>
      <w:lvlJc w:val="left"/>
      <w:pPr>
        <w:ind w:left="2160" w:hanging="360"/>
      </w:pPr>
      <w:rPr>
        <w:rFonts w:ascii="Comic Sans MS" w:hAnsi="Comic Sans MS"/>
      </w:rPr>
    </w:lvl>
    <w:lvl w:ilvl="3">
      <w:numFmt w:val="bullet"/>
      <w:lvlText w:val="•"/>
      <w:lvlJc w:val="left"/>
      <w:pPr>
        <w:ind w:left="2880" w:hanging="360"/>
      </w:pPr>
      <w:rPr>
        <w:rFonts w:ascii="Comic Sans MS" w:hAnsi="Comic Sans MS"/>
      </w:rPr>
    </w:lvl>
    <w:lvl w:ilvl="4">
      <w:numFmt w:val="bullet"/>
      <w:lvlText w:val="•"/>
      <w:lvlJc w:val="left"/>
      <w:pPr>
        <w:ind w:left="3600" w:hanging="360"/>
      </w:pPr>
      <w:rPr>
        <w:rFonts w:ascii="Comic Sans MS" w:hAnsi="Comic Sans MS"/>
      </w:rPr>
    </w:lvl>
    <w:lvl w:ilvl="5">
      <w:numFmt w:val="bullet"/>
      <w:lvlText w:val="•"/>
      <w:lvlJc w:val="left"/>
      <w:pPr>
        <w:ind w:left="4320" w:hanging="360"/>
      </w:pPr>
      <w:rPr>
        <w:rFonts w:ascii="Comic Sans MS" w:hAnsi="Comic Sans MS"/>
      </w:rPr>
    </w:lvl>
    <w:lvl w:ilvl="6">
      <w:numFmt w:val="bullet"/>
      <w:lvlText w:val="•"/>
      <w:lvlJc w:val="left"/>
      <w:pPr>
        <w:ind w:left="5040" w:hanging="360"/>
      </w:pPr>
      <w:rPr>
        <w:rFonts w:ascii="Comic Sans MS" w:hAnsi="Comic Sans MS"/>
      </w:rPr>
    </w:lvl>
    <w:lvl w:ilvl="7">
      <w:numFmt w:val="bullet"/>
      <w:lvlText w:val="•"/>
      <w:lvlJc w:val="left"/>
      <w:pPr>
        <w:ind w:left="5760" w:hanging="360"/>
      </w:pPr>
      <w:rPr>
        <w:rFonts w:ascii="Comic Sans MS" w:hAnsi="Comic Sans MS"/>
      </w:rPr>
    </w:lvl>
    <w:lvl w:ilvl="8">
      <w:numFmt w:val="bullet"/>
      <w:lvlText w:val="•"/>
      <w:lvlJc w:val="left"/>
      <w:pPr>
        <w:ind w:left="6480" w:hanging="360"/>
      </w:pPr>
      <w:rPr>
        <w:rFonts w:ascii="Comic Sans MS" w:hAnsi="Comic Sans MS"/>
      </w:rPr>
    </w:lvl>
  </w:abstractNum>
  <w:abstractNum w:abstractNumId="25">
    <w:nsid w:val="1B68168B"/>
    <w:multiLevelType w:val="multilevel"/>
    <w:tmpl w:val="F4AAD84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BC876D1"/>
    <w:multiLevelType w:val="multilevel"/>
    <w:tmpl w:val="23C47C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07C7785"/>
    <w:multiLevelType w:val="hybridMultilevel"/>
    <w:tmpl w:val="330A53B4"/>
    <w:lvl w:ilvl="0" w:tplc="84EAA5EA">
      <w:start w:val="1"/>
      <w:numFmt w:val="decimal"/>
      <w:pStyle w:val="Heading1"/>
      <w:lvlText w:val="%1."/>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12D680C"/>
    <w:multiLevelType w:val="hybridMultilevel"/>
    <w:tmpl w:val="C0423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80C1630"/>
    <w:multiLevelType w:val="multilevel"/>
    <w:tmpl w:val="BBE85548"/>
    <w:styleLink w:val="WWOutlineListStyle"/>
    <w:lvl w:ilvl="0">
      <w:start w:val="1"/>
      <w:numFmt w:val="decimal"/>
      <w:lvlText w:val="%1."/>
      <w:lvlJc w:val="left"/>
      <w:pPr>
        <w:ind w:left="502" w:hanging="360"/>
      </w:pPr>
      <w:rPr>
        <w:b/>
        <w:bCs/>
        <w:i w:val="0"/>
        <w:iCs w:val="0"/>
        <w:color w:val="auto"/>
        <w:sz w:val="44"/>
        <w:szCs w:val="44"/>
      </w:rPr>
    </w:lvl>
    <w:lvl w:ilvl="1">
      <w:start w:val="1"/>
      <w:numFmt w:val="decimal"/>
      <w:lvlText w:val="%1.%2"/>
      <w:lvlJc w:val="left"/>
      <w:pPr>
        <w:ind w:left="576" w:hanging="576"/>
      </w:pPr>
      <w:rPr>
        <w:b/>
        <w:bCs w:val="0"/>
        <w:i w:val="0"/>
        <w:iCs w:val="0"/>
        <w:caps w:val="0"/>
        <w:smallCaps w:val="0"/>
        <w:strike w:val="0"/>
        <w:dstrike w:val="0"/>
        <w:outline w:val="0"/>
        <w:emboss w:val="0"/>
        <w:imprint w:val="0"/>
        <w:vanish w:val="0"/>
        <w:color w:val="auto"/>
        <w:spacing w:val="0"/>
        <w:kern w:val="0"/>
        <w:position w:val="0"/>
        <w:u w:val="none"/>
        <w:vertAlign w:val="baseline"/>
        <w:em w:val="none"/>
      </w:rPr>
    </w:lvl>
    <w:lvl w:ilvl="2">
      <w:start w:val="1"/>
      <w:numFmt w:val="decimal"/>
      <w:lvlText w:val="%1.%2.%3"/>
      <w:lvlJc w:val="left"/>
      <w:pPr>
        <w:ind w:left="1146"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decimal"/>
      <w:lvlText w:val="%1.%2.%3.%4"/>
      <w:lvlJc w:val="left"/>
      <w:pPr>
        <w:ind w:left="864" w:hanging="864"/>
      </w:pPr>
      <w:rPr>
        <w:color w:val="auto"/>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28D0744B"/>
    <w:multiLevelType w:val="multilevel"/>
    <w:tmpl w:val="51464BFC"/>
    <w:numStyleLink w:val="StyleStyle1LatinBodyCSArialComplexBodyCSArial"/>
  </w:abstractNum>
  <w:abstractNum w:abstractNumId="31">
    <w:nsid w:val="2C493241"/>
    <w:multiLevelType w:val="hybridMultilevel"/>
    <w:tmpl w:val="68BC4B10"/>
    <w:lvl w:ilvl="0" w:tplc="AD5C1B3C">
      <w:start w:val="1"/>
      <w:numFmt w:val="bullet"/>
      <w:lvlText w:val=""/>
      <w:lvlJc w:val="left"/>
      <w:pPr>
        <w:tabs>
          <w:tab w:val="num" w:pos="170"/>
        </w:tabs>
        <w:ind w:left="170" w:hanging="170"/>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nsid w:val="2E815700"/>
    <w:multiLevelType w:val="multilevel"/>
    <w:tmpl w:val="51464BFC"/>
    <w:numStyleLink w:val="StyleStyle1LatinBodyCSArialComplexBodyCSArial"/>
  </w:abstractNum>
  <w:abstractNum w:abstractNumId="33">
    <w:nsid w:val="31BE779F"/>
    <w:multiLevelType w:val="hybridMultilevel"/>
    <w:tmpl w:val="E1F410FC"/>
    <w:lvl w:ilvl="0" w:tplc="4DB6C110">
      <w:start w:val="1"/>
      <w:numFmt w:val="bullet"/>
      <w:lvlText w:val=""/>
      <w:lvlJc w:val="left"/>
      <w:pPr>
        <w:tabs>
          <w:tab w:val="num" w:pos="170"/>
        </w:tabs>
        <w:ind w:left="170" w:hanging="170"/>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nsid w:val="31FC50E6"/>
    <w:multiLevelType w:val="multilevel"/>
    <w:tmpl w:val="51464BFC"/>
    <w:numStyleLink w:val="StyleStyle1LatinBodyCSArialComplexBodyCSArial"/>
  </w:abstractNum>
  <w:abstractNum w:abstractNumId="35">
    <w:nsid w:val="33E04873"/>
    <w:multiLevelType w:val="multilevel"/>
    <w:tmpl w:val="5E0C7626"/>
    <w:lvl w:ilvl="0">
      <w:start w:val="1"/>
      <w:numFmt w:val="decimal"/>
      <w:lvlText w:val="%1."/>
      <w:lvlJc w:val="left"/>
      <w:pPr>
        <w:ind w:left="720" w:hanging="360"/>
      </w:pPr>
    </w:lvl>
    <w:lvl w:ilvl="1">
      <w:numFmt w:val="bullet"/>
      <w:lvlText w:val="-"/>
      <w:lvlJc w:val="left"/>
      <w:pPr>
        <w:ind w:left="1440" w:hanging="360"/>
      </w:pPr>
      <w:rPr>
        <w:rFonts w:ascii="Arial" w:eastAsia="Times New Roman" w:hAnsi="Arial" w:cs="Aria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34363431"/>
    <w:multiLevelType w:val="hybridMultilevel"/>
    <w:tmpl w:val="A3BE3C94"/>
    <w:lvl w:ilvl="0" w:tplc="22D488F4">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4584795"/>
    <w:multiLevelType w:val="multilevel"/>
    <w:tmpl w:val="51464BFC"/>
    <w:numStyleLink w:val="StyleStyle1LatinBodyCSArialComplexBodyCSArial"/>
  </w:abstractNum>
  <w:abstractNum w:abstractNumId="38">
    <w:nsid w:val="386D669F"/>
    <w:multiLevelType w:val="hybridMultilevel"/>
    <w:tmpl w:val="7ADCE1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90C40A6"/>
    <w:multiLevelType w:val="multilevel"/>
    <w:tmpl w:val="C6F07ADE"/>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9496332"/>
    <w:multiLevelType w:val="multilevel"/>
    <w:tmpl w:val="5EE25F70"/>
    <w:lvl w:ilvl="0">
      <w:numFmt w:val="bullet"/>
      <w:lvlText w:val=""/>
      <w:lvlJc w:val="left"/>
      <w:pPr>
        <w:ind w:left="284" w:hanging="284"/>
      </w:pPr>
      <w:rPr>
        <w:rFonts w:ascii="Wingdings" w:hAnsi="Wingdings"/>
        <w:b/>
        <w:i w:val="0"/>
        <w:strike w:val="0"/>
        <w:dstrike w:val="0"/>
        <w:outline w:val="0"/>
        <w:emboss w:val="0"/>
        <w:imprint w:val="0"/>
        <w:vanish w:val="0"/>
        <w:color w:val="auto"/>
        <w:position w:val="0"/>
        <w:sz w:val="24"/>
        <w:vertAlign w:val="baseline"/>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1">
    <w:nsid w:val="3A9D516C"/>
    <w:multiLevelType w:val="multilevel"/>
    <w:tmpl w:val="51464BFC"/>
    <w:numStyleLink w:val="StyleStyle1LatinBodyCSArialComplexBodyCSArial"/>
  </w:abstractNum>
  <w:abstractNum w:abstractNumId="42">
    <w:nsid w:val="3AD83407"/>
    <w:multiLevelType w:val="multilevel"/>
    <w:tmpl w:val="9E3275D2"/>
    <w:numStyleLink w:val="111111"/>
  </w:abstractNum>
  <w:abstractNum w:abstractNumId="43">
    <w:nsid w:val="3E5332F9"/>
    <w:multiLevelType w:val="hybridMultilevel"/>
    <w:tmpl w:val="A4945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FBD05BD"/>
    <w:multiLevelType w:val="hybridMultilevel"/>
    <w:tmpl w:val="C6263CBC"/>
    <w:lvl w:ilvl="0" w:tplc="D5EA0D02">
      <w:start w:val="1"/>
      <w:numFmt w:val="bullet"/>
      <w:lvlText w:val=""/>
      <w:lvlJc w:val="left"/>
      <w:pPr>
        <w:tabs>
          <w:tab w:val="num" w:pos="284"/>
        </w:tabs>
        <w:ind w:left="284" w:hanging="284"/>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nsid w:val="3FE040A9"/>
    <w:multiLevelType w:val="multilevel"/>
    <w:tmpl w:val="51464BFC"/>
    <w:numStyleLink w:val="StyleStyle1LatinBodyCSArialComplexBodyCSArial"/>
  </w:abstractNum>
  <w:abstractNum w:abstractNumId="46">
    <w:nsid w:val="41B50E6C"/>
    <w:multiLevelType w:val="multilevel"/>
    <w:tmpl w:val="DF56A6C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7">
    <w:nsid w:val="45BC7E4A"/>
    <w:multiLevelType w:val="multilevel"/>
    <w:tmpl w:val="51464BFC"/>
    <w:numStyleLink w:val="StyleStyle1LatinBodyCSArialComplexBodyCSArial"/>
  </w:abstractNum>
  <w:abstractNum w:abstractNumId="48">
    <w:nsid w:val="4683581A"/>
    <w:multiLevelType w:val="multilevel"/>
    <w:tmpl w:val="51464BFC"/>
    <w:numStyleLink w:val="StyleStyle1LatinBodyCSArialComplexBodyCSArial"/>
  </w:abstractNum>
  <w:abstractNum w:abstractNumId="49">
    <w:nsid w:val="47A125F2"/>
    <w:multiLevelType w:val="multilevel"/>
    <w:tmpl w:val="C304158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0">
    <w:nsid w:val="488263B8"/>
    <w:multiLevelType w:val="multilevel"/>
    <w:tmpl w:val="51464BFC"/>
    <w:numStyleLink w:val="StyleStyle1LatinBodyCSArialComplexBodyCSArial"/>
  </w:abstractNum>
  <w:abstractNum w:abstractNumId="51">
    <w:nsid w:val="4B036B65"/>
    <w:multiLevelType w:val="multilevel"/>
    <w:tmpl w:val="51464BFC"/>
    <w:numStyleLink w:val="StyleStyle1LatinBodyCSArialComplexBodyCSArial"/>
  </w:abstractNum>
  <w:abstractNum w:abstractNumId="52">
    <w:nsid w:val="4B720AB2"/>
    <w:multiLevelType w:val="hybridMultilevel"/>
    <w:tmpl w:val="FC5A975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nsid w:val="4BC21F48"/>
    <w:multiLevelType w:val="multilevel"/>
    <w:tmpl w:val="51464BFC"/>
    <w:numStyleLink w:val="StyleStyle1LatinBodyCSArialComplexBodyCSArial"/>
  </w:abstractNum>
  <w:abstractNum w:abstractNumId="54">
    <w:nsid w:val="4D0C0D4C"/>
    <w:multiLevelType w:val="multilevel"/>
    <w:tmpl w:val="51464BFC"/>
    <w:numStyleLink w:val="StyleStyle1LatinBodyCSArialComplexBodyCSArial"/>
  </w:abstractNum>
  <w:abstractNum w:abstractNumId="55">
    <w:nsid w:val="4D197FAE"/>
    <w:multiLevelType w:val="multilevel"/>
    <w:tmpl w:val="51464BFC"/>
    <w:numStyleLink w:val="StyleStyle1LatinBodyCSArialComplexBodyCSArial"/>
  </w:abstractNum>
  <w:abstractNum w:abstractNumId="56">
    <w:nsid w:val="4E113911"/>
    <w:multiLevelType w:val="hybridMultilevel"/>
    <w:tmpl w:val="C8725D4A"/>
    <w:lvl w:ilvl="0" w:tplc="96083C2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7">
    <w:nsid w:val="4FB3446E"/>
    <w:multiLevelType w:val="multilevel"/>
    <w:tmpl w:val="51464BFC"/>
    <w:numStyleLink w:val="StyleStyle1LatinBodyCSArialComplexBodyCSArial"/>
  </w:abstractNum>
  <w:abstractNum w:abstractNumId="58">
    <w:nsid w:val="4FF94A37"/>
    <w:multiLevelType w:val="hybridMultilevel"/>
    <w:tmpl w:val="C0B45F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4FFC3092"/>
    <w:multiLevelType w:val="hybridMultilevel"/>
    <w:tmpl w:val="1A5EEA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03C46CA"/>
    <w:multiLevelType w:val="multilevel"/>
    <w:tmpl w:val="51464BFC"/>
    <w:numStyleLink w:val="StyleStyle1LatinBodyCSArialComplexBodyCSArial"/>
  </w:abstractNum>
  <w:abstractNum w:abstractNumId="61">
    <w:nsid w:val="50547B1A"/>
    <w:multiLevelType w:val="hybridMultilevel"/>
    <w:tmpl w:val="DD94F62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51934D08"/>
    <w:multiLevelType w:val="hybridMultilevel"/>
    <w:tmpl w:val="034A814E"/>
    <w:lvl w:ilvl="0" w:tplc="D5EA0D02">
      <w:start w:val="1"/>
      <w:numFmt w:val="bullet"/>
      <w:lvlText w:val=""/>
      <w:lvlJc w:val="left"/>
      <w:pPr>
        <w:tabs>
          <w:tab w:val="num" w:pos="284"/>
        </w:tabs>
        <w:ind w:left="284" w:hanging="284"/>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3">
    <w:nsid w:val="54434D08"/>
    <w:multiLevelType w:val="multilevel"/>
    <w:tmpl w:val="D44E7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5B14104"/>
    <w:multiLevelType w:val="hybridMultilevel"/>
    <w:tmpl w:val="CCE060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5">
    <w:nsid w:val="56901263"/>
    <w:multiLevelType w:val="multilevel"/>
    <w:tmpl w:val="45B21738"/>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nsid w:val="56954F9B"/>
    <w:multiLevelType w:val="multilevel"/>
    <w:tmpl w:val="51464BFC"/>
    <w:styleLink w:val="Style1"/>
    <w:lvl w:ilvl="0">
      <w:start w:val="2"/>
      <w:numFmt w:val="decimal"/>
      <w:pStyle w:val="Style5"/>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576342F5"/>
    <w:multiLevelType w:val="hybridMultilevel"/>
    <w:tmpl w:val="F2147428"/>
    <w:lvl w:ilvl="0" w:tplc="08090001">
      <w:start w:val="1"/>
      <w:numFmt w:val="bullet"/>
      <w:lvlText w:val=""/>
      <w:lvlJc w:val="left"/>
      <w:pPr>
        <w:tabs>
          <w:tab w:val="num" w:pos="720"/>
        </w:tabs>
        <w:ind w:left="720" w:hanging="360"/>
      </w:pPr>
      <w:rPr>
        <w:rFonts w:ascii="Symbol" w:hAnsi="Symbol" w:hint="default"/>
      </w:rPr>
    </w:lvl>
    <w:lvl w:ilvl="1" w:tplc="3B662D9C" w:tentative="1">
      <w:start w:val="1"/>
      <w:numFmt w:val="bullet"/>
      <w:lvlText w:val="•"/>
      <w:lvlJc w:val="left"/>
      <w:pPr>
        <w:tabs>
          <w:tab w:val="num" w:pos="1440"/>
        </w:tabs>
        <w:ind w:left="1440" w:hanging="360"/>
      </w:pPr>
      <w:rPr>
        <w:rFonts w:ascii="Comic Sans MS" w:hAnsi="Comic Sans MS" w:hint="default"/>
      </w:rPr>
    </w:lvl>
    <w:lvl w:ilvl="2" w:tplc="41C6ADC4" w:tentative="1">
      <w:start w:val="1"/>
      <w:numFmt w:val="bullet"/>
      <w:lvlText w:val="•"/>
      <w:lvlJc w:val="left"/>
      <w:pPr>
        <w:tabs>
          <w:tab w:val="num" w:pos="2160"/>
        </w:tabs>
        <w:ind w:left="2160" w:hanging="360"/>
      </w:pPr>
      <w:rPr>
        <w:rFonts w:ascii="Comic Sans MS" w:hAnsi="Comic Sans MS" w:hint="default"/>
      </w:rPr>
    </w:lvl>
    <w:lvl w:ilvl="3" w:tplc="BC243A40" w:tentative="1">
      <w:start w:val="1"/>
      <w:numFmt w:val="bullet"/>
      <w:lvlText w:val="•"/>
      <w:lvlJc w:val="left"/>
      <w:pPr>
        <w:tabs>
          <w:tab w:val="num" w:pos="2880"/>
        </w:tabs>
        <w:ind w:left="2880" w:hanging="360"/>
      </w:pPr>
      <w:rPr>
        <w:rFonts w:ascii="Comic Sans MS" w:hAnsi="Comic Sans MS" w:hint="default"/>
      </w:rPr>
    </w:lvl>
    <w:lvl w:ilvl="4" w:tplc="249CCB1E" w:tentative="1">
      <w:start w:val="1"/>
      <w:numFmt w:val="bullet"/>
      <w:lvlText w:val="•"/>
      <w:lvlJc w:val="left"/>
      <w:pPr>
        <w:tabs>
          <w:tab w:val="num" w:pos="3600"/>
        </w:tabs>
        <w:ind w:left="3600" w:hanging="360"/>
      </w:pPr>
      <w:rPr>
        <w:rFonts w:ascii="Comic Sans MS" w:hAnsi="Comic Sans MS" w:hint="default"/>
      </w:rPr>
    </w:lvl>
    <w:lvl w:ilvl="5" w:tplc="BBDC69CA" w:tentative="1">
      <w:start w:val="1"/>
      <w:numFmt w:val="bullet"/>
      <w:lvlText w:val="•"/>
      <w:lvlJc w:val="left"/>
      <w:pPr>
        <w:tabs>
          <w:tab w:val="num" w:pos="4320"/>
        </w:tabs>
        <w:ind w:left="4320" w:hanging="360"/>
      </w:pPr>
      <w:rPr>
        <w:rFonts w:ascii="Comic Sans MS" w:hAnsi="Comic Sans MS" w:hint="default"/>
      </w:rPr>
    </w:lvl>
    <w:lvl w:ilvl="6" w:tplc="E7E61F02" w:tentative="1">
      <w:start w:val="1"/>
      <w:numFmt w:val="bullet"/>
      <w:lvlText w:val="•"/>
      <w:lvlJc w:val="left"/>
      <w:pPr>
        <w:tabs>
          <w:tab w:val="num" w:pos="5040"/>
        </w:tabs>
        <w:ind w:left="5040" w:hanging="360"/>
      </w:pPr>
      <w:rPr>
        <w:rFonts w:ascii="Comic Sans MS" w:hAnsi="Comic Sans MS" w:hint="default"/>
      </w:rPr>
    </w:lvl>
    <w:lvl w:ilvl="7" w:tplc="00B20708" w:tentative="1">
      <w:start w:val="1"/>
      <w:numFmt w:val="bullet"/>
      <w:lvlText w:val="•"/>
      <w:lvlJc w:val="left"/>
      <w:pPr>
        <w:tabs>
          <w:tab w:val="num" w:pos="5760"/>
        </w:tabs>
        <w:ind w:left="5760" w:hanging="360"/>
      </w:pPr>
      <w:rPr>
        <w:rFonts w:ascii="Comic Sans MS" w:hAnsi="Comic Sans MS" w:hint="default"/>
      </w:rPr>
    </w:lvl>
    <w:lvl w:ilvl="8" w:tplc="1468318A" w:tentative="1">
      <w:start w:val="1"/>
      <w:numFmt w:val="bullet"/>
      <w:lvlText w:val="•"/>
      <w:lvlJc w:val="left"/>
      <w:pPr>
        <w:tabs>
          <w:tab w:val="num" w:pos="6480"/>
        </w:tabs>
        <w:ind w:left="6480" w:hanging="360"/>
      </w:pPr>
      <w:rPr>
        <w:rFonts w:ascii="Comic Sans MS" w:hAnsi="Comic Sans MS" w:hint="default"/>
      </w:rPr>
    </w:lvl>
  </w:abstractNum>
  <w:abstractNum w:abstractNumId="68">
    <w:nsid w:val="5821364C"/>
    <w:multiLevelType w:val="hybridMultilevel"/>
    <w:tmpl w:val="6C0CA1DC"/>
    <w:lvl w:ilvl="0" w:tplc="4DB6C110">
      <w:start w:val="1"/>
      <w:numFmt w:val="bullet"/>
      <w:lvlText w:val=""/>
      <w:lvlJc w:val="left"/>
      <w:pPr>
        <w:tabs>
          <w:tab w:val="num" w:pos="170"/>
        </w:tabs>
        <w:ind w:left="170" w:hanging="170"/>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9">
    <w:nsid w:val="58D07B5F"/>
    <w:multiLevelType w:val="multilevel"/>
    <w:tmpl w:val="51464BFC"/>
    <w:numStyleLink w:val="StyleStyle1LatinBodyCSArialComplexBodyCSArial"/>
  </w:abstractNum>
  <w:abstractNum w:abstractNumId="70">
    <w:nsid w:val="58DE774E"/>
    <w:multiLevelType w:val="multilevel"/>
    <w:tmpl w:val="51464BFC"/>
    <w:numStyleLink w:val="StyleStyle1LatinBodyCSArialComplexBodyCSArial"/>
  </w:abstractNum>
  <w:abstractNum w:abstractNumId="71">
    <w:nsid w:val="5B52337A"/>
    <w:multiLevelType w:val="multilevel"/>
    <w:tmpl w:val="51464BFC"/>
    <w:styleLink w:val="StyleStyle1LatinBodyCSArialComplexBodyCSArial"/>
    <w:lvl w:ilvl="0">
      <w:start w:val="2"/>
      <w:numFmt w:val="decimal"/>
      <w:lvlText w:val="%1."/>
      <w:lvlJc w:val="left"/>
      <w:pPr>
        <w:ind w:left="360" w:hanging="360"/>
      </w:pPr>
      <w:rPr>
        <w:rFonts w:asciiTheme="minorBidi" w:hAnsiTheme="minorBidi" w:cstheme="minorBidi"/>
        <w:sz w:val="24"/>
        <w:szCs w:val="24"/>
      </w:rPr>
    </w:lvl>
    <w:lvl w:ilvl="1">
      <w:start w:val="1"/>
      <w:numFmt w:val="decimal"/>
      <w:lvlText w:val="%1.%2."/>
      <w:lvlJc w:val="left"/>
      <w:pPr>
        <w:ind w:left="432" w:hanging="432"/>
      </w:pPr>
      <w:rPr>
        <w:rFonts w:hint="default"/>
      </w:rPr>
    </w:lvl>
    <w:lvl w:ilvl="2">
      <w:start w:val="1"/>
      <w:numFmt w:val="decimal"/>
      <w:lvlText w:val="%1.%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5DB5229E"/>
    <w:multiLevelType w:val="multilevel"/>
    <w:tmpl w:val="51464BFC"/>
    <w:numStyleLink w:val="StyleStyle1LatinBodyCSArialComplexBodyCSArial"/>
  </w:abstractNum>
  <w:abstractNum w:abstractNumId="73">
    <w:nsid w:val="60DA50CF"/>
    <w:multiLevelType w:val="multilevel"/>
    <w:tmpl w:val="4FB66D5A"/>
    <w:styleLink w:val="Style2"/>
    <w:lvl w:ilvl="0">
      <w:start w:val="2"/>
      <w:numFmt w:val="decimal"/>
      <w:lvlText w:val="%1."/>
      <w:lvlJc w:val="left"/>
      <w:pPr>
        <w:ind w:left="720" w:hanging="360"/>
      </w:pPr>
      <w:rPr>
        <w:rFonts w:hint="default"/>
      </w:rPr>
    </w:lvl>
    <w:lvl w:ilvl="1">
      <w:start w:val="1"/>
      <w:numFmt w:val="decimal"/>
      <w:isLgl/>
      <w:lvlText w:val="%1.%2"/>
      <w:lvlJc w:val="left"/>
      <w:pPr>
        <w:ind w:left="547" w:hanging="4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isLgl/>
      <w:lvlText w:val="%1.%2.%3"/>
      <w:lvlJc w:val="left"/>
      <w:pPr>
        <w:ind w:left="143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4">
    <w:nsid w:val="61636D8F"/>
    <w:multiLevelType w:val="multilevel"/>
    <w:tmpl w:val="51464BFC"/>
    <w:numStyleLink w:val="StyleStyle1LatinBodyCSArialComplexBodyCSArial"/>
  </w:abstractNum>
  <w:abstractNum w:abstractNumId="75">
    <w:nsid w:val="6234366A"/>
    <w:multiLevelType w:val="hybridMultilevel"/>
    <w:tmpl w:val="6E845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627B4942"/>
    <w:multiLevelType w:val="hybridMultilevel"/>
    <w:tmpl w:val="879A93DC"/>
    <w:lvl w:ilvl="0" w:tplc="1D42B202">
      <w:start w:val="1"/>
      <w:numFmt w:val="upperLetter"/>
      <w:lvlText w:val="%1)"/>
      <w:lvlJc w:val="left"/>
      <w:pPr>
        <w:ind w:left="1650" w:hanging="12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62871607"/>
    <w:multiLevelType w:val="multilevel"/>
    <w:tmpl w:val="51464BFC"/>
    <w:numStyleLink w:val="StyleStyle1LatinBodyCSArialComplexBodyCSArial"/>
  </w:abstractNum>
  <w:abstractNum w:abstractNumId="78">
    <w:nsid w:val="639C31C6"/>
    <w:multiLevelType w:val="multilevel"/>
    <w:tmpl w:val="51464BFC"/>
    <w:numStyleLink w:val="StyleStyle1LatinBodyCSArialComplexBodyCSArial"/>
  </w:abstractNum>
  <w:abstractNum w:abstractNumId="79">
    <w:nsid w:val="63DD6C27"/>
    <w:multiLevelType w:val="hybridMultilevel"/>
    <w:tmpl w:val="601EF2FE"/>
    <w:lvl w:ilvl="0" w:tplc="13EA78B6">
      <w:start w:val="1"/>
      <w:numFmt w:val="bullet"/>
      <w:lvlText w:val="•"/>
      <w:lvlJc w:val="left"/>
      <w:pPr>
        <w:tabs>
          <w:tab w:val="num" w:pos="720"/>
        </w:tabs>
        <w:ind w:left="720" w:hanging="360"/>
      </w:pPr>
      <w:rPr>
        <w:rFonts w:ascii="Comic Sans MS" w:hAnsi="Comic Sans MS" w:hint="default"/>
      </w:rPr>
    </w:lvl>
    <w:lvl w:ilvl="1" w:tplc="3B662D9C" w:tentative="1">
      <w:start w:val="1"/>
      <w:numFmt w:val="bullet"/>
      <w:lvlText w:val="•"/>
      <w:lvlJc w:val="left"/>
      <w:pPr>
        <w:tabs>
          <w:tab w:val="num" w:pos="1440"/>
        </w:tabs>
        <w:ind w:left="1440" w:hanging="360"/>
      </w:pPr>
      <w:rPr>
        <w:rFonts w:ascii="Comic Sans MS" w:hAnsi="Comic Sans MS" w:hint="default"/>
      </w:rPr>
    </w:lvl>
    <w:lvl w:ilvl="2" w:tplc="41C6ADC4" w:tentative="1">
      <w:start w:val="1"/>
      <w:numFmt w:val="bullet"/>
      <w:lvlText w:val="•"/>
      <w:lvlJc w:val="left"/>
      <w:pPr>
        <w:tabs>
          <w:tab w:val="num" w:pos="2160"/>
        </w:tabs>
        <w:ind w:left="2160" w:hanging="360"/>
      </w:pPr>
      <w:rPr>
        <w:rFonts w:ascii="Comic Sans MS" w:hAnsi="Comic Sans MS" w:hint="default"/>
      </w:rPr>
    </w:lvl>
    <w:lvl w:ilvl="3" w:tplc="BC243A40" w:tentative="1">
      <w:start w:val="1"/>
      <w:numFmt w:val="bullet"/>
      <w:lvlText w:val="•"/>
      <w:lvlJc w:val="left"/>
      <w:pPr>
        <w:tabs>
          <w:tab w:val="num" w:pos="2880"/>
        </w:tabs>
        <w:ind w:left="2880" w:hanging="360"/>
      </w:pPr>
      <w:rPr>
        <w:rFonts w:ascii="Comic Sans MS" w:hAnsi="Comic Sans MS" w:hint="default"/>
      </w:rPr>
    </w:lvl>
    <w:lvl w:ilvl="4" w:tplc="249CCB1E" w:tentative="1">
      <w:start w:val="1"/>
      <w:numFmt w:val="bullet"/>
      <w:lvlText w:val="•"/>
      <w:lvlJc w:val="left"/>
      <w:pPr>
        <w:tabs>
          <w:tab w:val="num" w:pos="3600"/>
        </w:tabs>
        <w:ind w:left="3600" w:hanging="360"/>
      </w:pPr>
      <w:rPr>
        <w:rFonts w:ascii="Comic Sans MS" w:hAnsi="Comic Sans MS" w:hint="default"/>
      </w:rPr>
    </w:lvl>
    <w:lvl w:ilvl="5" w:tplc="BBDC69CA" w:tentative="1">
      <w:start w:val="1"/>
      <w:numFmt w:val="bullet"/>
      <w:lvlText w:val="•"/>
      <w:lvlJc w:val="left"/>
      <w:pPr>
        <w:tabs>
          <w:tab w:val="num" w:pos="4320"/>
        </w:tabs>
        <w:ind w:left="4320" w:hanging="360"/>
      </w:pPr>
      <w:rPr>
        <w:rFonts w:ascii="Comic Sans MS" w:hAnsi="Comic Sans MS" w:hint="default"/>
      </w:rPr>
    </w:lvl>
    <w:lvl w:ilvl="6" w:tplc="E7E61F02" w:tentative="1">
      <w:start w:val="1"/>
      <w:numFmt w:val="bullet"/>
      <w:lvlText w:val="•"/>
      <w:lvlJc w:val="left"/>
      <w:pPr>
        <w:tabs>
          <w:tab w:val="num" w:pos="5040"/>
        </w:tabs>
        <w:ind w:left="5040" w:hanging="360"/>
      </w:pPr>
      <w:rPr>
        <w:rFonts w:ascii="Comic Sans MS" w:hAnsi="Comic Sans MS" w:hint="default"/>
      </w:rPr>
    </w:lvl>
    <w:lvl w:ilvl="7" w:tplc="00B20708" w:tentative="1">
      <w:start w:val="1"/>
      <w:numFmt w:val="bullet"/>
      <w:lvlText w:val="•"/>
      <w:lvlJc w:val="left"/>
      <w:pPr>
        <w:tabs>
          <w:tab w:val="num" w:pos="5760"/>
        </w:tabs>
        <w:ind w:left="5760" w:hanging="360"/>
      </w:pPr>
      <w:rPr>
        <w:rFonts w:ascii="Comic Sans MS" w:hAnsi="Comic Sans MS" w:hint="default"/>
      </w:rPr>
    </w:lvl>
    <w:lvl w:ilvl="8" w:tplc="1468318A" w:tentative="1">
      <w:start w:val="1"/>
      <w:numFmt w:val="bullet"/>
      <w:lvlText w:val="•"/>
      <w:lvlJc w:val="left"/>
      <w:pPr>
        <w:tabs>
          <w:tab w:val="num" w:pos="6480"/>
        </w:tabs>
        <w:ind w:left="6480" w:hanging="360"/>
      </w:pPr>
      <w:rPr>
        <w:rFonts w:ascii="Comic Sans MS" w:hAnsi="Comic Sans MS" w:hint="default"/>
      </w:rPr>
    </w:lvl>
  </w:abstractNum>
  <w:abstractNum w:abstractNumId="80">
    <w:nsid w:val="66436AF6"/>
    <w:multiLevelType w:val="hybridMultilevel"/>
    <w:tmpl w:val="5510A82A"/>
    <w:lvl w:ilvl="0" w:tplc="4DB6C110">
      <w:start w:val="1"/>
      <w:numFmt w:val="bullet"/>
      <w:lvlText w:val=""/>
      <w:lvlJc w:val="left"/>
      <w:pPr>
        <w:tabs>
          <w:tab w:val="num" w:pos="170"/>
        </w:tabs>
        <w:ind w:left="170" w:hanging="170"/>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1">
    <w:nsid w:val="6CB05928"/>
    <w:multiLevelType w:val="multilevel"/>
    <w:tmpl w:val="79341A62"/>
    <w:lvl w:ilvl="0">
      <w:start w:val="1"/>
      <w:numFmt w:val="decimal"/>
      <w:lvlText w:val="1%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146" w:hanging="720"/>
      </w:pPr>
      <w:rPr>
        <w:b/>
        <w:bCs w:val="0"/>
        <w:i w:val="0"/>
        <w:iCs w:val="0"/>
        <w:caps w:val="0"/>
        <w:smallCaps w:val="0"/>
        <w:strike w:val="0"/>
        <w:dstrike w:val="0"/>
        <w:outline w:val="0"/>
        <w:shadow w:val="0"/>
        <w:emboss w:val="0"/>
        <w:imprint w:val="0"/>
        <w:noProof w:val="0"/>
        <w:vanish w:val="0"/>
        <w:color w:val="auto"/>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color w:val="auto"/>
        <w:sz w:val="24"/>
        <w:szCs w:val="24"/>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2">
    <w:nsid w:val="6CE85B7D"/>
    <w:multiLevelType w:val="hybridMultilevel"/>
    <w:tmpl w:val="B10E1CA4"/>
    <w:lvl w:ilvl="0" w:tplc="F8D6CA2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nsid w:val="6E8A7EBB"/>
    <w:multiLevelType w:val="hybridMultilevel"/>
    <w:tmpl w:val="C5A6F1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6EED4B1D"/>
    <w:multiLevelType w:val="hybridMultilevel"/>
    <w:tmpl w:val="B002D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70703F49"/>
    <w:multiLevelType w:val="hybridMultilevel"/>
    <w:tmpl w:val="1958A088"/>
    <w:lvl w:ilvl="0" w:tplc="4DB6C110">
      <w:start w:val="1"/>
      <w:numFmt w:val="bullet"/>
      <w:lvlText w:val=""/>
      <w:lvlJc w:val="left"/>
      <w:pPr>
        <w:tabs>
          <w:tab w:val="num" w:pos="170"/>
        </w:tabs>
        <w:ind w:left="170" w:hanging="170"/>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6">
    <w:nsid w:val="70FB2550"/>
    <w:multiLevelType w:val="hybridMultilevel"/>
    <w:tmpl w:val="43D81862"/>
    <w:lvl w:ilvl="0" w:tplc="D5EA0D02">
      <w:start w:val="1"/>
      <w:numFmt w:val="bullet"/>
      <w:lvlText w:val=""/>
      <w:lvlJc w:val="left"/>
      <w:pPr>
        <w:tabs>
          <w:tab w:val="num" w:pos="284"/>
        </w:tabs>
        <w:ind w:left="284" w:hanging="284"/>
      </w:pPr>
      <w:rPr>
        <w:rFonts w:ascii="Wingdings" w:hAnsi="Wingdings" w:hint="default"/>
        <w:b/>
        <w:i w:val="0"/>
        <w:caps w:val="0"/>
        <w:strike w:val="0"/>
        <w:dstrike w:val="0"/>
        <w:outline w:val="0"/>
        <w:shadow w:val="0"/>
        <w:emboss w:val="0"/>
        <w:imprint w:val="0"/>
        <w:vanish w:val="0"/>
        <w:color w:val="auto"/>
        <w:sz w:val="24"/>
        <w:vertAlign w:val="base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7">
    <w:nsid w:val="71CA1FFD"/>
    <w:multiLevelType w:val="multilevel"/>
    <w:tmpl w:val="51464BFC"/>
    <w:numStyleLink w:val="StyleStyle1LatinBodyCSArialComplexBodyCSArial"/>
  </w:abstractNum>
  <w:abstractNum w:abstractNumId="88">
    <w:nsid w:val="7647469A"/>
    <w:multiLevelType w:val="hybridMultilevel"/>
    <w:tmpl w:val="18D2722C"/>
    <w:lvl w:ilvl="0" w:tplc="6BD08C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77791F06"/>
    <w:multiLevelType w:val="multilevel"/>
    <w:tmpl w:val="D1A657CE"/>
    <w:lvl w:ilvl="0">
      <w:start w:val="3"/>
      <w:numFmt w:val="decimal"/>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0">
    <w:nsid w:val="7CB32762"/>
    <w:multiLevelType w:val="multilevel"/>
    <w:tmpl w:val="6040E808"/>
    <w:styleLink w:val="StyleStyleStyle1BodyCSArialOutlinenumberedBold"/>
    <w:lvl w:ilvl="0">
      <w:start w:val="2"/>
      <w:numFmt w:val="decimal"/>
      <w:lvlText w:val="%1."/>
      <w:lvlJc w:val="left"/>
      <w:pPr>
        <w:ind w:left="360" w:hanging="360"/>
      </w:pPr>
      <w:rPr>
        <w:rFonts w:asciiTheme="minorBidi" w:hAnsiTheme="minorBidi"/>
        <w:b/>
        <w:bCs/>
        <w:sz w:val="28"/>
      </w:rPr>
    </w:lvl>
    <w:lvl w:ilvl="1">
      <w:start w:val="1"/>
      <w:numFmt w:val="decimal"/>
      <w:lvlText w:val="%1.%2."/>
      <w:lvlJc w:val="left"/>
      <w:pPr>
        <w:ind w:left="432" w:hanging="432"/>
      </w:pPr>
      <w:rPr>
        <w:rFonts w:hint="default"/>
      </w:rPr>
    </w:lvl>
    <w:lvl w:ilvl="2">
      <w:start w:val="1"/>
      <w:numFmt w:val="decimal"/>
      <w:lvlText w:val="%1.%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7FE4145C"/>
    <w:multiLevelType w:val="multilevel"/>
    <w:tmpl w:val="51464BFC"/>
    <w:numStyleLink w:val="StyleStyle1LatinBodyCSArialComplexBodyCSArial"/>
  </w:abstractNum>
  <w:num w:numId="1">
    <w:abstractNumId w:val="81"/>
  </w:num>
  <w:num w:numId="2">
    <w:abstractNumId w:val="71"/>
  </w:num>
  <w:num w:numId="3">
    <w:abstractNumId w:val="53"/>
  </w:num>
  <w:num w:numId="4">
    <w:abstractNumId w:val="20"/>
  </w:num>
  <w:num w:numId="5">
    <w:abstractNumId w:val="74"/>
  </w:num>
  <w:num w:numId="6">
    <w:abstractNumId w:val="47"/>
  </w:num>
  <w:num w:numId="7">
    <w:abstractNumId w:val="45"/>
  </w:num>
  <w:num w:numId="8">
    <w:abstractNumId w:val="57"/>
  </w:num>
  <w:num w:numId="9">
    <w:abstractNumId w:val="7"/>
  </w:num>
  <w:num w:numId="10">
    <w:abstractNumId w:val="30"/>
  </w:num>
  <w:num w:numId="11">
    <w:abstractNumId w:val="37"/>
  </w:num>
  <w:num w:numId="12">
    <w:abstractNumId w:val="77"/>
  </w:num>
  <w:num w:numId="13">
    <w:abstractNumId w:val="51"/>
  </w:num>
  <w:num w:numId="14">
    <w:abstractNumId w:val="70"/>
  </w:num>
  <w:num w:numId="15">
    <w:abstractNumId w:val="32"/>
  </w:num>
  <w:num w:numId="16">
    <w:abstractNumId w:val="87"/>
  </w:num>
  <w:num w:numId="17">
    <w:abstractNumId w:val="72"/>
  </w:num>
  <w:num w:numId="18">
    <w:abstractNumId w:val="54"/>
  </w:num>
  <w:num w:numId="19">
    <w:abstractNumId w:val="69"/>
  </w:num>
  <w:num w:numId="20">
    <w:abstractNumId w:val="41"/>
  </w:num>
  <w:num w:numId="21">
    <w:abstractNumId w:val="78"/>
  </w:num>
  <w:num w:numId="22">
    <w:abstractNumId w:val="34"/>
  </w:num>
  <w:num w:numId="23">
    <w:abstractNumId w:val="60"/>
  </w:num>
  <w:num w:numId="24">
    <w:abstractNumId w:val="91"/>
  </w:num>
  <w:num w:numId="25">
    <w:abstractNumId w:val="55"/>
  </w:num>
  <w:num w:numId="26">
    <w:abstractNumId w:val="11"/>
  </w:num>
  <w:num w:numId="27">
    <w:abstractNumId w:val="50"/>
  </w:num>
  <w:num w:numId="28">
    <w:abstractNumId w:val="48"/>
  </w:num>
  <w:num w:numId="29">
    <w:abstractNumId w:val="62"/>
  </w:num>
  <w:num w:numId="30">
    <w:abstractNumId w:val="44"/>
  </w:num>
  <w:num w:numId="31">
    <w:abstractNumId w:val="19"/>
  </w:num>
  <w:num w:numId="32">
    <w:abstractNumId w:val="6"/>
  </w:num>
  <w:num w:numId="33">
    <w:abstractNumId w:val="86"/>
  </w:num>
  <w:num w:numId="34">
    <w:abstractNumId w:val="17"/>
  </w:num>
  <w:num w:numId="35">
    <w:abstractNumId w:val="10"/>
  </w:num>
  <w:num w:numId="36">
    <w:abstractNumId w:val="31"/>
  </w:num>
  <w:num w:numId="37">
    <w:abstractNumId w:val="15"/>
  </w:num>
  <w:num w:numId="38">
    <w:abstractNumId w:val="33"/>
  </w:num>
  <w:num w:numId="39">
    <w:abstractNumId w:val="3"/>
  </w:num>
  <w:num w:numId="40">
    <w:abstractNumId w:val="5"/>
  </w:num>
  <w:num w:numId="41">
    <w:abstractNumId w:val="68"/>
  </w:num>
  <w:num w:numId="42">
    <w:abstractNumId w:val="85"/>
  </w:num>
  <w:num w:numId="43">
    <w:abstractNumId w:val="80"/>
  </w:num>
  <w:num w:numId="44">
    <w:abstractNumId w:val="13"/>
  </w:num>
  <w:num w:numId="45">
    <w:abstractNumId w:val="42"/>
  </w:num>
  <w:num w:numId="46">
    <w:abstractNumId w:val="73"/>
  </w:num>
  <w:num w:numId="47">
    <w:abstractNumId w:val="12"/>
  </w:num>
  <w:num w:numId="48">
    <w:abstractNumId w:val="21"/>
  </w:num>
  <w:num w:numId="49">
    <w:abstractNumId w:val="58"/>
  </w:num>
  <w:num w:numId="50">
    <w:abstractNumId w:val="43"/>
  </w:num>
  <w:num w:numId="51">
    <w:abstractNumId w:val="75"/>
  </w:num>
  <w:num w:numId="52">
    <w:abstractNumId w:val="22"/>
  </w:num>
  <w:num w:numId="53">
    <w:abstractNumId w:val="79"/>
  </w:num>
  <w:num w:numId="54">
    <w:abstractNumId w:val="36"/>
  </w:num>
  <w:num w:numId="55">
    <w:abstractNumId w:val="16"/>
  </w:num>
  <w:num w:numId="56">
    <w:abstractNumId w:val="90"/>
  </w:num>
  <w:num w:numId="57">
    <w:abstractNumId w:val="66"/>
  </w:num>
  <w:num w:numId="58">
    <w:abstractNumId w:val="1"/>
  </w:num>
  <w:num w:numId="59">
    <w:abstractNumId w:val="23"/>
  </w:num>
  <w:num w:numId="60">
    <w:abstractNumId w:val="59"/>
  </w:num>
  <w:num w:numId="61">
    <w:abstractNumId w:val="84"/>
  </w:num>
  <w:num w:numId="62">
    <w:abstractNumId w:val="9"/>
  </w:num>
  <w:num w:numId="63">
    <w:abstractNumId w:val="61"/>
  </w:num>
  <w:num w:numId="64">
    <w:abstractNumId w:val="8"/>
  </w:num>
  <w:num w:numId="65">
    <w:abstractNumId w:val="83"/>
  </w:num>
  <w:num w:numId="66">
    <w:abstractNumId w:val="52"/>
  </w:num>
  <w:num w:numId="67">
    <w:abstractNumId w:val="82"/>
  </w:num>
  <w:num w:numId="68">
    <w:abstractNumId w:val="14"/>
  </w:num>
  <w:num w:numId="6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6"/>
  </w:num>
  <w:num w:numId="72">
    <w:abstractNumId w:val="18"/>
  </w:num>
  <w:num w:numId="73">
    <w:abstractNumId w:val="63"/>
  </w:num>
  <w:num w:numId="74">
    <w:abstractNumId w:val="88"/>
  </w:num>
  <w:num w:numId="75">
    <w:abstractNumId w:val="38"/>
  </w:num>
  <w:num w:numId="76">
    <w:abstractNumId w:val="0"/>
  </w:num>
  <w:num w:numId="77">
    <w:abstractNumId w:val="39"/>
  </w:num>
  <w:num w:numId="78">
    <w:abstractNumId w:val="27"/>
  </w:num>
  <w:num w:numId="7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0"/>
  </w:num>
  <w:num w:numId="81">
    <w:abstractNumId w:val="46"/>
  </w:num>
  <w:num w:numId="82">
    <w:abstractNumId w:val="49"/>
  </w:num>
  <w:num w:numId="83">
    <w:abstractNumId w:val="26"/>
  </w:num>
  <w:num w:numId="84">
    <w:abstractNumId w:val="65"/>
  </w:num>
  <w:num w:numId="85">
    <w:abstractNumId w:val="67"/>
  </w:num>
  <w:num w:numId="86">
    <w:abstractNumId w:val="2"/>
  </w:num>
  <w:num w:numId="87">
    <w:abstractNumId w:val="27"/>
    <w:lvlOverride w:ilvl="0">
      <w:startOverride w:val="1"/>
    </w:lvlOverride>
  </w:num>
  <w:num w:numId="88">
    <w:abstractNumId w:val="24"/>
  </w:num>
  <w:num w:numId="89">
    <w:abstractNumId w:val="25"/>
  </w:num>
  <w:num w:numId="90">
    <w:abstractNumId w:val="35"/>
  </w:num>
  <w:num w:numId="91">
    <w:abstractNumId w:val="89"/>
  </w:num>
  <w:num w:numId="92">
    <w:abstractNumId w:val="4"/>
  </w:num>
  <w:num w:numId="93">
    <w:abstractNumId w:val="29"/>
    <w:lvlOverride w:ilvl="2">
      <w:lvl w:ilvl="2">
        <w:start w:val="1"/>
        <w:numFmt w:val="decimal"/>
        <w:lvlText w:val="%1.%2.%3"/>
        <w:lvlJc w:val="left"/>
        <w:pPr>
          <w:ind w:left="1146"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Override>
  </w:num>
  <w:num w:numId="94">
    <w:abstractNumId w:val="29"/>
  </w:num>
  <w:num w:numId="9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5C7"/>
    <w:rsid w:val="000001A9"/>
    <w:rsid w:val="000042FD"/>
    <w:rsid w:val="00004E98"/>
    <w:rsid w:val="0000556C"/>
    <w:rsid w:val="0000721D"/>
    <w:rsid w:val="00007445"/>
    <w:rsid w:val="000202A9"/>
    <w:rsid w:val="00021DC9"/>
    <w:rsid w:val="00024C08"/>
    <w:rsid w:val="00025541"/>
    <w:rsid w:val="000255A9"/>
    <w:rsid w:val="00030D06"/>
    <w:rsid w:val="00031FD4"/>
    <w:rsid w:val="00033813"/>
    <w:rsid w:val="00033BB4"/>
    <w:rsid w:val="00035384"/>
    <w:rsid w:val="0004193F"/>
    <w:rsid w:val="00042A43"/>
    <w:rsid w:val="00045015"/>
    <w:rsid w:val="00046639"/>
    <w:rsid w:val="0005117A"/>
    <w:rsid w:val="00051E3F"/>
    <w:rsid w:val="00056DDB"/>
    <w:rsid w:val="00061F4B"/>
    <w:rsid w:val="00063DED"/>
    <w:rsid w:val="00065FAA"/>
    <w:rsid w:val="000664D4"/>
    <w:rsid w:val="000760EF"/>
    <w:rsid w:val="00076989"/>
    <w:rsid w:val="000815F5"/>
    <w:rsid w:val="000817FC"/>
    <w:rsid w:val="000821A5"/>
    <w:rsid w:val="00082311"/>
    <w:rsid w:val="000825DA"/>
    <w:rsid w:val="00083903"/>
    <w:rsid w:val="0008475B"/>
    <w:rsid w:val="000847D0"/>
    <w:rsid w:val="00085CD9"/>
    <w:rsid w:val="00093E70"/>
    <w:rsid w:val="000976D5"/>
    <w:rsid w:val="000A0853"/>
    <w:rsid w:val="000A0966"/>
    <w:rsid w:val="000A1EEA"/>
    <w:rsid w:val="000A4E28"/>
    <w:rsid w:val="000A67F0"/>
    <w:rsid w:val="000A7A6B"/>
    <w:rsid w:val="000B072A"/>
    <w:rsid w:val="000B7B4B"/>
    <w:rsid w:val="000C1E06"/>
    <w:rsid w:val="000C6B69"/>
    <w:rsid w:val="000C6B80"/>
    <w:rsid w:val="000D083C"/>
    <w:rsid w:val="000D0B10"/>
    <w:rsid w:val="000D1824"/>
    <w:rsid w:val="000D33EF"/>
    <w:rsid w:val="000E0685"/>
    <w:rsid w:val="000E1261"/>
    <w:rsid w:val="000E27DC"/>
    <w:rsid w:val="000E3806"/>
    <w:rsid w:val="000F105B"/>
    <w:rsid w:val="000F60CA"/>
    <w:rsid w:val="0010164F"/>
    <w:rsid w:val="0010404C"/>
    <w:rsid w:val="00105445"/>
    <w:rsid w:val="001062AD"/>
    <w:rsid w:val="00110B88"/>
    <w:rsid w:val="00111424"/>
    <w:rsid w:val="001153C1"/>
    <w:rsid w:val="00117FD9"/>
    <w:rsid w:val="00121A09"/>
    <w:rsid w:val="0012248F"/>
    <w:rsid w:val="00122534"/>
    <w:rsid w:val="00127D0A"/>
    <w:rsid w:val="001313F9"/>
    <w:rsid w:val="00134681"/>
    <w:rsid w:val="0013732B"/>
    <w:rsid w:val="001376CF"/>
    <w:rsid w:val="0014193B"/>
    <w:rsid w:val="001430B2"/>
    <w:rsid w:val="001569FA"/>
    <w:rsid w:val="001613AD"/>
    <w:rsid w:val="00163BA2"/>
    <w:rsid w:val="00163CC6"/>
    <w:rsid w:val="00165E91"/>
    <w:rsid w:val="00165FCE"/>
    <w:rsid w:val="001727CA"/>
    <w:rsid w:val="0017318E"/>
    <w:rsid w:val="00173882"/>
    <w:rsid w:val="00173AA8"/>
    <w:rsid w:val="0017477C"/>
    <w:rsid w:val="00175A5A"/>
    <w:rsid w:val="00175E9F"/>
    <w:rsid w:val="0017717F"/>
    <w:rsid w:val="00177DC7"/>
    <w:rsid w:val="00183BB8"/>
    <w:rsid w:val="00191B57"/>
    <w:rsid w:val="001953FF"/>
    <w:rsid w:val="001A70AA"/>
    <w:rsid w:val="001A76BD"/>
    <w:rsid w:val="001B1031"/>
    <w:rsid w:val="001B5248"/>
    <w:rsid w:val="001C1F39"/>
    <w:rsid w:val="001C21E5"/>
    <w:rsid w:val="001C289C"/>
    <w:rsid w:val="001C519A"/>
    <w:rsid w:val="001C618A"/>
    <w:rsid w:val="001C6640"/>
    <w:rsid w:val="001D3F19"/>
    <w:rsid w:val="001D5D3A"/>
    <w:rsid w:val="001D6C15"/>
    <w:rsid w:val="001D7A5C"/>
    <w:rsid w:val="001E26B8"/>
    <w:rsid w:val="001E28F1"/>
    <w:rsid w:val="001E2B8B"/>
    <w:rsid w:val="001E3BE7"/>
    <w:rsid w:val="001E4AAC"/>
    <w:rsid w:val="001E57CD"/>
    <w:rsid w:val="001E5C4A"/>
    <w:rsid w:val="001E622B"/>
    <w:rsid w:val="001E7797"/>
    <w:rsid w:val="001F0A2D"/>
    <w:rsid w:val="001F1EDB"/>
    <w:rsid w:val="001F2B80"/>
    <w:rsid w:val="001F33C0"/>
    <w:rsid w:val="001F5024"/>
    <w:rsid w:val="001F6EED"/>
    <w:rsid w:val="0020059D"/>
    <w:rsid w:val="002062F2"/>
    <w:rsid w:val="002128C6"/>
    <w:rsid w:val="00215859"/>
    <w:rsid w:val="00220155"/>
    <w:rsid w:val="00220EAC"/>
    <w:rsid w:val="00221109"/>
    <w:rsid w:val="00221481"/>
    <w:rsid w:val="00222D83"/>
    <w:rsid w:val="0023008A"/>
    <w:rsid w:val="002320D8"/>
    <w:rsid w:val="0023641C"/>
    <w:rsid w:val="0024085E"/>
    <w:rsid w:val="002425D8"/>
    <w:rsid w:val="00245AAC"/>
    <w:rsid w:val="002465DA"/>
    <w:rsid w:val="00250F94"/>
    <w:rsid w:val="00252DE2"/>
    <w:rsid w:val="00255236"/>
    <w:rsid w:val="002559E1"/>
    <w:rsid w:val="0025608B"/>
    <w:rsid w:val="00256E23"/>
    <w:rsid w:val="00260E8B"/>
    <w:rsid w:val="00261231"/>
    <w:rsid w:val="00264DE2"/>
    <w:rsid w:val="00267512"/>
    <w:rsid w:val="00271A47"/>
    <w:rsid w:val="00271BD5"/>
    <w:rsid w:val="0028036E"/>
    <w:rsid w:val="00287D2F"/>
    <w:rsid w:val="002911C4"/>
    <w:rsid w:val="00294F6F"/>
    <w:rsid w:val="00297EDA"/>
    <w:rsid w:val="002A57F3"/>
    <w:rsid w:val="002A5F7C"/>
    <w:rsid w:val="002A6223"/>
    <w:rsid w:val="002A6352"/>
    <w:rsid w:val="002A64FD"/>
    <w:rsid w:val="002B051B"/>
    <w:rsid w:val="002B20B7"/>
    <w:rsid w:val="002B44B5"/>
    <w:rsid w:val="002B5094"/>
    <w:rsid w:val="002B54A2"/>
    <w:rsid w:val="002B7193"/>
    <w:rsid w:val="002C09FC"/>
    <w:rsid w:val="002C0F1B"/>
    <w:rsid w:val="002C1195"/>
    <w:rsid w:val="002C28B0"/>
    <w:rsid w:val="002C3034"/>
    <w:rsid w:val="002C6997"/>
    <w:rsid w:val="002C70D6"/>
    <w:rsid w:val="002D2A85"/>
    <w:rsid w:val="002D2B35"/>
    <w:rsid w:val="002D37AF"/>
    <w:rsid w:val="002D4942"/>
    <w:rsid w:val="002D7D0E"/>
    <w:rsid w:val="002E1376"/>
    <w:rsid w:val="002E15D4"/>
    <w:rsid w:val="002E3DEF"/>
    <w:rsid w:val="002F2715"/>
    <w:rsid w:val="002F3874"/>
    <w:rsid w:val="002F3F06"/>
    <w:rsid w:val="002F74FE"/>
    <w:rsid w:val="0030050E"/>
    <w:rsid w:val="00300F56"/>
    <w:rsid w:val="00301B01"/>
    <w:rsid w:val="00302325"/>
    <w:rsid w:val="0030300F"/>
    <w:rsid w:val="0030540C"/>
    <w:rsid w:val="0030702E"/>
    <w:rsid w:val="00307115"/>
    <w:rsid w:val="00307B6C"/>
    <w:rsid w:val="00313233"/>
    <w:rsid w:val="00313C48"/>
    <w:rsid w:val="003156BD"/>
    <w:rsid w:val="0031681F"/>
    <w:rsid w:val="003208DC"/>
    <w:rsid w:val="003208E6"/>
    <w:rsid w:val="00325FF6"/>
    <w:rsid w:val="0033200C"/>
    <w:rsid w:val="003340E0"/>
    <w:rsid w:val="003416C5"/>
    <w:rsid w:val="0034462D"/>
    <w:rsid w:val="00345F61"/>
    <w:rsid w:val="00347CF7"/>
    <w:rsid w:val="0035196C"/>
    <w:rsid w:val="00351B9F"/>
    <w:rsid w:val="003541BE"/>
    <w:rsid w:val="00360E50"/>
    <w:rsid w:val="00365534"/>
    <w:rsid w:val="00367148"/>
    <w:rsid w:val="003734F1"/>
    <w:rsid w:val="00374B77"/>
    <w:rsid w:val="00377366"/>
    <w:rsid w:val="00380ED6"/>
    <w:rsid w:val="0038197B"/>
    <w:rsid w:val="00381B28"/>
    <w:rsid w:val="003868A2"/>
    <w:rsid w:val="003869D9"/>
    <w:rsid w:val="00390770"/>
    <w:rsid w:val="00392D5C"/>
    <w:rsid w:val="003B049D"/>
    <w:rsid w:val="003B5B75"/>
    <w:rsid w:val="003B6180"/>
    <w:rsid w:val="003B6890"/>
    <w:rsid w:val="003C09A5"/>
    <w:rsid w:val="003C4940"/>
    <w:rsid w:val="003C5217"/>
    <w:rsid w:val="003C6064"/>
    <w:rsid w:val="003C76DA"/>
    <w:rsid w:val="003D2EA0"/>
    <w:rsid w:val="003E1BF6"/>
    <w:rsid w:val="003E2FE6"/>
    <w:rsid w:val="003E5288"/>
    <w:rsid w:val="003E555F"/>
    <w:rsid w:val="003E6B30"/>
    <w:rsid w:val="003F1EA1"/>
    <w:rsid w:val="003F3689"/>
    <w:rsid w:val="003F3CBD"/>
    <w:rsid w:val="003F5D10"/>
    <w:rsid w:val="003F5E4B"/>
    <w:rsid w:val="003F6BC8"/>
    <w:rsid w:val="00400FB2"/>
    <w:rsid w:val="0040121A"/>
    <w:rsid w:val="0040167B"/>
    <w:rsid w:val="00402CA3"/>
    <w:rsid w:val="00405861"/>
    <w:rsid w:val="00407B33"/>
    <w:rsid w:val="00407C8F"/>
    <w:rsid w:val="00410C99"/>
    <w:rsid w:val="0041150E"/>
    <w:rsid w:val="0041305F"/>
    <w:rsid w:val="004156D6"/>
    <w:rsid w:val="0041603D"/>
    <w:rsid w:val="00421ED6"/>
    <w:rsid w:val="00427966"/>
    <w:rsid w:val="00430401"/>
    <w:rsid w:val="00430AAA"/>
    <w:rsid w:val="004364C9"/>
    <w:rsid w:val="00442D4B"/>
    <w:rsid w:val="0044372D"/>
    <w:rsid w:val="0044404A"/>
    <w:rsid w:val="00445D5F"/>
    <w:rsid w:val="00446032"/>
    <w:rsid w:val="00451C36"/>
    <w:rsid w:val="004528DC"/>
    <w:rsid w:val="0045301C"/>
    <w:rsid w:val="00453A5B"/>
    <w:rsid w:val="00453C52"/>
    <w:rsid w:val="00455C3E"/>
    <w:rsid w:val="00457F81"/>
    <w:rsid w:val="004631AF"/>
    <w:rsid w:val="00470A84"/>
    <w:rsid w:val="00471AB8"/>
    <w:rsid w:val="00472E75"/>
    <w:rsid w:val="004747EF"/>
    <w:rsid w:val="004770C0"/>
    <w:rsid w:val="004776C0"/>
    <w:rsid w:val="00483626"/>
    <w:rsid w:val="004916CE"/>
    <w:rsid w:val="00493C21"/>
    <w:rsid w:val="00494433"/>
    <w:rsid w:val="00497B2B"/>
    <w:rsid w:val="00497C4B"/>
    <w:rsid w:val="004A2211"/>
    <w:rsid w:val="004A7240"/>
    <w:rsid w:val="004B1A09"/>
    <w:rsid w:val="004B1EC8"/>
    <w:rsid w:val="004B3418"/>
    <w:rsid w:val="004B3508"/>
    <w:rsid w:val="004B383E"/>
    <w:rsid w:val="004B479A"/>
    <w:rsid w:val="004B5079"/>
    <w:rsid w:val="004C2E30"/>
    <w:rsid w:val="004C7C95"/>
    <w:rsid w:val="004D6CA9"/>
    <w:rsid w:val="004D7D75"/>
    <w:rsid w:val="004E0ACB"/>
    <w:rsid w:val="004E0BF2"/>
    <w:rsid w:val="004E3C31"/>
    <w:rsid w:val="004E44A5"/>
    <w:rsid w:val="004F1CE7"/>
    <w:rsid w:val="004F23DE"/>
    <w:rsid w:val="004F2A81"/>
    <w:rsid w:val="004F3657"/>
    <w:rsid w:val="004F3AC8"/>
    <w:rsid w:val="004F5D7E"/>
    <w:rsid w:val="004F5F80"/>
    <w:rsid w:val="004F7380"/>
    <w:rsid w:val="004F7BA2"/>
    <w:rsid w:val="00503FB8"/>
    <w:rsid w:val="00507111"/>
    <w:rsid w:val="0051117F"/>
    <w:rsid w:val="005149DB"/>
    <w:rsid w:val="005225FD"/>
    <w:rsid w:val="00522ED5"/>
    <w:rsid w:val="0052736F"/>
    <w:rsid w:val="00527C84"/>
    <w:rsid w:val="005305DB"/>
    <w:rsid w:val="00531A90"/>
    <w:rsid w:val="0053214E"/>
    <w:rsid w:val="00533B81"/>
    <w:rsid w:val="00533E59"/>
    <w:rsid w:val="005342B7"/>
    <w:rsid w:val="00541FD0"/>
    <w:rsid w:val="00546214"/>
    <w:rsid w:val="0055018A"/>
    <w:rsid w:val="00550B6B"/>
    <w:rsid w:val="00551CE8"/>
    <w:rsid w:val="00554911"/>
    <w:rsid w:val="005573BC"/>
    <w:rsid w:val="005657A6"/>
    <w:rsid w:val="00565C25"/>
    <w:rsid w:val="00566351"/>
    <w:rsid w:val="0057053E"/>
    <w:rsid w:val="00570A76"/>
    <w:rsid w:val="005733A8"/>
    <w:rsid w:val="00574670"/>
    <w:rsid w:val="00574C9B"/>
    <w:rsid w:val="00575CDA"/>
    <w:rsid w:val="00576A79"/>
    <w:rsid w:val="0058234F"/>
    <w:rsid w:val="00582CC5"/>
    <w:rsid w:val="00584163"/>
    <w:rsid w:val="005845D1"/>
    <w:rsid w:val="005845D3"/>
    <w:rsid w:val="00584C8A"/>
    <w:rsid w:val="0058559C"/>
    <w:rsid w:val="00587A9B"/>
    <w:rsid w:val="00592DB2"/>
    <w:rsid w:val="00593982"/>
    <w:rsid w:val="00594C58"/>
    <w:rsid w:val="00594CFC"/>
    <w:rsid w:val="005958D7"/>
    <w:rsid w:val="005A01BB"/>
    <w:rsid w:val="005A3064"/>
    <w:rsid w:val="005A4550"/>
    <w:rsid w:val="005A4838"/>
    <w:rsid w:val="005A4E5C"/>
    <w:rsid w:val="005A51C4"/>
    <w:rsid w:val="005A7768"/>
    <w:rsid w:val="005A77ED"/>
    <w:rsid w:val="005A7C41"/>
    <w:rsid w:val="005B1BF6"/>
    <w:rsid w:val="005B49E8"/>
    <w:rsid w:val="005C17EC"/>
    <w:rsid w:val="005C307B"/>
    <w:rsid w:val="005D2722"/>
    <w:rsid w:val="005D317F"/>
    <w:rsid w:val="005D5673"/>
    <w:rsid w:val="005D6E6C"/>
    <w:rsid w:val="005D7ECD"/>
    <w:rsid w:val="005E0A0E"/>
    <w:rsid w:val="005E2730"/>
    <w:rsid w:val="005E63AB"/>
    <w:rsid w:val="005F0983"/>
    <w:rsid w:val="005F15FA"/>
    <w:rsid w:val="005F27B3"/>
    <w:rsid w:val="005F2E98"/>
    <w:rsid w:val="005F57DC"/>
    <w:rsid w:val="005F5B1B"/>
    <w:rsid w:val="005F74DF"/>
    <w:rsid w:val="005F7577"/>
    <w:rsid w:val="006016B0"/>
    <w:rsid w:val="00601D70"/>
    <w:rsid w:val="00604893"/>
    <w:rsid w:val="0060510C"/>
    <w:rsid w:val="00612B65"/>
    <w:rsid w:val="0061318C"/>
    <w:rsid w:val="006179C6"/>
    <w:rsid w:val="00620F69"/>
    <w:rsid w:val="00622E80"/>
    <w:rsid w:val="00624E9D"/>
    <w:rsid w:val="00632420"/>
    <w:rsid w:val="00632DD6"/>
    <w:rsid w:val="006335B0"/>
    <w:rsid w:val="00636275"/>
    <w:rsid w:val="00642200"/>
    <w:rsid w:val="00642219"/>
    <w:rsid w:val="00642B19"/>
    <w:rsid w:val="006439AC"/>
    <w:rsid w:val="00646710"/>
    <w:rsid w:val="00650399"/>
    <w:rsid w:val="00651ED6"/>
    <w:rsid w:val="006540D4"/>
    <w:rsid w:val="0065488C"/>
    <w:rsid w:val="00655AF0"/>
    <w:rsid w:val="00656B6A"/>
    <w:rsid w:val="00660445"/>
    <w:rsid w:val="00661524"/>
    <w:rsid w:val="00662034"/>
    <w:rsid w:val="0066306D"/>
    <w:rsid w:val="00663E3D"/>
    <w:rsid w:val="0066540A"/>
    <w:rsid w:val="00665613"/>
    <w:rsid w:val="006679A6"/>
    <w:rsid w:val="00667DA6"/>
    <w:rsid w:val="006707B7"/>
    <w:rsid w:val="006710E3"/>
    <w:rsid w:val="00671DAF"/>
    <w:rsid w:val="006747E2"/>
    <w:rsid w:val="00676C05"/>
    <w:rsid w:val="00681046"/>
    <w:rsid w:val="006814C0"/>
    <w:rsid w:val="006835C6"/>
    <w:rsid w:val="006859BF"/>
    <w:rsid w:val="00686543"/>
    <w:rsid w:val="00686E31"/>
    <w:rsid w:val="0068788D"/>
    <w:rsid w:val="00687C88"/>
    <w:rsid w:val="00693F4C"/>
    <w:rsid w:val="0069507F"/>
    <w:rsid w:val="00695E3E"/>
    <w:rsid w:val="006963A6"/>
    <w:rsid w:val="00696BB5"/>
    <w:rsid w:val="006A2CE4"/>
    <w:rsid w:val="006A2D3A"/>
    <w:rsid w:val="006A3ECB"/>
    <w:rsid w:val="006A4877"/>
    <w:rsid w:val="006B1C75"/>
    <w:rsid w:val="006B31F3"/>
    <w:rsid w:val="006B3CE3"/>
    <w:rsid w:val="006B460D"/>
    <w:rsid w:val="006B5362"/>
    <w:rsid w:val="006B7705"/>
    <w:rsid w:val="006C1E3D"/>
    <w:rsid w:val="006C56CA"/>
    <w:rsid w:val="006D3E86"/>
    <w:rsid w:val="006D7451"/>
    <w:rsid w:val="006E23B4"/>
    <w:rsid w:val="006F0A10"/>
    <w:rsid w:val="006F2FA4"/>
    <w:rsid w:val="006F37BF"/>
    <w:rsid w:val="006F3BED"/>
    <w:rsid w:val="006F5364"/>
    <w:rsid w:val="006F6CF6"/>
    <w:rsid w:val="006F6D66"/>
    <w:rsid w:val="0070215A"/>
    <w:rsid w:val="00711907"/>
    <w:rsid w:val="007134DA"/>
    <w:rsid w:val="00713B58"/>
    <w:rsid w:val="00715645"/>
    <w:rsid w:val="007162B3"/>
    <w:rsid w:val="00717ED8"/>
    <w:rsid w:val="007208F0"/>
    <w:rsid w:val="007219BD"/>
    <w:rsid w:val="007250AA"/>
    <w:rsid w:val="00726487"/>
    <w:rsid w:val="00727F4B"/>
    <w:rsid w:val="0073228D"/>
    <w:rsid w:val="0073302A"/>
    <w:rsid w:val="00734144"/>
    <w:rsid w:val="00734E9D"/>
    <w:rsid w:val="0073736A"/>
    <w:rsid w:val="0074071A"/>
    <w:rsid w:val="00741E74"/>
    <w:rsid w:val="0074213F"/>
    <w:rsid w:val="00742A10"/>
    <w:rsid w:val="00743440"/>
    <w:rsid w:val="00744789"/>
    <w:rsid w:val="007461E7"/>
    <w:rsid w:val="00754B68"/>
    <w:rsid w:val="00756DF9"/>
    <w:rsid w:val="00757124"/>
    <w:rsid w:val="0075712D"/>
    <w:rsid w:val="00762F29"/>
    <w:rsid w:val="007666C7"/>
    <w:rsid w:val="0076676B"/>
    <w:rsid w:val="00767D2D"/>
    <w:rsid w:val="00770F23"/>
    <w:rsid w:val="00772130"/>
    <w:rsid w:val="00781449"/>
    <w:rsid w:val="00781481"/>
    <w:rsid w:val="00782EDD"/>
    <w:rsid w:val="007834B7"/>
    <w:rsid w:val="007846DE"/>
    <w:rsid w:val="00787F8C"/>
    <w:rsid w:val="007906A7"/>
    <w:rsid w:val="00795918"/>
    <w:rsid w:val="00796607"/>
    <w:rsid w:val="007A123C"/>
    <w:rsid w:val="007A787E"/>
    <w:rsid w:val="007B05A8"/>
    <w:rsid w:val="007B10E2"/>
    <w:rsid w:val="007B30FA"/>
    <w:rsid w:val="007B6AF6"/>
    <w:rsid w:val="007D318F"/>
    <w:rsid w:val="007D3F1B"/>
    <w:rsid w:val="007D5372"/>
    <w:rsid w:val="007D689C"/>
    <w:rsid w:val="007D7183"/>
    <w:rsid w:val="007E0556"/>
    <w:rsid w:val="007E10BE"/>
    <w:rsid w:val="007E1EC4"/>
    <w:rsid w:val="007E2374"/>
    <w:rsid w:val="007E2B04"/>
    <w:rsid w:val="007E37A2"/>
    <w:rsid w:val="007E65EA"/>
    <w:rsid w:val="007F024A"/>
    <w:rsid w:val="007F0CD5"/>
    <w:rsid w:val="007F0F92"/>
    <w:rsid w:val="007F2140"/>
    <w:rsid w:val="00804C22"/>
    <w:rsid w:val="00805867"/>
    <w:rsid w:val="0081190A"/>
    <w:rsid w:val="008119DA"/>
    <w:rsid w:val="00812291"/>
    <w:rsid w:val="00814DD7"/>
    <w:rsid w:val="00814E33"/>
    <w:rsid w:val="00815CF8"/>
    <w:rsid w:val="00820BED"/>
    <w:rsid w:val="00821482"/>
    <w:rsid w:val="008217E5"/>
    <w:rsid w:val="008218E8"/>
    <w:rsid w:val="00821FCA"/>
    <w:rsid w:val="00822ACE"/>
    <w:rsid w:val="008250CA"/>
    <w:rsid w:val="00826A6D"/>
    <w:rsid w:val="00830F3E"/>
    <w:rsid w:val="00831921"/>
    <w:rsid w:val="00832139"/>
    <w:rsid w:val="00833E23"/>
    <w:rsid w:val="0083452A"/>
    <w:rsid w:val="00834835"/>
    <w:rsid w:val="00840B8D"/>
    <w:rsid w:val="00841AD8"/>
    <w:rsid w:val="0084209F"/>
    <w:rsid w:val="008424A5"/>
    <w:rsid w:val="008441CB"/>
    <w:rsid w:val="00845572"/>
    <w:rsid w:val="00845A3A"/>
    <w:rsid w:val="00847210"/>
    <w:rsid w:val="00850382"/>
    <w:rsid w:val="00850648"/>
    <w:rsid w:val="00850AB9"/>
    <w:rsid w:val="0085113A"/>
    <w:rsid w:val="00854543"/>
    <w:rsid w:val="00854991"/>
    <w:rsid w:val="00855E3B"/>
    <w:rsid w:val="00861FAD"/>
    <w:rsid w:val="00862EB1"/>
    <w:rsid w:val="008719F4"/>
    <w:rsid w:val="0087492F"/>
    <w:rsid w:val="0088189F"/>
    <w:rsid w:val="00882185"/>
    <w:rsid w:val="008827C1"/>
    <w:rsid w:val="00882E3A"/>
    <w:rsid w:val="00882F9F"/>
    <w:rsid w:val="008838A0"/>
    <w:rsid w:val="00884C69"/>
    <w:rsid w:val="00886770"/>
    <w:rsid w:val="00886AD7"/>
    <w:rsid w:val="00891086"/>
    <w:rsid w:val="008947AB"/>
    <w:rsid w:val="00894AB1"/>
    <w:rsid w:val="008A1690"/>
    <w:rsid w:val="008A256E"/>
    <w:rsid w:val="008A2BF4"/>
    <w:rsid w:val="008A34E8"/>
    <w:rsid w:val="008A4D3F"/>
    <w:rsid w:val="008B0C79"/>
    <w:rsid w:val="008B30D0"/>
    <w:rsid w:val="008B47D9"/>
    <w:rsid w:val="008B4BAE"/>
    <w:rsid w:val="008B54F2"/>
    <w:rsid w:val="008B6D42"/>
    <w:rsid w:val="008B7B28"/>
    <w:rsid w:val="008C0C23"/>
    <w:rsid w:val="008C11CC"/>
    <w:rsid w:val="008C121F"/>
    <w:rsid w:val="008C5CF1"/>
    <w:rsid w:val="008C6F70"/>
    <w:rsid w:val="008C7AF2"/>
    <w:rsid w:val="008C7CB7"/>
    <w:rsid w:val="008D087A"/>
    <w:rsid w:val="008D1D12"/>
    <w:rsid w:val="008E1FF4"/>
    <w:rsid w:val="008E7511"/>
    <w:rsid w:val="008F38A6"/>
    <w:rsid w:val="008F5F0E"/>
    <w:rsid w:val="008F65D6"/>
    <w:rsid w:val="008F677A"/>
    <w:rsid w:val="0090580B"/>
    <w:rsid w:val="00905CA9"/>
    <w:rsid w:val="00906436"/>
    <w:rsid w:val="009104BA"/>
    <w:rsid w:val="00912C5E"/>
    <w:rsid w:val="009142AE"/>
    <w:rsid w:val="00914E4E"/>
    <w:rsid w:val="00914F99"/>
    <w:rsid w:val="0092205F"/>
    <w:rsid w:val="009226B5"/>
    <w:rsid w:val="00923412"/>
    <w:rsid w:val="009253A7"/>
    <w:rsid w:val="00926B29"/>
    <w:rsid w:val="00927414"/>
    <w:rsid w:val="009306BB"/>
    <w:rsid w:val="00932B8B"/>
    <w:rsid w:val="0093348E"/>
    <w:rsid w:val="009346FF"/>
    <w:rsid w:val="00934FA3"/>
    <w:rsid w:val="009458EE"/>
    <w:rsid w:val="0094687F"/>
    <w:rsid w:val="00947D2F"/>
    <w:rsid w:val="00956035"/>
    <w:rsid w:val="00964551"/>
    <w:rsid w:val="00964874"/>
    <w:rsid w:val="0096714F"/>
    <w:rsid w:val="00967166"/>
    <w:rsid w:val="00970B53"/>
    <w:rsid w:val="009730A2"/>
    <w:rsid w:val="00973E03"/>
    <w:rsid w:val="009754BE"/>
    <w:rsid w:val="00976C17"/>
    <w:rsid w:val="00980D64"/>
    <w:rsid w:val="00981AED"/>
    <w:rsid w:val="009838C2"/>
    <w:rsid w:val="009839B2"/>
    <w:rsid w:val="00984F14"/>
    <w:rsid w:val="0098575F"/>
    <w:rsid w:val="0099114B"/>
    <w:rsid w:val="00993D6B"/>
    <w:rsid w:val="009955AE"/>
    <w:rsid w:val="00996A8C"/>
    <w:rsid w:val="009A2F78"/>
    <w:rsid w:val="009A5872"/>
    <w:rsid w:val="009A7115"/>
    <w:rsid w:val="009A7894"/>
    <w:rsid w:val="009B18EF"/>
    <w:rsid w:val="009B236F"/>
    <w:rsid w:val="009B4521"/>
    <w:rsid w:val="009B5330"/>
    <w:rsid w:val="009C7DD9"/>
    <w:rsid w:val="009D2663"/>
    <w:rsid w:val="009D58E5"/>
    <w:rsid w:val="009E0971"/>
    <w:rsid w:val="009E6049"/>
    <w:rsid w:val="009E6C42"/>
    <w:rsid w:val="009E7AFA"/>
    <w:rsid w:val="009F17FD"/>
    <w:rsid w:val="009F2E3E"/>
    <w:rsid w:val="00A01F44"/>
    <w:rsid w:val="00A027E7"/>
    <w:rsid w:val="00A0481E"/>
    <w:rsid w:val="00A04B27"/>
    <w:rsid w:val="00A04E6A"/>
    <w:rsid w:val="00A076CB"/>
    <w:rsid w:val="00A077E8"/>
    <w:rsid w:val="00A102D3"/>
    <w:rsid w:val="00A10BCE"/>
    <w:rsid w:val="00A15FA8"/>
    <w:rsid w:val="00A16330"/>
    <w:rsid w:val="00A214C4"/>
    <w:rsid w:val="00A230C4"/>
    <w:rsid w:val="00A26200"/>
    <w:rsid w:val="00A270BB"/>
    <w:rsid w:val="00A27F02"/>
    <w:rsid w:val="00A324E1"/>
    <w:rsid w:val="00A33A0E"/>
    <w:rsid w:val="00A34599"/>
    <w:rsid w:val="00A368F6"/>
    <w:rsid w:val="00A37744"/>
    <w:rsid w:val="00A40948"/>
    <w:rsid w:val="00A43ADE"/>
    <w:rsid w:val="00A43E45"/>
    <w:rsid w:val="00A46ECB"/>
    <w:rsid w:val="00A473CD"/>
    <w:rsid w:val="00A53AC3"/>
    <w:rsid w:val="00A545AD"/>
    <w:rsid w:val="00A578A7"/>
    <w:rsid w:val="00A66D8F"/>
    <w:rsid w:val="00A74037"/>
    <w:rsid w:val="00A74835"/>
    <w:rsid w:val="00A80060"/>
    <w:rsid w:val="00A84F2A"/>
    <w:rsid w:val="00A93866"/>
    <w:rsid w:val="00A93E6D"/>
    <w:rsid w:val="00A94686"/>
    <w:rsid w:val="00A94DAC"/>
    <w:rsid w:val="00A95979"/>
    <w:rsid w:val="00A964F3"/>
    <w:rsid w:val="00A9688E"/>
    <w:rsid w:val="00A96D26"/>
    <w:rsid w:val="00A9701A"/>
    <w:rsid w:val="00A97FFE"/>
    <w:rsid w:val="00AA1DF6"/>
    <w:rsid w:val="00AA2D0A"/>
    <w:rsid w:val="00AA3250"/>
    <w:rsid w:val="00AA344E"/>
    <w:rsid w:val="00AA3957"/>
    <w:rsid w:val="00AA48DA"/>
    <w:rsid w:val="00AA5E6B"/>
    <w:rsid w:val="00AA6C9C"/>
    <w:rsid w:val="00AA7075"/>
    <w:rsid w:val="00AB0839"/>
    <w:rsid w:val="00AB39B1"/>
    <w:rsid w:val="00AB52BC"/>
    <w:rsid w:val="00AB5CB7"/>
    <w:rsid w:val="00AB635C"/>
    <w:rsid w:val="00AB655E"/>
    <w:rsid w:val="00AB7AE0"/>
    <w:rsid w:val="00AC0792"/>
    <w:rsid w:val="00AC0931"/>
    <w:rsid w:val="00AC7E8C"/>
    <w:rsid w:val="00AD2009"/>
    <w:rsid w:val="00AD5452"/>
    <w:rsid w:val="00AD5957"/>
    <w:rsid w:val="00AD5B1C"/>
    <w:rsid w:val="00AD6668"/>
    <w:rsid w:val="00AE1180"/>
    <w:rsid w:val="00AE144A"/>
    <w:rsid w:val="00AE1540"/>
    <w:rsid w:val="00AE35C7"/>
    <w:rsid w:val="00AE3AAD"/>
    <w:rsid w:val="00AE5FB3"/>
    <w:rsid w:val="00AE64B2"/>
    <w:rsid w:val="00AE7596"/>
    <w:rsid w:val="00AF3D9E"/>
    <w:rsid w:val="00AF4BF4"/>
    <w:rsid w:val="00B013ED"/>
    <w:rsid w:val="00B02DBF"/>
    <w:rsid w:val="00B03E13"/>
    <w:rsid w:val="00B04392"/>
    <w:rsid w:val="00B05DE7"/>
    <w:rsid w:val="00B10EFB"/>
    <w:rsid w:val="00B128C4"/>
    <w:rsid w:val="00B14A96"/>
    <w:rsid w:val="00B30E8F"/>
    <w:rsid w:val="00B31017"/>
    <w:rsid w:val="00B320B4"/>
    <w:rsid w:val="00B326CF"/>
    <w:rsid w:val="00B34BC3"/>
    <w:rsid w:val="00B354AA"/>
    <w:rsid w:val="00B41D73"/>
    <w:rsid w:val="00B426B1"/>
    <w:rsid w:val="00B47583"/>
    <w:rsid w:val="00B47D99"/>
    <w:rsid w:val="00B53695"/>
    <w:rsid w:val="00B673A8"/>
    <w:rsid w:val="00B71AC4"/>
    <w:rsid w:val="00B7220D"/>
    <w:rsid w:val="00B725FC"/>
    <w:rsid w:val="00B726C3"/>
    <w:rsid w:val="00B82004"/>
    <w:rsid w:val="00B84A85"/>
    <w:rsid w:val="00B90C3A"/>
    <w:rsid w:val="00B91190"/>
    <w:rsid w:val="00B91DA2"/>
    <w:rsid w:val="00BA2280"/>
    <w:rsid w:val="00BA4B49"/>
    <w:rsid w:val="00BA785F"/>
    <w:rsid w:val="00BB1B7A"/>
    <w:rsid w:val="00BB26C1"/>
    <w:rsid w:val="00BB4400"/>
    <w:rsid w:val="00BC2990"/>
    <w:rsid w:val="00BC4041"/>
    <w:rsid w:val="00BC4CE6"/>
    <w:rsid w:val="00BC4CFF"/>
    <w:rsid w:val="00BC62FB"/>
    <w:rsid w:val="00BC6BDF"/>
    <w:rsid w:val="00BD5C45"/>
    <w:rsid w:val="00BD721A"/>
    <w:rsid w:val="00BE1BE3"/>
    <w:rsid w:val="00BE5830"/>
    <w:rsid w:val="00BE5CC2"/>
    <w:rsid w:val="00BF0952"/>
    <w:rsid w:val="00BF0C78"/>
    <w:rsid w:val="00BF2D74"/>
    <w:rsid w:val="00BF4BEF"/>
    <w:rsid w:val="00BF6349"/>
    <w:rsid w:val="00C00065"/>
    <w:rsid w:val="00C00451"/>
    <w:rsid w:val="00C00AE3"/>
    <w:rsid w:val="00C026E1"/>
    <w:rsid w:val="00C029DE"/>
    <w:rsid w:val="00C0559B"/>
    <w:rsid w:val="00C05DB8"/>
    <w:rsid w:val="00C066A0"/>
    <w:rsid w:val="00C06AD8"/>
    <w:rsid w:val="00C07655"/>
    <w:rsid w:val="00C10E6C"/>
    <w:rsid w:val="00C11AD9"/>
    <w:rsid w:val="00C12195"/>
    <w:rsid w:val="00C12840"/>
    <w:rsid w:val="00C14355"/>
    <w:rsid w:val="00C17E1E"/>
    <w:rsid w:val="00C22948"/>
    <w:rsid w:val="00C23181"/>
    <w:rsid w:val="00C2653F"/>
    <w:rsid w:val="00C322B6"/>
    <w:rsid w:val="00C33035"/>
    <w:rsid w:val="00C36F28"/>
    <w:rsid w:val="00C406CC"/>
    <w:rsid w:val="00C4149D"/>
    <w:rsid w:val="00C421C2"/>
    <w:rsid w:val="00C435B5"/>
    <w:rsid w:val="00C4505C"/>
    <w:rsid w:val="00C50D79"/>
    <w:rsid w:val="00C51210"/>
    <w:rsid w:val="00C530C1"/>
    <w:rsid w:val="00C57120"/>
    <w:rsid w:val="00C60D15"/>
    <w:rsid w:val="00C63227"/>
    <w:rsid w:val="00C67C41"/>
    <w:rsid w:val="00C749A0"/>
    <w:rsid w:val="00C75447"/>
    <w:rsid w:val="00C8071C"/>
    <w:rsid w:val="00C91C92"/>
    <w:rsid w:val="00C91E1F"/>
    <w:rsid w:val="00C964FE"/>
    <w:rsid w:val="00C97A59"/>
    <w:rsid w:val="00CA2E7E"/>
    <w:rsid w:val="00CA353C"/>
    <w:rsid w:val="00CB1131"/>
    <w:rsid w:val="00CB21FE"/>
    <w:rsid w:val="00CB2DB3"/>
    <w:rsid w:val="00CB4108"/>
    <w:rsid w:val="00CB5306"/>
    <w:rsid w:val="00CB5357"/>
    <w:rsid w:val="00CC2758"/>
    <w:rsid w:val="00CC3E3B"/>
    <w:rsid w:val="00CC6E15"/>
    <w:rsid w:val="00CC6F0F"/>
    <w:rsid w:val="00CD161C"/>
    <w:rsid w:val="00CD59B5"/>
    <w:rsid w:val="00CD6F04"/>
    <w:rsid w:val="00CE0CD9"/>
    <w:rsid w:val="00CE0FDE"/>
    <w:rsid w:val="00CE31BD"/>
    <w:rsid w:val="00CE3E24"/>
    <w:rsid w:val="00CE5AC8"/>
    <w:rsid w:val="00CF4394"/>
    <w:rsid w:val="00CF61BF"/>
    <w:rsid w:val="00CF6AEE"/>
    <w:rsid w:val="00D005DA"/>
    <w:rsid w:val="00D00DE3"/>
    <w:rsid w:val="00D03223"/>
    <w:rsid w:val="00D035C8"/>
    <w:rsid w:val="00D045D1"/>
    <w:rsid w:val="00D072AB"/>
    <w:rsid w:val="00D100E9"/>
    <w:rsid w:val="00D15FDD"/>
    <w:rsid w:val="00D25CA9"/>
    <w:rsid w:val="00D30492"/>
    <w:rsid w:val="00D33CD7"/>
    <w:rsid w:val="00D340A0"/>
    <w:rsid w:val="00D349ED"/>
    <w:rsid w:val="00D35A4B"/>
    <w:rsid w:val="00D4186F"/>
    <w:rsid w:val="00D42408"/>
    <w:rsid w:val="00D46B38"/>
    <w:rsid w:val="00D52319"/>
    <w:rsid w:val="00D52985"/>
    <w:rsid w:val="00D52E79"/>
    <w:rsid w:val="00D55E05"/>
    <w:rsid w:val="00D563A3"/>
    <w:rsid w:val="00D60EA0"/>
    <w:rsid w:val="00D61C02"/>
    <w:rsid w:val="00D61F7F"/>
    <w:rsid w:val="00D62B4D"/>
    <w:rsid w:val="00D66497"/>
    <w:rsid w:val="00D717B7"/>
    <w:rsid w:val="00D74334"/>
    <w:rsid w:val="00D74798"/>
    <w:rsid w:val="00D75DFF"/>
    <w:rsid w:val="00D82607"/>
    <w:rsid w:val="00D83A0C"/>
    <w:rsid w:val="00D83CC7"/>
    <w:rsid w:val="00D83D3D"/>
    <w:rsid w:val="00D86CA1"/>
    <w:rsid w:val="00D914DD"/>
    <w:rsid w:val="00D94BDB"/>
    <w:rsid w:val="00D95E32"/>
    <w:rsid w:val="00D972E9"/>
    <w:rsid w:val="00D97737"/>
    <w:rsid w:val="00DB2D00"/>
    <w:rsid w:val="00DB2E6F"/>
    <w:rsid w:val="00DB4743"/>
    <w:rsid w:val="00DB68CA"/>
    <w:rsid w:val="00DB701E"/>
    <w:rsid w:val="00DB7090"/>
    <w:rsid w:val="00DC0870"/>
    <w:rsid w:val="00DC1447"/>
    <w:rsid w:val="00DC1AF7"/>
    <w:rsid w:val="00DC463B"/>
    <w:rsid w:val="00DC5BB4"/>
    <w:rsid w:val="00DC6AA9"/>
    <w:rsid w:val="00DD0000"/>
    <w:rsid w:val="00DD1C15"/>
    <w:rsid w:val="00DD32D5"/>
    <w:rsid w:val="00DD6655"/>
    <w:rsid w:val="00DD79AB"/>
    <w:rsid w:val="00DE26E8"/>
    <w:rsid w:val="00DE50A2"/>
    <w:rsid w:val="00DF1B51"/>
    <w:rsid w:val="00DF2150"/>
    <w:rsid w:val="00DF22A2"/>
    <w:rsid w:val="00DF37B0"/>
    <w:rsid w:val="00DF428A"/>
    <w:rsid w:val="00E00010"/>
    <w:rsid w:val="00E06137"/>
    <w:rsid w:val="00E07684"/>
    <w:rsid w:val="00E16AF9"/>
    <w:rsid w:val="00E17CD7"/>
    <w:rsid w:val="00E26131"/>
    <w:rsid w:val="00E318F4"/>
    <w:rsid w:val="00E36891"/>
    <w:rsid w:val="00E405BD"/>
    <w:rsid w:val="00E5222F"/>
    <w:rsid w:val="00E5288F"/>
    <w:rsid w:val="00E52AE7"/>
    <w:rsid w:val="00E52F64"/>
    <w:rsid w:val="00E5563B"/>
    <w:rsid w:val="00E55986"/>
    <w:rsid w:val="00E62674"/>
    <w:rsid w:val="00E62A0A"/>
    <w:rsid w:val="00E645CC"/>
    <w:rsid w:val="00E64697"/>
    <w:rsid w:val="00E64D35"/>
    <w:rsid w:val="00E65E5E"/>
    <w:rsid w:val="00E67A24"/>
    <w:rsid w:val="00E67E7F"/>
    <w:rsid w:val="00E7089D"/>
    <w:rsid w:val="00E7432A"/>
    <w:rsid w:val="00E75EA6"/>
    <w:rsid w:val="00E776B0"/>
    <w:rsid w:val="00E81B08"/>
    <w:rsid w:val="00E827EA"/>
    <w:rsid w:val="00E84998"/>
    <w:rsid w:val="00E84D4E"/>
    <w:rsid w:val="00E94560"/>
    <w:rsid w:val="00E95F5B"/>
    <w:rsid w:val="00E9688F"/>
    <w:rsid w:val="00EA253C"/>
    <w:rsid w:val="00EA5510"/>
    <w:rsid w:val="00EA5665"/>
    <w:rsid w:val="00EA69D5"/>
    <w:rsid w:val="00EA6F08"/>
    <w:rsid w:val="00EA76A0"/>
    <w:rsid w:val="00EB02B3"/>
    <w:rsid w:val="00EB0AED"/>
    <w:rsid w:val="00EB7336"/>
    <w:rsid w:val="00EB7B9E"/>
    <w:rsid w:val="00EC0AA1"/>
    <w:rsid w:val="00EC36C8"/>
    <w:rsid w:val="00EC38E2"/>
    <w:rsid w:val="00EC4B20"/>
    <w:rsid w:val="00EC5554"/>
    <w:rsid w:val="00EC59FE"/>
    <w:rsid w:val="00EC5A3A"/>
    <w:rsid w:val="00EC7ADA"/>
    <w:rsid w:val="00ED0671"/>
    <w:rsid w:val="00ED1647"/>
    <w:rsid w:val="00ED2F35"/>
    <w:rsid w:val="00ED5BA8"/>
    <w:rsid w:val="00ED5EDA"/>
    <w:rsid w:val="00EE2330"/>
    <w:rsid w:val="00EE2427"/>
    <w:rsid w:val="00EE3CC4"/>
    <w:rsid w:val="00EE3CEA"/>
    <w:rsid w:val="00EE6478"/>
    <w:rsid w:val="00EF074E"/>
    <w:rsid w:val="00EF16C0"/>
    <w:rsid w:val="00EF36F8"/>
    <w:rsid w:val="00EF3964"/>
    <w:rsid w:val="00EF6F59"/>
    <w:rsid w:val="00F00EA7"/>
    <w:rsid w:val="00F013BC"/>
    <w:rsid w:val="00F01DD2"/>
    <w:rsid w:val="00F0357B"/>
    <w:rsid w:val="00F1366B"/>
    <w:rsid w:val="00F13B38"/>
    <w:rsid w:val="00F13CE3"/>
    <w:rsid w:val="00F13FE3"/>
    <w:rsid w:val="00F14615"/>
    <w:rsid w:val="00F176B5"/>
    <w:rsid w:val="00F177FE"/>
    <w:rsid w:val="00F224D6"/>
    <w:rsid w:val="00F244FC"/>
    <w:rsid w:val="00F2488F"/>
    <w:rsid w:val="00F314B7"/>
    <w:rsid w:val="00F32858"/>
    <w:rsid w:val="00F33EF0"/>
    <w:rsid w:val="00F34154"/>
    <w:rsid w:val="00F36E30"/>
    <w:rsid w:val="00F37B35"/>
    <w:rsid w:val="00F40909"/>
    <w:rsid w:val="00F4151A"/>
    <w:rsid w:val="00F421F2"/>
    <w:rsid w:val="00F43BC0"/>
    <w:rsid w:val="00F45943"/>
    <w:rsid w:val="00F459C6"/>
    <w:rsid w:val="00F534E6"/>
    <w:rsid w:val="00F5474B"/>
    <w:rsid w:val="00F60391"/>
    <w:rsid w:val="00F64136"/>
    <w:rsid w:val="00F710D7"/>
    <w:rsid w:val="00F74712"/>
    <w:rsid w:val="00F74F08"/>
    <w:rsid w:val="00F752D6"/>
    <w:rsid w:val="00F76D74"/>
    <w:rsid w:val="00F82256"/>
    <w:rsid w:val="00F85233"/>
    <w:rsid w:val="00F854B6"/>
    <w:rsid w:val="00F8586D"/>
    <w:rsid w:val="00F85D8B"/>
    <w:rsid w:val="00F85FDF"/>
    <w:rsid w:val="00F860A9"/>
    <w:rsid w:val="00F87195"/>
    <w:rsid w:val="00F90B87"/>
    <w:rsid w:val="00F92872"/>
    <w:rsid w:val="00F92892"/>
    <w:rsid w:val="00F93813"/>
    <w:rsid w:val="00F966F4"/>
    <w:rsid w:val="00F9763C"/>
    <w:rsid w:val="00FA5144"/>
    <w:rsid w:val="00FA7186"/>
    <w:rsid w:val="00FB1785"/>
    <w:rsid w:val="00FB296B"/>
    <w:rsid w:val="00FB3309"/>
    <w:rsid w:val="00FB3CFB"/>
    <w:rsid w:val="00FB3F9A"/>
    <w:rsid w:val="00FB4405"/>
    <w:rsid w:val="00FB5B7D"/>
    <w:rsid w:val="00FB63F8"/>
    <w:rsid w:val="00FB7B05"/>
    <w:rsid w:val="00FC1651"/>
    <w:rsid w:val="00FC1F0B"/>
    <w:rsid w:val="00FC2628"/>
    <w:rsid w:val="00FC2BEC"/>
    <w:rsid w:val="00FC3EE3"/>
    <w:rsid w:val="00FC4372"/>
    <w:rsid w:val="00FD22A0"/>
    <w:rsid w:val="00FD4606"/>
    <w:rsid w:val="00FD6283"/>
    <w:rsid w:val="00FD76E3"/>
    <w:rsid w:val="00FE0B70"/>
    <w:rsid w:val="00FE48D1"/>
    <w:rsid w:val="00FE4F68"/>
    <w:rsid w:val="00FE5026"/>
    <w:rsid w:val="00FF05EA"/>
    <w:rsid w:val="00FF0D73"/>
    <w:rsid w:val="00FF0E3E"/>
    <w:rsid w:val="00FF1DA7"/>
    <w:rsid w:val="00FF2DDF"/>
    <w:rsid w:val="00FF4512"/>
    <w:rsid w:val="00FF61E4"/>
    <w:rsid w:val="00FF7DD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Al-Kharashi 11"/>
        <w:sz w:val="28"/>
        <w:szCs w:val="28"/>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able of figures"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Outline List 2" w:uiPriority="0"/>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952"/>
    <w:rPr>
      <w:rFonts w:asciiTheme="minorBidi" w:hAnsiTheme="minorBidi"/>
      <w:sz w:val="24"/>
    </w:rPr>
  </w:style>
  <w:style w:type="paragraph" w:styleId="Heading1">
    <w:name w:val="heading 1"/>
    <w:basedOn w:val="Normal"/>
    <w:next w:val="Normal"/>
    <w:link w:val="Heading1Char"/>
    <w:qFormat/>
    <w:rsid w:val="000A1EEA"/>
    <w:pPr>
      <w:keepNext/>
      <w:keepLines/>
      <w:numPr>
        <w:numId w:val="78"/>
      </w:numPr>
      <w:spacing w:before="480" w:after="0" w:line="360" w:lineRule="auto"/>
      <w:ind w:left="360"/>
      <w:outlineLvl w:val="0"/>
    </w:pPr>
    <w:rPr>
      <w:rFonts w:ascii="Arial" w:eastAsiaTheme="majorEastAsia" w:hAnsi="Arial" w:cs="Arial"/>
      <w:b/>
      <w:bCs/>
      <w:sz w:val="36"/>
      <w:szCs w:val="44"/>
    </w:rPr>
  </w:style>
  <w:style w:type="paragraph" w:styleId="Heading2">
    <w:name w:val="heading 2"/>
    <w:basedOn w:val="ListNumber2"/>
    <w:next w:val="Normal"/>
    <w:link w:val="Heading2Char"/>
    <w:autoRedefine/>
    <w:unhideWhenUsed/>
    <w:qFormat/>
    <w:rsid w:val="00B7220D"/>
    <w:pPr>
      <w:keepLines/>
      <w:numPr>
        <w:ilvl w:val="1"/>
        <w:numId w:val="1"/>
      </w:numPr>
      <w:spacing w:before="200" w:line="480" w:lineRule="auto"/>
      <w:outlineLvl w:val="1"/>
    </w:pPr>
    <w:rPr>
      <w:rFonts w:eastAsiaTheme="majorEastAsia"/>
      <w:b/>
      <w:bCs/>
      <w:sz w:val="32"/>
      <w:szCs w:val="26"/>
      <w:lang w:eastAsia="en-GB"/>
    </w:rPr>
  </w:style>
  <w:style w:type="paragraph" w:styleId="Heading3">
    <w:name w:val="heading 3"/>
    <w:basedOn w:val="Normal"/>
    <w:next w:val="Normal"/>
    <w:link w:val="Heading3Char"/>
    <w:unhideWhenUsed/>
    <w:qFormat/>
    <w:rsid w:val="00313233"/>
    <w:pPr>
      <w:keepNext/>
      <w:keepLines/>
      <w:numPr>
        <w:ilvl w:val="2"/>
        <w:numId w:val="1"/>
      </w:numPr>
      <w:spacing w:before="320" w:after="120"/>
      <w:ind w:left="720"/>
      <w:outlineLvl w:val="2"/>
    </w:pPr>
    <w:rPr>
      <w:rFonts w:eastAsiaTheme="majorEastAsia"/>
      <w:b/>
      <w:bCs/>
      <w:sz w:val="28"/>
    </w:rPr>
  </w:style>
  <w:style w:type="paragraph" w:styleId="Heading4">
    <w:name w:val="heading 4"/>
    <w:basedOn w:val="Normal"/>
    <w:next w:val="Normal"/>
    <w:link w:val="Heading4Char"/>
    <w:unhideWhenUsed/>
    <w:qFormat/>
    <w:rsid w:val="00F32858"/>
    <w:pPr>
      <w:keepNext/>
      <w:keepLines/>
      <w:numPr>
        <w:ilvl w:val="3"/>
        <w:numId w:val="1"/>
      </w:numPr>
      <w:spacing w:before="200" w:after="0"/>
      <w:outlineLvl w:val="3"/>
    </w:pPr>
    <w:rPr>
      <w:rFonts w:eastAsiaTheme="majorEastAsia" w:cstheme="majorBidi"/>
      <w:b/>
      <w:bCs/>
      <w:iCs/>
    </w:rPr>
  </w:style>
  <w:style w:type="paragraph" w:styleId="Heading5">
    <w:name w:val="heading 5"/>
    <w:basedOn w:val="Normal"/>
    <w:next w:val="Normal"/>
    <w:link w:val="Heading5Char"/>
    <w:unhideWhenUsed/>
    <w:qFormat/>
    <w:rsid w:val="002559E1"/>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nhideWhenUsed/>
    <w:qFormat/>
    <w:rsid w:val="002559E1"/>
    <w:pPr>
      <w:keepNext/>
      <w:keepLines/>
      <w:numPr>
        <w:ilvl w:val="5"/>
        <w:numId w:val="1"/>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nhideWhenUsed/>
    <w:qFormat/>
    <w:rsid w:val="002559E1"/>
    <w:pPr>
      <w:keepNext/>
      <w:keepLines/>
      <w:numPr>
        <w:ilvl w:val="6"/>
        <w:numId w:val="1"/>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nhideWhenUsed/>
    <w:qFormat/>
    <w:rsid w:val="002559E1"/>
    <w:pPr>
      <w:keepNext/>
      <w:keepLines/>
      <w:numPr>
        <w:ilvl w:val="7"/>
        <w:numId w:val="1"/>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nhideWhenUsed/>
    <w:qFormat/>
    <w:rsid w:val="002559E1"/>
    <w:pPr>
      <w:keepNext/>
      <w:keepLines/>
      <w:numPr>
        <w:ilvl w:val="8"/>
        <w:numId w:val="1"/>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1EEA"/>
    <w:rPr>
      <w:rFonts w:ascii="Arial" w:eastAsiaTheme="majorEastAsia" w:hAnsi="Arial" w:cs="Arial"/>
      <w:b/>
      <w:bCs/>
      <w:sz w:val="36"/>
      <w:szCs w:val="44"/>
    </w:rPr>
  </w:style>
  <w:style w:type="character" w:customStyle="1" w:styleId="Heading2Char">
    <w:name w:val="Heading 2 Char"/>
    <w:basedOn w:val="DefaultParagraphFont"/>
    <w:link w:val="Heading2"/>
    <w:rsid w:val="00B7220D"/>
    <w:rPr>
      <w:rFonts w:asciiTheme="minorBidi" w:eastAsiaTheme="majorEastAsia" w:hAnsiTheme="minorBidi"/>
      <w:b/>
      <w:bCs/>
      <w:sz w:val="32"/>
      <w:szCs w:val="26"/>
      <w:lang w:eastAsia="en-GB"/>
    </w:rPr>
  </w:style>
  <w:style w:type="character" w:customStyle="1" w:styleId="Heading3Char">
    <w:name w:val="Heading 3 Char"/>
    <w:basedOn w:val="DefaultParagraphFont"/>
    <w:link w:val="Heading3"/>
    <w:rsid w:val="00313233"/>
    <w:rPr>
      <w:rFonts w:asciiTheme="minorBidi" w:eastAsiaTheme="majorEastAsia" w:hAnsiTheme="minorBidi"/>
      <w:b/>
      <w:bCs/>
    </w:rPr>
  </w:style>
  <w:style w:type="paragraph" w:styleId="ListParagraph">
    <w:name w:val="List Paragraph"/>
    <w:basedOn w:val="Normal"/>
    <w:uiPriority w:val="34"/>
    <w:qFormat/>
    <w:rsid w:val="00AE35C7"/>
    <w:pPr>
      <w:ind w:left="720"/>
      <w:contextualSpacing/>
    </w:pPr>
  </w:style>
  <w:style w:type="character" w:customStyle="1" w:styleId="Heading4Char">
    <w:name w:val="Heading 4 Char"/>
    <w:basedOn w:val="DefaultParagraphFont"/>
    <w:link w:val="Heading4"/>
    <w:rsid w:val="00F32858"/>
    <w:rPr>
      <w:rFonts w:asciiTheme="minorBidi" w:eastAsiaTheme="majorEastAsia" w:hAnsiTheme="minorBidi" w:cstheme="majorBidi"/>
      <w:b/>
      <w:bCs/>
      <w:iCs/>
      <w:sz w:val="24"/>
    </w:rPr>
  </w:style>
  <w:style w:type="character" w:customStyle="1" w:styleId="Heading5Char">
    <w:name w:val="Heading 5 Char"/>
    <w:basedOn w:val="DefaultParagraphFont"/>
    <w:link w:val="Heading5"/>
    <w:rsid w:val="002559E1"/>
    <w:rPr>
      <w:rFonts w:asciiTheme="minorBidi" w:eastAsiaTheme="majorEastAsia" w:hAnsiTheme="minorBidi" w:cstheme="majorBidi"/>
      <w:color w:val="243F60" w:themeColor="accent1" w:themeShade="7F"/>
      <w:sz w:val="24"/>
    </w:rPr>
  </w:style>
  <w:style w:type="character" w:customStyle="1" w:styleId="Heading6Char">
    <w:name w:val="Heading 6 Char"/>
    <w:basedOn w:val="DefaultParagraphFont"/>
    <w:link w:val="Heading6"/>
    <w:rsid w:val="002559E1"/>
    <w:rPr>
      <w:rFonts w:asciiTheme="minorBidi" w:eastAsiaTheme="majorEastAsia" w:hAnsiTheme="minorBidi" w:cstheme="majorBidi"/>
      <w:i/>
      <w:iCs/>
      <w:color w:val="243F60" w:themeColor="accent1" w:themeShade="7F"/>
      <w:sz w:val="24"/>
    </w:rPr>
  </w:style>
  <w:style w:type="character" w:customStyle="1" w:styleId="Heading7Char">
    <w:name w:val="Heading 7 Char"/>
    <w:basedOn w:val="DefaultParagraphFont"/>
    <w:link w:val="Heading7"/>
    <w:rsid w:val="002559E1"/>
    <w:rPr>
      <w:rFonts w:asciiTheme="minorBidi" w:eastAsiaTheme="majorEastAsia" w:hAnsiTheme="minorBidi" w:cstheme="majorBidi"/>
      <w:i/>
      <w:iCs/>
      <w:color w:val="404040" w:themeColor="text1" w:themeTint="BF"/>
      <w:sz w:val="24"/>
    </w:rPr>
  </w:style>
  <w:style w:type="character" w:customStyle="1" w:styleId="Heading8Char">
    <w:name w:val="Heading 8 Char"/>
    <w:basedOn w:val="DefaultParagraphFont"/>
    <w:link w:val="Heading8"/>
    <w:rsid w:val="002559E1"/>
    <w:rPr>
      <w:rFonts w:asciiTheme="minorBidi" w:eastAsiaTheme="majorEastAsia" w:hAnsiTheme="minorBidi" w:cstheme="majorBidi"/>
      <w:color w:val="404040" w:themeColor="text1" w:themeTint="BF"/>
      <w:sz w:val="20"/>
      <w:szCs w:val="20"/>
    </w:rPr>
  </w:style>
  <w:style w:type="character" w:customStyle="1" w:styleId="Heading9Char">
    <w:name w:val="Heading 9 Char"/>
    <w:basedOn w:val="DefaultParagraphFont"/>
    <w:link w:val="Heading9"/>
    <w:rsid w:val="002559E1"/>
    <w:rPr>
      <w:rFonts w:asciiTheme="minorBidi" w:eastAsiaTheme="majorEastAsia" w:hAnsiTheme="minorBidi" w:cstheme="majorBidi"/>
      <w:i/>
      <w:iCs/>
      <w:color w:val="404040" w:themeColor="text1" w:themeTint="BF"/>
      <w:sz w:val="20"/>
      <w:szCs w:val="20"/>
    </w:rPr>
  </w:style>
  <w:style w:type="paragraph" w:styleId="Title">
    <w:name w:val="Title"/>
    <w:basedOn w:val="Normal"/>
    <w:next w:val="Normal"/>
    <w:link w:val="TitleChar"/>
    <w:uiPriority w:val="10"/>
    <w:qFormat/>
    <w:rsid w:val="007D689C"/>
    <w:pPr>
      <w:pBdr>
        <w:bottom w:val="single" w:sz="8" w:space="4" w:color="4F81BD" w:themeColor="accent1"/>
      </w:pBdr>
      <w:spacing w:after="300" w:line="240" w:lineRule="auto"/>
      <w:contextualSpacing/>
    </w:pPr>
    <w:rPr>
      <w:rFonts w:eastAsiaTheme="majorEastAsia" w:cstheme="majorBidi"/>
      <w:b/>
      <w:spacing w:val="5"/>
      <w:kern w:val="28"/>
      <w:sz w:val="40"/>
      <w:szCs w:val="52"/>
    </w:rPr>
  </w:style>
  <w:style w:type="character" w:customStyle="1" w:styleId="TitleChar">
    <w:name w:val="Title Char"/>
    <w:basedOn w:val="DefaultParagraphFont"/>
    <w:link w:val="Title"/>
    <w:uiPriority w:val="10"/>
    <w:rsid w:val="007D689C"/>
    <w:rPr>
      <w:rFonts w:asciiTheme="minorBidi" w:eastAsiaTheme="majorEastAsia" w:hAnsiTheme="minorBidi" w:cstheme="majorBidi"/>
      <w:b/>
      <w:spacing w:val="5"/>
      <w:kern w:val="28"/>
      <w:sz w:val="40"/>
      <w:szCs w:val="52"/>
    </w:rPr>
  </w:style>
  <w:style w:type="numbering" w:customStyle="1" w:styleId="StyleStyle1LatinBodyCSArialComplexBodyCSArial">
    <w:name w:val="Style Style1 + (Latin) +Body CS (Arial) (Complex) +Body CS (Arial)..."/>
    <w:basedOn w:val="NoList"/>
    <w:rsid w:val="009142AE"/>
    <w:pPr>
      <w:numPr>
        <w:numId w:val="2"/>
      </w:numPr>
    </w:pPr>
  </w:style>
  <w:style w:type="numbering" w:styleId="111111">
    <w:name w:val="Outline List 2"/>
    <w:basedOn w:val="NoList"/>
    <w:rsid w:val="009142AE"/>
    <w:pPr>
      <w:numPr>
        <w:numId w:val="44"/>
      </w:numPr>
    </w:pPr>
  </w:style>
  <w:style w:type="paragraph" w:styleId="Header">
    <w:name w:val="header"/>
    <w:link w:val="HeaderChar"/>
    <w:uiPriority w:val="99"/>
    <w:rsid w:val="008441CB"/>
    <w:pPr>
      <w:spacing w:after="0" w:line="240" w:lineRule="atLeast"/>
      <w:jc w:val="center"/>
    </w:pPr>
    <w:rPr>
      <w:rFonts w:ascii="Arial" w:eastAsia="Times New Roman" w:hAnsi="Arial" w:cs="Arial"/>
      <w:sz w:val="24"/>
      <w:szCs w:val="20"/>
      <w:lang w:eastAsia="zh-CN"/>
    </w:rPr>
  </w:style>
  <w:style w:type="character" w:customStyle="1" w:styleId="HeaderChar">
    <w:name w:val="Header Char"/>
    <w:basedOn w:val="DefaultParagraphFont"/>
    <w:link w:val="Header"/>
    <w:uiPriority w:val="99"/>
    <w:rsid w:val="008441CB"/>
    <w:rPr>
      <w:rFonts w:ascii="Arial" w:eastAsia="Times New Roman" w:hAnsi="Arial" w:cs="Arial"/>
      <w:sz w:val="24"/>
      <w:szCs w:val="20"/>
      <w:lang w:eastAsia="zh-CN"/>
    </w:rPr>
  </w:style>
  <w:style w:type="table" w:styleId="TableGrid">
    <w:name w:val="Table Grid"/>
    <w:basedOn w:val="TableNormal"/>
    <w:uiPriority w:val="59"/>
    <w:rsid w:val="008441CB"/>
    <w:pPr>
      <w:spacing w:after="0" w:line="240" w:lineRule="auto"/>
    </w:pPr>
    <w:rPr>
      <w:rFonts w:ascii="Arial" w:eastAsia="Times New Roman" w:hAnsi="Arial" w:cs="Arial"/>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
    <w:name w:val="Style2"/>
    <w:uiPriority w:val="99"/>
    <w:rsid w:val="008441CB"/>
    <w:pPr>
      <w:numPr>
        <w:numId w:val="46"/>
      </w:numPr>
    </w:pPr>
  </w:style>
  <w:style w:type="numbering" w:customStyle="1" w:styleId="Style3">
    <w:name w:val="Style3"/>
    <w:uiPriority w:val="99"/>
    <w:rsid w:val="008441CB"/>
    <w:pPr>
      <w:numPr>
        <w:numId w:val="47"/>
      </w:numPr>
    </w:pPr>
  </w:style>
  <w:style w:type="numbering" w:customStyle="1" w:styleId="StyleStyle1BodyCSArial">
    <w:name w:val="Style Style1 + +Body CS (Arial)"/>
    <w:basedOn w:val="NoList"/>
    <w:rsid w:val="008441CB"/>
    <w:pPr>
      <w:numPr>
        <w:numId w:val="55"/>
      </w:numPr>
    </w:pPr>
  </w:style>
  <w:style w:type="numbering" w:customStyle="1" w:styleId="StyleStyleStyle1BodyCSArialOutlinenumberedBold">
    <w:name w:val="Style Style Style1 + +Body CS (Arial) + Outline numbered Bold"/>
    <w:basedOn w:val="NoList"/>
    <w:rsid w:val="008441CB"/>
    <w:pPr>
      <w:numPr>
        <w:numId w:val="56"/>
      </w:numPr>
    </w:pPr>
  </w:style>
  <w:style w:type="character" w:customStyle="1" w:styleId="StyleStrongLatinBodyCSArialComplexBodyCSArial">
    <w:name w:val="Style Strong + (Latin) +Body CS (Arial) (Complex) +Body CS (Arial)..."/>
    <w:basedOn w:val="Heading2Char"/>
    <w:rsid w:val="008441CB"/>
    <w:rPr>
      <w:rFonts w:asciiTheme="minorBidi" w:eastAsia="Calibri" w:hAnsiTheme="minorBidi" w:cstheme="minorBidi"/>
      <w:b/>
      <w:bCs w:val="0"/>
      <w:sz w:val="28"/>
      <w:szCs w:val="20"/>
      <w:lang w:eastAsia="en-GB"/>
    </w:rPr>
  </w:style>
  <w:style w:type="paragraph" w:styleId="BalloonText">
    <w:name w:val="Balloon Text"/>
    <w:basedOn w:val="Normal"/>
    <w:link w:val="BalloonTextChar"/>
    <w:uiPriority w:val="99"/>
    <w:semiHidden/>
    <w:unhideWhenUsed/>
    <w:rsid w:val="00844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1CB"/>
    <w:rPr>
      <w:rFonts w:ascii="Tahoma" w:hAnsi="Tahoma" w:cs="Tahoma"/>
      <w:sz w:val="16"/>
      <w:szCs w:val="16"/>
    </w:rPr>
  </w:style>
  <w:style w:type="character" w:styleId="CommentReference">
    <w:name w:val="annotation reference"/>
    <w:basedOn w:val="DefaultParagraphFont"/>
    <w:unhideWhenUsed/>
    <w:rsid w:val="00033813"/>
    <w:rPr>
      <w:sz w:val="16"/>
      <w:szCs w:val="16"/>
    </w:rPr>
  </w:style>
  <w:style w:type="paragraph" w:styleId="CommentText">
    <w:name w:val="annotation text"/>
    <w:basedOn w:val="Normal"/>
    <w:link w:val="CommentTextChar"/>
    <w:unhideWhenUsed/>
    <w:rsid w:val="00033813"/>
    <w:pPr>
      <w:spacing w:line="240" w:lineRule="auto"/>
      <w:jc w:val="both"/>
    </w:pPr>
    <w:rPr>
      <w:rFonts w:ascii="Times New Roman" w:eastAsia="Calibri" w:hAnsi="Times New Roman" w:cs="Times New Roman"/>
      <w:sz w:val="20"/>
      <w:szCs w:val="24"/>
    </w:rPr>
  </w:style>
  <w:style w:type="character" w:customStyle="1" w:styleId="CommentTextChar">
    <w:name w:val="Comment Text Char"/>
    <w:basedOn w:val="DefaultParagraphFont"/>
    <w:link w:val="CommentText"/>
    <w:uiPriority w:val="99"/>
    <w:rsid w:val="00033813"/>
    <w:rPr>
      <w:rFonts w:ascii="Times New Roman" w:eastAsia="Calibri" w:hAnsi="Times New Roman" w:cs="Times New Roman"/>
      <w:sz w:val="20"/>
      <w:szCs w:val="24"/>
    </w:rPr>
  </w:style>
  <w:style w:type="paragraph" w:styleId="NoSpacing">
    <w:name w:val="No Spacing"/>
    <w:link w:val="NoSpacingChar"/>
    <w:uiPriority w:val="1"/>
    <w:qFormat/>
    <w:rsid w:val="00B320B4"/>
    <w:pPr>
      <w:spacing w:after="0" w:line="240" w:lineRule="auto"/>
    </w:pPr>
    <w:rPr>
      <w:rFonts w:ascii="Times New Roman" w:eastAsia="Calibri" w:hAnsi="Times New Roman" w:cs="Arial"/>
      <w:sz w:val="24"/>
      <w:szCs w:val="22"/>
    </w:rPr>
  </w:style>
  <w:style w:type="numbering" w:customStyle="1" w:styleId="Style1">
    <w:name w:val="Style1"/>
    <w:uiPriority w:val="99"/>
    <w:rsid w:val="00B320B4"/>
    <w:pPr>
      <w:numPr>
        <w:numId w:val="57"/>
      </w:numPr>
    </w:pPr>
  </w:style>
  <w:style w:type="paragraph" w:styleId="ListBullet">
    <w:name w:val="List Bullet"/>
    <w:basedOn w:val="Normal"/>
    <w:uiPriority w:val="99"/>
    <w:unhideWhenUsed/>
    <w:rsid w:val="00B320B4"/>
    <w:pPr>
      <w:numPr>
        <w:numId w:val="58"/>
      </w:numPr>
      <w:spacing w:before="120" w:after="0" w:line="360" w:lineRule="auto"/>
      <w:contextualSpacing/>
      <w:jc w:val="both"/>
    </w:pPr>
    <w:rPr>
      <w:rFonts w:ascii="Times New Roman" w:eastAsiaTheme="minorEastAsia" w:hAnsi="Times New Roman" w:cs="Arial"/>
      <w:szCs w:val="24"/>
      <w:lang w:eastAsia="zh-CN"/>
    </w:rPr>
  </w:style>
  <w:style w:type="character" w:customStyle="1" w:styleId="NoSpacingChar">
    <w:name w:val="No Spacing Char"/>
    <w:basedOn w:val="DefaultParagraphFont"/>
    <w:link w:val="NoSpacing"/>
    <w:uiPriority w:val="1"/>
    <w:rsid w:val="00B320B4"/>
    <w:rPr>
      <w:rFonts w:ascii="Times New Roman" w:eastAsia="Calibri" w:hAnsi="Times New Roman" w:cs="Arial"/>
      <w:sz w:val="24"/>
      <w:szCs w:val="22"/>
    </w:rPr>
  </w:style>
  <w:style w:type="character" w:styleId="BookTitle">
    <w:name w:val="Book Title"/>
    <w:basedOn w:val="DefaultParagraphFont"/>
    <w:uiPriority w:val="33"/>
    <w:qFormat/>
    <w:rsid w:val="00B320B4"/>
    <w:rPr>
      <w:bCs/>
      <w:smallCaps/>
      <w:spacing w:val="5"/>
    </w:rPr>
  </w:style>
  <w:style w:type="paragraph" w:customStyle="1" w:styleId="table">
    <w:name w:val="table"/>
    <w:basedOn w:val="Normal"/>
    <w:link w:val="tableChar"/>
    <w:qFormat/>
    <w:rsid w:val="005F7577"/>
    <w:pPr>
      <w:keepNext/>
      <w:keepLines/>
      <w:spacing w:after="120" w:line="480" w:lineRule="auto"/>
    </w:pPr>
    <w:rPr>
      <w:rFonts w:eastAsia="Times New Roman" w:cs="Arial"/>
      <w:bCs/>
      <w:szCs w:val="22"/>
      <w:lang w:eastAsia="zh-CN"/>
    </w:rPr>
  </w:style>
  <w:style w:type="character" w:customStyle="1" w:styleId="tableChar">
    <w:name w:val="table Char"/>
    <w:basedOn w:val="DefaultParagraphFont"/>
    <w:link w:val="table"/>
    <w:rsid w:val="005F7577"/>
    <w:rPr>
      <w:rFonts w:asciiTheme="minorBidi" w:eastAsia="Times New Roman" w:hAnsiTheme="minorBidi" w:cs="Arial"/>
      <w:bCs/>
      <w:sz w:val="24"/>
      <w:szCs w:val="22"/>
      <w:lang w:eastAsia="zh-CN"/>
    </w:rPr>
  </w:style>
  <w:style w:type="paragraph" w:customStyle="1" w:styleId="Style5">
    <w:name w:val="Style5"/>
    <w:basedOn w:val="Heading2"/>
    <w:next w:val="ListNumber2"/>
    <w:autoRedefine/>
    <w:qFormat/>
    <w:rsid w:val="00B320B4"/>
    <w:pPr>
      <w:numPr>
        <w:ilvl w:val="0"/>
        <w:numId w:val="59"/>
      </w:numPr>
      <w:spacing w:before="360" w:after="240" w:line="360" w:lineRule="auto"/>
    </w:pPr>
    <w:rPr>
      <w:rFonts w:ascii="Arial" w:eastAsia="Calibri" w:hAnsi="Arial" w:cs="Arial"/>
      <w:bCs w:val="0"/>
      <w:sz w:val="28"/>
      <w:szCs w:val="24"/>
      <w:lang w:eastAsia="zh-CN"/>
    </w:rPr>
  </w:style>
  <w:style w:type="paragraph" w:styleId="ListNumber2">
    <w:name w:val="List Number 2"/>
    <w:basedOn w:val="Normal"/>
    <w:uiPriority w:val="99"/>
    <w:semiHidden/>
    <w:unhideWhenUsed/>
    <w:rsid w:val="00B320B4"/>
    <w:pPr>
      <w:tabs>
        <w:tab w:val="num" w:pos="360"/>
      </w:tabs>
      <w:ind w:left="360" w:hanging="360"/>
      <w:contextualSpacing/>
    </w:pPr>
  </w:style>
  <w:style w:type="numbering" w:customStyle="1" w:styleId="Style11">
    <w:name w:val="Style11"/>
    <w:uiPriority w:val="99"/>
    <w:rsid w:val="00726487"/>
  </w:style>
  <w:style w:type="paragraph" w:styleId="NormalWeb">
    <w:name w:val="Normal (Web)"/>
    <w:basedOn w:val="Normal"/>
    <w:uiPriority w:val="99"/>
    <w:rsid w:val="00AD5B1C"/>
    <w:pPr>
      <w:spacing w:line="360" w:lineRule="auto"/>
      <w:jc w:val="both"/>
    </w:pPr>
    <w:rPr>
      <w:rFonts w:ascii="Times New Roman" w:eastAsia="Times New Roman" w:hAnsi="Times New Roman" w:cs="Times New Roman"/>
      <w:szCs w:val="24"/>
    </w:rPr>
  </w:style>
  <w:style w:type="paragraph" w:styleId="BodyText2">
    <w:name w:val="Body Text 2"/>
    <w:basedOn w:val="Normal"/>
    <w:link w:val="BodyText2Char"/>
    <w:rsid w:val="00AD5B1C"/>
    <w:pPr>
      <w:spacing w:after="120" w:line="480" w:lineRule="auto"/>
      <w:jc w:val="both"/>
    </w:pPr>
    <w:rPr>
      <w:rFonts w:ascii="Arial" w:eastAsia="Times New Roman" w:hAnsi="Arial" w:cs="Arial"/>
      <w:szCs w:val="24"/>
      <w:lang w:eastAsia="zh-CN"/>
    </w:rPr>
  </w:style>
  <w:style w:type="character" w:customStyle="1" w:styleId="BodyText2Char">
    <w:name w:val="Body Text 2 Char"/>
    <w:basedOn w:val="DefaultParagraphFont"/>
    <w:link w:val="BodyText2"/>
    <w:rsid w:val="00AD5B1C"/>
    <w:rPr>
      <w:rFonts w:ascii="Arial" w:eastAsia="Times New Roman" w:hAnsi="Arial" w:cs="Arial"/>
      <w:sz w:val="24"/>
      <w:szCs w:val="24"/>
      <w:lang w:eastAsia="zh-CN"/>
    </w:rPr>
  </w:style>
  <w:style w:type="character" w:customStyle="1" w:styleId="italic">
    <w:name w:val="italic"/>
    <w:basedOn w:val="DefaultParagraphFont"/>
    <w:uiPriority w:val="99"/>
    <w:rsid w:val="00AD5B1C"/>
    <w:rPr>
      <w:rFonts w:cs="Times New Roman"/>
    </w:rPr>
  </w:style>
  <w:style w:type="character" w:customStyle="1" w:styleId="StyleStrongBodyCSArial14pt">
    <w:name w:val="Style Strong + +Body CS (Arial) 14 pt"/>
    <w:basedOn w:val="Strong"/>
    <w:rsid w:val="00AD5B1C"/>
    <w:rPr>
      <w:rFonts w:asciiTheme="minorBidi" w:eastAsia="Calibri" w:hAnsiTheme="minorBidi"/>
      <w:b w:val="0"/>
      <w:bCs/>
      <w:sz w:val="28"/>
    </w:rPr>
  </w:style>
  <w:style w:type="character" w:styleId="Strong">
    <w:name w:val="Strong"/>
    <w:basedOn w:val="DefaultParagraphFont"/>
    <w:uiPriority w:val="22"/>
    <w:qFormat/>
    <w:rsid w:val="00AD5B1C"/>
    <w:rPr>
      <w:b/>
      <w:bCs/>
    </w:rPr>
  </w:style>
  <w:style w:type="paragraph" w:customStyle="1" w:styleId="StyleHeading3Black">
    <w:name w:val="Style Heading 3 + Black"/>
    <w:basedOn w:val="Heading3"/>
    <w:next w:val="Normal"/>
    <w:link w:val="StyleHeading3BlackChar"/>
    <w:autoRedefine/>
    <w:qFormat/>
    <w:rsid w:val="00250F94"/>
    <w:pPr>
      <w:numPr>
        <w:ilvl w:val="0"/>
        <w:numId w:val="0"/>
      </w:numPr>
      <w:spacing w:before="360" w:after="240" w:line="360" w:lineRule="auto"/>
      <w:ind w:left="1780" w:hanging="504"/>
      <w:jc w:val="both"/>
    </w:pPr>
    <w:rPr>
      <w:rFonts w:ascii="Arial" w:eastAsia="Calibri" w:hAnsi="Arial" w:cs="Arial"/>
      <w:bCs w:val="0"/>
      <w:sz w:val="26"/>
      <w:szCs w:val="24"/>
      <w:lang w:eastAsia="zh-CN"/>
    </w:rPr>
  </w:style>
  <w:style w:type="character" w:customStyle="1" w:styleId="StyleHeading3BlackChar">
    <w:name w:val="Style Heading 3 + Black Char"/>
    <w:basedOn w:val="Heading3Char"/>
    <w:link w:val="StyleHeading3Black"/>
    <w:rsid w:val="00250F94"/>
    <w:rPr>
      <w:rFonts w:ascii="Arial" w:eastAsia="Calibri" w:hAnsi="Arial" w:cs="Arial"/>
      <w:b/>
      <w:bCs w:val="0"/>
      <w:sz w:val="26"/>
      <w:szCs w:val="24"/>
      <w:lang w:eastAsia="zh-CN"/>
    </w:rPr>
  </w:style>
  <w:style w:type="table" w:customStyle="1" w:styleId="TableGrid1">
    <w:name w:val="Table Grid1"/>
    <w:basedOn w:val="TableNormal"/>
    <w:next w:val="TableGrid"/>
    <w:uiPriority w:val="59"/>
    <w:rsid w:val="002F3F06"/>
    <w:pPr>
      <w:spacing w:after="0" w:line="240" w:lineRule="auto"/>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F3F06"/>
    <w:pPr>
      <w:spacing w:after="0" w:line="240" w:lineRule="auto"/>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rsid w:val="00C50D79"/>
    <w:pPr>
      <w:spacing w:after="0"/>
      <w:ind w:left="480" w:hanging="480"/>
    </w:pPr>
    <w:rPr>
      <w:rFonts w:asciiTheme="minorHAnsi" w:hAnsiTheme="minorHAnsi" w:cs="Times New Roman"/>
      <w:smallCaps/>
      <w:sz w:val="20"/>
      <w:szCs w:val="24"/>
    </w:rPr>
  </w:style>
  <w:style w:type="character" w:styleId="Hyperlink">
    <w:name w:val="Hyperlink"/>
    <w:basedOn w:val="DefaultParagraphFont"/>
    <w:uiPriority w:val="99"/>
    <w:unhideWhenUsed/>
    <w:rsid w:val="002F3F06"/>
    <w:rPr>
      <w:color w:val="0000FF" w:themeColor="hyperlink"/>
      <w:u w:val="single"/>
    </w:rPr>
  </w:style>
  <w:style w:type="table" w:customStyle="1" w:styleId="LightGrid-Accent41">
    <w:name w:val="Light Grid - Accent 41"/>
    <w:basedOn w:val="TableNormal"/>
    <w:uiPriority w:val="62"/>
    <w:rsid w:val="00805867"/>
    <w:pPr>
      <w:spacing w:after="0" w:line="240" w:lineRule="auto"/>
    </w:pPr>
    <w:rPr>
      <w:rFonts w:ascii="Corbel" w:eastAsia="Corbel" w:hAnsi="Corbel" w:cs="Tahoma"/>
      <w:sz w:val="22"/>
      <w:szCs w:val="22"/>
    </w:rPr>
    <w:tblPr>
      <w:tblStyleRowBandSize w:val="1"/>
      <w:tblStyleColBandSize w:val="1"/>
      <w:tblInd w:w="0" w:type="dxa"/>
      <w:tblBorders>
        <w:top w:val="single" w:sz="8" w:space="0" w:color="00ADDC"/>
        <w:left w:val="single" w:sz="8" w:space="0" w:color="00ADDC"/>
        <w:bottom w:val="single" w:sz="8" w:space="0" w:color="00ADDC"/>
        <w:right w:val="single" w:sz="8" w:space="0" w:color="00ADDC"/>
        <w:insideH w:val="single" w:sz="8" w:space="0" w:color="00ADDC"/>
        <w:insideV w:val="single" w:sz="8" w:space="0" w:color="00ADDC"/>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Batang" w:eastAsia="Times New Roman" w:hAnsi="@Batang" w:cs="Tahoma" w:hint="default"/>
        <w:b/>
        <w:bCs/>
      </w:rPr>
      <w:tblPr/>
      <w:tcPr>
        <w:tcBorders>
          <w:top w:val="single" w:sz="8" w:space="0" w:color="00ADDC"/>
          <w:left w:val="single" w:sz="8" w:space="0" w:color="00ADDC"/>
          <w:bottom w:val="single" w:sz="18" w:space="0" w:color="00ADDC"/>
          <w:right w:val="single" w:sz="8" w:space="0" w:color="00ADDC"/>
          <w:insideH w:val="nil"/>
          <w:insideV w:val="single" w:sz="8" w:space="0" w:color="00ADDC"/>
        </w:tcBorders>
      </w:tcPr>
    </w:tblStylePr>
    <w:tblStylePr w:type="lastRow">
      <w:pPr>
        <w:spacing w:beforeLines="0" w:before="0" w:beforeAutospacing="0" w:afterLines="0" w:after="0" w:afterAutospacing="0" w:line="240" w:lineRule="auto"/>
      </w:pPr>
      <w:rPr>
        <w:rFonts w:ascii="@Batang" w:eastAsia="Times New Roman" w:hAnsi="@Batang" w:cs="Tahoma" w:hint="default"/>
        <w:b/>
        <w:bCs/>
      </w:rPr>
      <w:tblPr/>
      <w:tcPr>
        <w:tcBorders>
          <w:top w:val="double" w:sz="6" w:space="0" w:color="00ADDC"/>
          <w:left w:val="single" w:sz="8" w:space="0" w:color="00ADDC"/>
          <w:bottom w:val="single" w:sz="8" w:space="0" w:color="00ADDC"/>
          <w:right w:val="single" w:sz="8" w:space="0" w:color="00ADDC"/>
          <w:insideH w:val="nil"/>
          <w:insideV w:val="single" w:sz="8" w:space="0" w:color="00ADDC"/>
        </w:tcBorders>
      </w:tcPr>
    </w:tblStylePr>
    <w:tblStylePr w:type="firstCol">
      <w:rPr>
        <w:rFonts w:ascii="@Batang" w:eastAsia="Times New Roman" w:hAnsi="@Batang" w:cs="Tahoma" w:hint="default"/>
        <w:b/>
        <w:bCs/>
      </w:rPr>
    </w:tblStylePr>
    <w:tblStylePr w:type="lastCol">
      <w:rPr>
        <w:rFonts w:ascii="@Batang" w:eastAsia="Times New Roman" w:hAnsi="@Batang" w:cs="Tahoma" w:hint="default"/>
        <w:b/>
        <w:bCs/>
      </w:rPr>
      <w:tblPr/>
      <w:tcPr>
        <w:tcBorders>
          <w:top w:val="single" w:sz="8" w:space="0" w:color="00ADDC"/>
          <w:left w:val="single" w:sz="8" w:space="0" w:color="00ADDC"/>
          <w:bottom w:val="single" w:sz="8" w:space="0" w:color="00ADDC"/>
          <w:right w:val="single" w:sz="8" w:space="0" w:color="00ADDC"/>
        </w:tcBorders>
      </w:tcPr>
    </w:tblStylePr>
    <w:tblStylePr w:type="band1Vert">
      <w:tblPr/>
      <w:tcPr>
        <w:tcBorders>
          <w:top w:val="single" w:sz="8" w:space="0" w:color="00ADDC"/>
          <w:left w:val="single" w:sz="8" w:space="0" w:color="00ADDC"/>
          <w:bottom w:val="single" w:sz="8" w:space="0" w:color="00ADDC"/>
          <w:right w:val="single" w:sz="8" w:space="0" w:color="00ADDC"/>
        </w:tcBorders>
        <w:shd w:val="clear" w:color="auto" w:fill="B7EFFF"/>
      </w:tcPr>
    </w:tblStylePr>
    <w:tblStylePr w:type="band1Horz">
      <w:tblPr/>
      <w:tcPr>
        <w:tcBorders>
          <w:top w:val="single" w:sz="8" w:space="0" w:color="00ADDC"/>
          <w:left w:val="single" w:sz="8" w:space="0" w:color="00ADDC"/>
          <w:bottom w:val="single" w:sz="8" w:space="0" w:color="00ADDC"/>
          <w:right w:val="single" w:sz="8" w:space="0" w:color="00ADDC"/>
          <w:insideV w:val="single" w:sz="8" w:space="0" w:color="00ADDC"/>
        </w:tcBorders>
        <w:shd w:val="clear" w:color="auto" w:fill="B7EFFF"/>
      </w:tcPr>
    </w:tblStylePr>
    <w:tblStylePr w:type="band2Horz">
      <w:tblPr/>
      <w:tcPr>
        <w:tcBorders>
          <w:top w:val="single" w:sz="8" w:space="0" w:color="00ADDC"/>
          <w:left w:val="single" w:sz="8" w:space="0" w:color="00ADDC"/>
          <w:bottom w:val="single" w:sz="8" w:space="0" w:color="00ADDC"/>
          <w:right w:val="single" w:sz="8" w:space="0" w:color="00ADDC"/>
          <w:insideV w:val="single" w:sz="8" w:space="0" w:color="00ADDC"/>
        </w:tcBorders>
      </w:tcPr>
    </w:tblStylePr>
  </w:style>
  <w:style w:type="table" w:styleId="TableGrid7">
    <w:name w:val="Table Grid 7"/>
    <w:basedOn w:val="TableNormal"/>
    <w:rsid w:val="00165E91"/>
    <w:pPr>
      <w:spacing w:after="120" w:line="360" w:lineRule="auto"/>
      <w:jc w:val="both"/>
    </w:pPr>
    <w:rPr>
      <w:rFonts w:ascii="Arial" w:eastAsia="Times New Roman" w:hAnsi="Arial" w:cs="Arial"/>
      <w:bCs/>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NoList1">
    <w:name w:val="No List1"/>
    <w:next w:val="NoList"/>
    <w:uiPriority w:val="99"/>
    <w:semiHidden/>
    <w:unhideWhenUsed/>
    <w:rsid w:val="00294F6F"/>
  </w:style>
  <w:style w:type="paragraph" w:customStyle="1" w:styleId="Subheading">
    <w:name w:val="Subheading"/>
    <w:basedOn w:val="Normal"/>
    <w:next w:val="Normal"/>
    <w:link w:val="SubheadingChar"/>
    <w:rsid w:val="00294F6F"/>
    <w:pPr>
      <w:keepNext/>
      <w:spacing w:before="120" w:after="0"/>
    </w:pPr>
    <w:rPr>
      <w:rFonts w:ascii="Arial" w:eastAsia="SimSun" w:hAnsi="Arial" w:cs="Arial"/>
      <w:b/>
      <w:szCs w:val="24"/>
      <w:lang w:eastAsia="zh-CN"/>
    </w:rPr>
  </w:style>
  <w:style w:type="character" w:customStyle="1" w:styleId="SubheadingChar">
    <w:name w:val="Subheading Char"/>
    <w:link w:val="Subheading"/>
    <w:rsid w:val="00294F6F"/>
    <w:rPr>
      <w:rFonts w:ascii="Arial" w:eastAsia="SimSun" w:hAnsi="Arial" w:cs="Arial"/>
      <w:b/>
      <w:sz w:val="24"/>
      <w:szCs w:val="24"/>
      <w:lang w:eastAsia="zh-CN"/>
    </w:rPr>
  </w:style>
  <w:style w:type="paragraph" w:styleId="Subtitle">
    <w:name w:val="Subtitle"/>
    <w:basedOn w:val="Normal"/>
    <w:next w:val="Normal"/>
    <w:link w:val="SubtitleChar"/>
    <w:autoRedefine/>
    <w:uiPriority w:val="11"/>
    <w:qFormat/>
    <w:rsid w:val="00294F6F"/>
    <w:pPr>
      <w:keepNext/>
      <w:numPr>
        <w:ilvl w:val="1"/>
      </w:numPr>
      <w:spacing w:before="120" w:after="0"/>
    </w:pPr>
    <w:rPr>
      <w:rFonts w:ascii="Arial" w:eastAsia="SimSun" w:hAnsi="Arial" w:cs="Arial"/>
      <w:iCs/>
      <w:spacing w:val="15"/>
      <w:sz w:val="28"/>
      <w:szCs w:val="24"/>
      <w:lang w:eastAsia="zh-CN"/>
    </w:rPr>
  </w:style>
  <w:style w:type="character" w:customStyle="1" w:styleId="SubtitleChar">
    <w:name w:val="Subtitle Char"/>
    <w:basedOn w:val="DefaultParagraphFont"/>
    <w:link w:val="Subtitle"/>
    <w:uiPriority w:val="11"/>
    <w:rsid w:val="00294F6F"/>
    <w:rPr>
      <w:rFonts w:ascii="Arial" w:eastAsia="SimSun" w:hAnsi="Arial" w:cs="Arial"/>
      <w:iCs/>
      <w:spacing w:val="15"/>
      <w:szCs w:val="24"/>
      <w:lang w:eastAsia="zh-CN"/>
    </w:rPr>
  </w:style>
  <w:style w:type="paragraph" w:styleId="Quote">
    <w:name w:val="Quote"/>
    <w:basedOn w:val="Normal"/>
    <w:next w:val="Normal"/>
    <w:link w:val="QuoteChar1"/>
    <w:uiPriority w:val="29"/>
    <w:qFormat/>
    <w:rsid w:val="00294F6F"/>
    <w:pPr>
      <w:spacing w:before="120" w:after="0"/>
      <w:ind w:left="794" w:right="794"/>
    </w:pPr>
    <w:rPr>
      <w:rFonts w:ascii="Arial" w:eastAsia="SimSun" w:hAnsi="Arial" w:cs="Arial"/>
      <w:i/>
      <w:iCs/>
      <w:szCs w:val="24"/>
      <w:lang w:eastAsia="zh-CN"/>
    </w:rPr>
  </w:style>
  <w:style w:type="character" w:customStyle="1" w:styleId="QuoteChar">
    <w:name w:val="Quote Char"/>
    <w:basedOn w:val="DefaultParagraphFont"/>
    <w:uiPriority w:val="29"/>
    <w:rsid w:val="00294F6F"/>
    <w:rPr>
      <w:rFonts w:asciiTheme="minorBidi" w:hAnsiTheme="minorBidi"/>
      <w:i/>
      <w:iCs/>
      <w:color w:val="000000" w:themeColor="text1"/>
      <w:sz w:val="24"/>
    </w:rPr>
  </w:style>
  <w:style w:type="character" w:customStyle="1" w:styleId="QuoteChar1">
    <w:name w:val="Quote Char1"/>
    <w:link w:val="Quote"/>
    <w:uiPriority w:val="29"/>
    <w:rsid w:val="00294F6F"/>
    <w:rPr>
      <w:rFonts w:ascii="Arial" w:eastAsia="SimSun" w:hAnsi="Arial" w:cs="Arial"/>
      <w:i/>
      <w:iCs/>
      <w:sz w:val="24"/>
      <w:szCs w:val="24"/>
      <w:lang w:eastAsia="zh-CN"/>
    </w:rPr>
  </w:style>
  <w:style w:type="paragraph" w:styleId="ListNumber">
    <w:name w:val="List Number"/>
    <w:basedOn w:val="Normal"/>
    <w:uiPriority w:val="99"/>
    <w:semiHidden/>
    <w:unhideWhenUsed/>
    <w:rsid w:val="00294F6F"/>
    <w:pPr>
      <w:numPr>
        <w:numId w:val="76"/>
      </w:numPr>
      <w:spacing w:before="120" w:after="0"/>
      <w:contextualSpacing/>
    </w:pPr>
    <w:rPr>
      <w:rFonts w:ascii="Arial" w:eastAsia="SimSun" w:hAnsi="Arial" w:cs="Arial"/>
      <w:szCs w:val="24"/>
      <w:lang w:eastAsia="zh-CN"/>
    </w:rPr>
  </w:style>
  <w:style w:type="character" w:styleId="IntenseEmphasis">
    <w:name w:val="Intense Emphasis"/>
    <w:uiPriority w:val="21"/>
    <w:qFormat/>
    <w:rsid w:val="00294F6F"/>
    <w:rPr>
      <w:b/>
      <w:bCs/>
      <w:i/>
      <w:iCs/>
      <w:color w:val="auto"/>
    </w:rPr>
  </w:style>
  <w:style w:type="paragraph" w:styleId="IntenseQuote">
    <w:name w:val="Intense Quote"/>
    <w:basedOn w:val="Normal"/>
    <w:next w:val="Normal"/>
    <w:link w:val="IntenseQuoteChar"/>
    <w:uiPriority w:val="30"/>
    <w:qFormat/>
    <w:rsid w:val="00294F6F"/>
    <w:pPr>
      <w:pBdr>
        <w:bottom w:val="single" w:sz="4" w:space="4" w:color="4F81BD"/>
      </w:pBdr>
      <w:spacing w:before="200" w:after="280"/>
      <w:ind w:left="936" w:right="936"/>
    </w:pPr>
    <w:rPr>
      <w:rFonts w:ascii="Arial" w:eastAsia="SimSun" w:hAnsi="Arial" w:cs="Arial"/>
      <w:b/>
      <w:bCs/>
      <w:i/>
      <w:iCs/>
      <w:szCs w:val="24"/>
      <w:lang w:eastAsia="zh-CN"/>
    </w:rPr>
  </w:style>
  <w:style w:type="character" w:customStyle="1" w:styleId="IntenseQuoteChar">
    <w:name w:val="Intense Quote Char"/>
    <w:basedOn w:val="DefaultParagraphFont"/>
    <w:link w:val="IntenseQuote"/>
    <w:uiPriority w:val="30"/>
    <w:rsid w:val="00294F6F"/>
    <w:rPr>
      <w:rFonts w:ascii="Arial" w:eastAsia="SimSun" w:hAnsi="Arial" w:cs="Arial"/>
      <w:b/>
      <w:bCs/>
      <w:i/>
      <w:iCs/>
      <w:sz w:val="24"/>
      <w:szCs w:val="24"/>
      <w:lang w:eastAsia="zh-CN"/>
    </w:rPr>
  </w:style>
  <w:style w:type="character" w:styleId="SubtleReference">
    <w:name w:val="Subtle Reference"/>
    <w:uiPriority w:val="31"/>
    <w:qFormat/>
    <w:rsid w:val="00294F6F"/>
    <w:rPr>
      <w:smallCaps/>
      <w:color w:val="auto"/>
      <w:u w:val="single"/>
    </w:rPr>
  </w:style>
  <w:style w:type="character" w:styleId="IntenseReference">
    <w:name w:val="Intense Reference"/>
    <w:uiPriority w:val="32"/>
    <w:qFormat/>
    <w:rsid w:val="00294F6F"/>
    <w:rPr>
      <w:b/>
      <w:bCs/>
      <w:smallCaps/>
      <w:color w:val="auto"/>
      <w:spacing w:val="5"/>
      <w:u w:val="single"/>
    </w:rPr>
  </w:style>
  <w:style w:type="paragraph" w:styleId="TOCHeading">
    <w:name w:val="TOC Heading"/>
    <w:basedOn w:val="Heading1"/>
    <w:next w:val="Normal"/>
    <w:uiPriority w:val="39"/>
    <w:semiHidden/>
    <w:unhideWhenUsed/>
    <w:qFormat/>
    <w:rsid w:val="00294F6F"/>
    <w:pPr>
      <w:outlineLvl w:val="9"/>
    </w:pPr>
    <w:rPr>
      <w:rFonts w:eastAsia="SimSun" w:cs="Times New Roman"/>
      <w:sz w:val="28"/>
      <w:lang w:eastAsia="zh-CN"/>
    </w:rPr>
  </w:style>
  <w:style w:type="paragraph" w:styleId="BlockText">
    <w:name w:val="Block Text"/>
    <w:basedOn w:val="Normal"/>
    <w:uiPriority w:val="99"/>
    <w:semiHidden/>
    <w:unhideWhenUsed/>
    <w:rsid w:val="00294F6F"/>
    <w:pPr>
      <w:pBdr>
        <w:top w:val="single" w:sz="2" w:space="10" w:color="auto" w:shadow="1"/>
        <w:left w:val="single" w:sz="2" w:space="10" w:color="auto" w:shadow="1"/>
        <w:bottom w:val="single" w:sz="2" w:space="10" w:color="auto" w:shadow="1"/>
        <w:right w:val="single" w:sz="2" w:space="10" w:color="auto" w:shadow="1"/>
      </w:pBdr>
      <w:spacing w:before="120" w:after="0"/>
      <w:ind w:left="1152" w:right="1152"/>
    </w:pPr>
    <w:rPr>
      <w:rFonts w:ascii="Arial" w:eastAsia="SimSun" w:hAnsi="Arial" w:cs="Arial"/>
      <w:i/>
      <w:iCs/>
      <w:szCs w:val="24"/>
      <w:lang w:eastAsia="zh-CN"/>
    </w:rPr>
  </w:style>
  <w:style w:type="character" w:styleId="PlaceholderText">
    <w:name w:val="Placeholder Text"/>
    <w:uiPriority w:val="99"/>
    <w:semiHidden/>
    <w:rsid w:val="00294F6F"/>
    <w:rPr>
      <w:color w:val="auto"/>
    </w:rPr>
  </w:style>
  <w:style w:type="paragraph" w:styleId="TOAHeading">
    <w:name w:val="toa heading"/>
    <w:basedOn w:val="Normal"/>
    <w:next w:val="Normal"/>
    <w:uiPriority w:val="99"/>
    <w:semiHidden/>
    <w:unhideWhenUsed/>
    <w:rsid w:val="00294F6F"/>
    <w:pPr>
      <w:spacing w:before="120" w:after="0"/>
    </w:pPr>
    <w:rPr>
      <w:rFonts w:ascii="Arial" w:eastAsia="SimSun" w:hAnsi="Arial" w:cs="Times New Roman"/>
      <w:b/>
      <w:bCs/>
      <w:sz w:val="28"/>
      <w:szCs w:val="24"/>
      <w:lang w:eastAsia="zh-CN"/>
    </w:rPr>
  </w:style>
  <w:style w:type="paragraph" w:styleId="PlainText">
    <w:name w:val="Plain Text"/>
    <w:basedOn w:val="Normal"/>
    <w:link w:val="PlainTextChar"/>
    <w:uiPriority w:val="99"/>
    <w:semiHidden/>
    <w:unhideWhenUsed/>
    <w:rsid w:val="00294F6F"/>
    <w:pPr>
      <w:spacing w:after="0" w:line="240" w:lineRule="auto"/>
    </w:pPr>
    <w:rPr>
      <w:rFonts w:ascii="Consolas" w:eastAsia="SimSun" w:hAnsi="Consolas" w:cs="Arial"/>
      <w:szCs w:val="21"/>
      <w:lang w:eastAsia="zh-CN"/>
    </w:rPr>
  </w:style>
  <w:style w:type="character" w:customStyle="1" w:styleId="PlainTextChar">
    <w:name w:val="Plain Text Char"/>
    <w:basedOn w:val="DefaultParagraphFont"/>
    <w:link w:val="PlainText"/>
    <w:uiPriority w:val="99"/>
    <w:semiHidden/>
    <w:rsid w:val="00294F6F"/>
    <w:rPr>
      <w:rFonts w:ascii="Consolas" w:eastAsia="SimSun" w:hAnsi="Consolas" w:cs="Arial"/>
      <w:sz w:val="24"/>
      <w:szCs w:val="21"/>
      <w:lang w:eastAsia="zh-CN"/>
    </w:rPr>
  </w:style>
  <w:style w:type="paragraph" w:styleId="BodyText3">
    <w:name w:val="Body Text 3"/>
    <w:basedOn w:val="Normal"/>
    <w:link w:val="BodyText3Char"/>
    <w:uiPriority w:val="99"/>
    <w:semiHidden/>
    <w:unhideWhenUsed/>
    <w:rsid w:val="00294F6F"/>
    <w:pPr>
      <w:spacing w:before="120" w:after="120"/>
    </w:pPr>
    <w:rPr>
      <w:rFonts w:ascii="Arial" w:eastAsia="SimSun" w:hAnsi="Arial" w:cs="Arial"/>
      <w:sz w:val="20"/>
      <w:szCs w:val="16"/>
      <w:lang w:eastAsia="zh-CN"/>
    </w:rPr>
  </w:style>
  <w:style w:type="character" w:customStyle="1" w:styleId="BodyText3Char">
    <w:name w:val="Body Text 3 Char"/>
    <w:basedOn w:val="DefaultParagraphFont"/>
    <w:link w:val="BodyText3"/>
    <w:uiPriority w:val="99"/>
    <w:semiHidden/>
    <w:rsid w:val="00294F6F"/>
    <w:rPr>
      <w:rFonts w:ascii="Arial" w:eastAsia="SimSun" w:hAnsi="Arial" w:cs="Arial"/>
      <w:sz w:val="20"/>
      <w:szCs w:val="16"/>
      <w:lang w:eastAsia="zh-CN"/>
    </w:rPr>
  </w:style>
  <w:style w:type="paragraph" w:styleId="BodyText">
    <w:name w:val="Body Text"/>
    <w:basedOn w:val="Normal"/>
    <w:link w:val="BodyTextChar"/>
    <w:uiPriority w:val="99"/>
    <w:semiHidden/>
    <w:unhideWhenUsed/>
    <w:rsid w:val="00294F6F"/>
    <w:pPr>
      <w:spacing w:before="120" w:after="120"/>
    </w:pPr>
    <w:rPr>
      <w:rFonts w:ascii="Arial" w:eastAsia="SimSun" w:hAnsi="Arial" w:cs="Arial"/>
      <w:szCs w:val="24"/>
      <w:lang w:eastAsia="zh-CN"/>
    </w:rPr>
  </w:style>
  <w:style w:type="character" w:customStyle="1" w:styleId="BodyTextChar">
    <w:name w:val="Body Text Char"/>
    <w:basedOn w:val="DefaultParagraphFont"/>
    <w:link w:val="BodyText"/>
    <w:uiPriority w:val="99"/>
    <w:semiHidden/>
    <w:rsid w:val="00294F6F"/>
    <w:rPr>
      <w:rFonts w:ascii="Arial" w:eastAsia="SimSun" w:hAnsi="Arial" w:cs="Arial"/>
      <w:sz w:val="24"/>
      <w:szCs w:val="24"/>
      <w:lang w:eastAsia="zh-CN"/>
    </w:rPr>
  </w:style>
  <w:style w:type="paragraph" w:styleId="BodyTextFirstIndent">
    <w:name w:val="Body Text First Indent"/>
    <w:basedOn w:val="BodyText"/>
    <w:link w:val="BodyTextFirstIndentChar"/>
    <w:uiPriority w:val="99"/>
    <w:unhideWhenUsed/>
    <w:rsid w:val="00294F6F"/>
    <w:pPr>
      <w:spacing w:after="320"/>
      <w:ind w:firstLine="360"/>
    </w:pPr>
  </w:style>
  <w:style w:type="character" w:customStyle="1" w:styleId="BodyTextFirstIndentChar">
    <w:name w:val="Body Text First Indent Char"/>
    <w:basedOn w:val="BodyTextChar"/>
    <w:link w:val="BodyTextFirstIndent"/>
    <w:uiPriority w:val="99"/>
    <w:rsid w:val="00294F6F"/>
    <w:rPr>
      <w:rFonts w:ascii="Arial" w:eastAsia="SimSun" w:hAnsi="Arial" w:cs="Arial"/>
      <w:sz w:val="24"/>
      <w:szCs w:val="24"/>
      <w:lang w:eastAsia="zh-CN"/>
    </w:rPr>
  </w:style>
  <w:style w:type="paragraph" w:styleId="BodyTextIndent3">
    <w:name w:val="Body Text Indent 3"/>
    <w:basedOn w:val="Normal"/>
    <w:link w:val="BodyTextIndent3Char"/>
    <w:uiPriority w:val="99"/>
    <w:unhideWhenUsed/>
    <w:rsid w:val="00294F6F"/>
    <w:pPr>
      <w:spacing w:before="120" w:after="120"/>
      <w:ind w:left="283"/>
    </w:pPr>
    <w:rPr>
      <w:rFonts w:ascii="Arial" w:eastAsia="SimSun" w:hAnsi="Arial" w:cs="Arial"/>
      <w:sz w:val="20"/>
      <w:szCs w:val="16"/>
      <w:lang w:eastAsia="zh-CN"/>
    </w:rPr>
  </w:style>
  <w:style w:type="character" w:customStyle="1" w:styleId="BodyTextIndent3Char">
    <w:name w:val="Body Text Indent 3 Char"/>
    <w:basedOn w:val="DefaultParagraphFont"/>
    <w:link w:val="BodyTextIndent3"/>
    <w:uiPriority w:val="99"/>
    <w:rsid w:val="00294F6F"/>
    <w:rPr>
      <w:rFonts w:ascii="Arial" w:eastAsia="SimSun" w:hAnsi="Arial" w:cs="Arial"/>
      <w:sz w:val="20"/>
      <w:szCs w:val="16"/>
      <w:lang w:eastAsia="zh-CN"/>
    </w:rPr>
  </w:style>
  <w:style w:type="paragraph" w:styleId="DocumentMap">
    <w:name w:val="Document Map"/>
    <w:basedOn w:val="Normal"/>
    <w:link w:val="DocumentMapChar"/>
    <w:uiPriority w:val="99"/>
    <w:semiHidden/>
    <w:unhideWhenUsed/>
    <w:rsid w:val="00294F6F"/>
    <w:pPr>
      <w:spacing w:after="0" w:line="240" w:lineRule="auto"/>
    </w:pPr>
    <w:rPr>
      <w:rFonts w:ascii="Arial" w:eastAsia="SimSun" w:hAnsi="Arial" w:cs="Tahoma"/>
      <w:szCs w:val="16"/>
      <w:lang w:eastAsia="zh-CN"/>
    </w:rPr>
  </w:style>
  <w:style w:type="character" w:customStyle="1" w:styleId="DocumentMapChar">
    <w:name w:val="Document Map Char"/>
    <w:basedOn w:val="DefaultParagraphFont"/>
    <w:link w:val="DocumentMap"/>
    <w:uiPriority w:val="99"/>
    <w:semiHidden/>
    <w:rsid w:val="00294F6F"/>
    <w:rPr>
      <w:rFonts w:ascii="Arial" w:eastAsia="SimSun" w:hAnsi="Arial" w:cs="Tahoma"/>
      <w:sz w:val="24"/>
      <w:szCs w:val="16"/>
      <w:lang w:eastAsia="zh-CN"/>
    </w:rPr>
  </w:style>
  <w:style w:type="paragraph" w:styleId="EndnoteText">
    <w:name w:val="endnote text"/>
    <w:basedOn w:val="Normal"/>
    <w:link w:val="EndnoteTextChar"/>
    <w:uiPriority w:val="99"/>
    <w:unhideWhenUsed/>
    <w:rsid w:val="00294F6F"/>
    <w:pPr>
      <w:spacing w:after="0" w:line="240" w:lineRule="auto"/>
    </w:pPr>
    <w:rPr>
      <w:rFonts w:ascii="Arial" w:eastAsia="SimSun" w:hAnsi="Arial" w:cs="Arial"/>
      <w:szCs w:val="20"/>
      <w:lang w:eastAsia="zh-CN"/>
    </w:rPr>
  </w:style>
  <w:style w:type="character" w:customStyle="1" w:styleId="EndnoteTextChar">
    <w:name w:val="Endnote Text Char"/>
    <w:basedOn w:val="DefaultParagraphFont"/>
    <w:link w:val="EndnoteText"/>
    <w:uiPriority w:val="99"/>
    <w:rsid w:val="00294F6F"/>
    <w:rPr>
      <w:rFonts w:ascii="Arial" w:eastAsia="SimSun" w:hAnsi="Arial" w:cs="Arial"/>
      <w:sz w:val="24"/>
      <w:szCs w:val="20"/>
      <w:lang w:eastAsia="zh-CN"/>
    </w:rPr>
  </w:style>
  <w:style w:type="character" w:styleId="Emphasis">
    <w:name w:val="Emphasis"/>
    <w:uiPriority w:val="20"/>
    <w:qFormat/>
    <w:rsid w:val="00294F6F"/>
    <w:rPr>
      <w:i/>
      <w:iCs/>
    </w:rPr>
  </w:style>
  <w:style w:type="paragraph" w:styleId="EnvelopeReturn">
    <w:name w:val="envelope return"/>
    <w:basedOn w:val="Normal"/>
    <w:uiPriority w:val="99"/>
    <w:semiHidden/>
    <w:unhideWhenUsed/>
    <w:rsid w:val="00294F6F"/>
    <w:pPr>
      <w:spacing w:after="0" w:line="240" w:lineRule="auto"/>
    </w:pPr>
    <w:rPr>
      <w:rFonts w:ascii="Arial" w:eastAsia="SimSun" w:hAnsi="Arial" w:cs="Times New Roman"/>
      <w:szCs w:val="20"/>
      <w:lang w:eastAsia="zh-CN"/>
    </w:rPr>
  </w:style>
  <w:style w:type="paragraph" w:styleId="MessageHeader">
    <w:name w:val="Message Header"/>
    <w:basedOn w:val="Normal"/>
    <w:link w:val="MessageHeaderChar"/>
    <w:uiPriority w:val="99"/>
    <w:semiHidden/>
    <w:unhideWhenUsed/>
    <w:rsid w:val="00294F6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zCs w:val="24"/>
      <w:lang w:eastAsia="zh-CN"/>
    </w:rPr>
  </w:style>
  <w:style w:type="character" w:customStyle="1" w:styleId="MessageHeaderChar">
    <w:name w:val="Message Header Char"/>
    <w:basedOn w:val="DefaultParagraphFont"/>
    <w:link w:val="MessageHeader"/>
    <w:uiPriority w:val="99"/>
    <w:semiHidden/>
    <w:rsid w:val="00294F6F"/>
    <w:rPr>
      <w:rFonts w:ascii="Arial" w:eastAsia="SimSun" w:hAnsi="Arial" w:cs="Times New Roman"/>
      <w:sz w:val="24"/>
      <w:szCs w:val="24"/>
      <w:shd w:val="pct20" w:color="auto" w:fill="auto"/>
      <w:lang w:eastAsia="zh-CN"/>
    </w:rPr>
  </w:style>
  <w:style w:type="paragraph" w:styleId="Index1">
    <w:name w:val="index 1"/>
    <w:basedOn w:val="Normal"/>
    <w:next w:val="Normal"/>
    <w:autoRedefine/>
    <w:uiPriority w:val="99"/>
    <w:semiHidden/>
    <w:unhideWhenUsed/>
    <w:rsid w:val="00294F6F"/>
    <w:pPr>
      <w:spacing w:after="0" w:line="240" w:lineRule="auto"/>
      <w:ind w:left="240" w:hanging="240"/>
    </w:pPr>
    <w:rPr>
      <w:rFonts w:ascii="Arial" w:eastAsia="SimSun" w:hAnsi="Arial" w:cs="Arial"/>
      <w:szCs w:val="24"/>
      <w:lang w:eastAsia="zh-CN"/>
    </w:rPr>
  </w:style>
  <w:style w:type="paragraph" w:styleId="IndexHeading">
    <w:name w:val="index heading"/>
    <w:basedOn w:val="Normal"/>
    <w:next w:val="Index1"/>
    <w:uiPriority w:val="99"/>
    <w:semiHidden/>
    <w:unhideWhenUsed/>
    <w:rsid w:val="00294F6F"/>
    <w:pPr>
      <w:spacing w:before="120" w:after="0"/>
    </w:pPr>
    <w:rPr>
      <w:rFonts w:ascii="Arial" w:eastAsia="SimSun" w:hAnsi="Arial" w:cs="Times New Roman"/>
      <w:b/>
      <w:bCs/>
      <w:szCs w:val="24"/>
      <w:lang w:eastAsia="zh-CN"/>
    </w:rPr>
  </w:style>
  <w:style w:type="table" w:customStyle="1" w:styleId="TableGrid3">
    <w:name w:val="Table Grid3"/>
    <w:basedOn w:val="TableNormal"/>
    <w:next w:val="TableGrid"/>
    <w:uiPriority w:val="59"/>
    <w:rsid w:val="00294F6F"/>
    <w:pPr>
      <w:spacing w:after="0" w:line="240" w:lineRule="auto"/>
    </w:pPr>
    <w:rPr>
      <w:rFonts w:ascii="Arial" w:eastAsia="SimSun" w:hAnsi="Arial" w:cs="Arial"/>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294F6F"/>
    <w:pPr>
      <w:spacing w:before="120" w:after="0"/>
      <w:jc w:val="left"/>
    </w:pPr>
    <w:rPr>
      <w:rFonts w:ascii="Arial" w:eastAsia="SimSun" w:hAnsi="Arial" w:cs="Arial"/>
      <w:b/>
      <w:bCs/>
      <w:szCs w:val="20"/>
      <w:lang w:eastAsia="zh-CN"/>
    </w:rPr>
  </w:style>
  <w:style w:type="character" w:customStyle="1" w:styleId="CommentSubjectChar">
    <w:name w:val="Comment Subject Char"/>
    <w:basedOn w:val="CommentTextChar"/>
    <w:link w:val="CommentSubject"/>
    <w:uiPriority w:val="99"/>
    <w:semiHidden/>
    <w:rsid w:val="00294F6F"/>
    <w:rPr>
      <w:rFonts w:ascii="Arial" w:eastAsia="SimSun" w:hAnsi="Arial" w:cs="Arial"/>
      <w:b/>
      <w:bCs/>
      <w:sz w:val="20"/>
      <w:szCs w:val="20"/>
      <w:lang w:eastAsia="zh-CN"/>
    </w:rPr>
  </w:style>
  <w:style w:type="character" w:customStyle="1" w:styleId="st">
    <w:name w:val="st"/>
    <w:basedOn w:val="DefaultParagraphFont"/>
    <w:rsid w:val="00294F6F"/>
  </w:style>
  <w:style w:type="table" w:customStyle="1" w:styleId="TableGrid11">
    <w:name w:val="Table Grid11"/>
    <w:basedOn w:val="TableNormal"/>
    <w:next w:val="TableGrid"/>
    <w:uiPriority w:val="59"/>
    <w:rsid w:val="00EC38E2"/>
    <w:pPr>
      <w:spacing w:after="0" w:line="240" w:lineRule="auto"/>
    </w:pPr>
    <w:rPr>
      <w:rFonts w:ascii="Arial" w:eastAsia="Times New Roman" w:hAnsi="Arial" w:cs="Arial"/>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EC38E2"/>
    <w:pPr>
      <w:spacing w:after="0" w:line="240" w:lineRule="auto"/>
    </w:pPr>
    <w:rPr>
      <w:rFonts w:ascii="Arial" w:eastAsia="Times New Roman" w:hAnsi="Arial" w:cs="Arial"/>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82607"/>
    <w:pPr>
      <w:tabs>
        <w:tab w:val="center" w:pos="4153"/>
        <w:tab w:val="right" w:pos="8306"/>
      </w:tabs>
      <w:spacing w:after="0" w:line="240" w:lineRule="auto"/>
    </w:pPr>
  </w:style>
  <w:style w:type="character" w:customStyle="1" w:styleId="FooterChar">
    <w:name w:val="Footer Char"/>
    <w:basedOn w:val="DefaultParagraphFont"/>
    <w:link w:val="Footer"/>
    <w:uiPriority w:val="99"/>
    <w:rsid w:val="00D82607"/>
    <w:rPr>
      <w:rFonts w:asciiTheme="minorBidi" w:hAnsiTheme="minorBidi"/>
      <w:sz w:val="24"/>
    </w:rPr>
  </w:style>
  <w:style w:type="character" w:customStyle="1" w:styleId="CaptionChar">
    <w:name w:val="Caption Char"/>
    <w:basedOn w:val="DefaultParagraphFont"/>
    <w:rsid w:val="001D3F19"/>
    <w:rPr>
      <w:rFonts w:ascii="Arial" w:hAnsi="Arial" w:cs="Arial"/>
      <w:bCs/>
      <w:noProof/>
      <w:sz w:val="24"/>
      <w:szCs w:val="24"/>
      <w:lang w:eastAsia="zh-CN"/>
    </w:rPr>
  </w:style>
  <w:style w:type="character" w:customStyle="1" w:styleId="articlealttitle1">
    <w:name w:val="articlealttitle1"/>
    <w:basedOn w:val="DefaultParagraphFont"/>
    <w:rsid w:val="006A4877"/>
    <w:rPr>
      <w:sz w:val="24"/>
      <w:szCs w:val="24"/>
      <w:bdr w:val="none" w:sz="0" w:space="0" w:color="auto" w:frame="1"/>
      <w:vertAlign w:val="baseline"/>
    </w:rPr>
  </w:style>
  <w:style w:type="paragraph" w:styleId="TOC1">
    <w:name w:val="toc 1"/>
    <w:basedOn w:val="Normal"/>
    <w:next w:val="Normal"/>
    <w:autoRedefine/>
    <w:uiPriority w:val="39"/>
    <w:unhideWhenUsed/>
    <w:qFormat/>
    <w:rsid w:val="00F85233"/>
    <w:pPr>
      <w:spacing w:after="100"/>
    </w:pPr>
  </w:style>
  <w:style w:type="paragraph" w:styleId="TOC2">
    <w:name w:val="toc 2"/>
    <w:basedOn w:val="Normal"/>
    <w:next w:val="Normal"/>
    <w:autoRedefine/>
    <w:uiPriority w:val="39"/>
    <w:unhideWhenUsed/>
    <w:rsid w:val="00F85233"/>
    <w:pPr>
      <w:tabs>
        <w:tab w:val="left" w:pos="880"/>
        <w:tab w:val="right" w:leader="dot" w:pos="9016"/>
      </w:tabs>
      <w:spacing w:after="100"/>
      <w:ind w:left="240"/>
    </w:pPr>
  </w:style>
  <w:style w:type="paragraph" w:styleId="TOC3">
    <w:name w:val="toc 3"/>
    <w:basedOn w:val="Normal"/>
    <w:next w:val="Normal"/>
    <w:autoRedefine/>
    <w:uiPriority w:val="39"/>
    <w:unhideWhenUsed/>
    <w:rsid w:val="000D083C"/>
    <w:pPr>
      <w:spacing w:after="100"/>
      <w:ind w:left="480"/>
    </w:pPr>
  </w:style>
  <w:style w:type="paragraph" w:styleId="TOC4">
    <w:name w:val="toc 4"/>
    <w:basedOn w:val="Normal"/>
    <w:next w:val="Normal"/>
    <w:autoRedefine/>
    <w:uiPriority w:val="39"/>
    <w:unhideWhenUsed/>
    <w:rsid w:val="000D083C"/>
    <w:pPr>
      <w:spacing w:after="100"/>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0D083C"/>
    <w:pPr>
      <w:spacing w:after="100"/>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0D083C"/>
    <w:pPr>
      <w:spacing w:after="100"/>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0D083C"/>
    <w:pPr>
      <w:spacing w:after="100"/>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0D083C"/>
    <w:pPr>
      <w:spacing w:after="100"/>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0D083C"/>
    <w:pPr>
      <w:spacing w:after="100"/>
      <w:ind w:left="1760"/>
    </w:pPr>
    <w:rPr>
      <w:rFonts w:asciiTheme="minorHAnsi" w:eastAsiaTheme="minorEastAsia" w:hAnsiTheme="minorHAnsi" w:cstheme="minorBidi"/>
      <w:sz w:val="22"/>
      <w:szCs w:val="22"/>
      <w:lang w:eastAsia="en-GB"/>
    </w:rPr>
  </w:style>
  <w:style w:type="character" w:styleId="EndnoteReference">
    <w:name w:val="endnote reference"/>
    <w:basedOn w:val="DefaultParagraphFont"/>
    <w:uiPriority w:val="99"/>
    <w:semiHidden/>
    <w:unhideWhenUsed/>
    <w:rsid w:val="003F3689"/>
    <w:rPr>
      <w:vertAlign w:val="superscript"/>
    </w:rPr>
  </w:style>
  <w:style w:type="paragraph" w:styleId="Caption">
    <w:name w:val="caption"/>
    <w:basedOn w:val="Normal"/>
    <w:next w:val="Normal"/>
    <w:unhideWhenUsed/>
    <w:qFormat/>
    <w:rsid w:val="00A40948"/>
    <w:pPr>
      <w:spacing w:line="480" w:lineRule="auto"/>
    </w:pPr>
    <w:rPr>
      <w:bCs/>
      <w:szCs w:val="18"/>
    </w:rPr>
  </w:style>
  <w:style w:type="numbering" w:customStyle="1" w:styleId="WWOutlineListStyle">
    <w:name w:val="WW_OutlineListStyle"/>
    <w:basedOn w:val="NoList"/>
    <w:rsid w:val="00261231"/>
    <w:pPr>
      <w:numPr>
        <w:numId w:val="94"/>
      </w:numPr>
    </w:pPr>
  </w:style>
  <w:style w:type="numbering" w:customStyle="1" w:styleId="WWOutlineListStyle1">
    <w:name w:val="WW_OutlineListStyle1"/>
    <w:basedOn w:val="NoList"/>
    <w:rsid w:val="00C07655"/>
  </w:style>
  <w:style w:type="paragraph" w:customStyle="1" w:styleId="Default">
    <w:name w:val="Default"/>
    <w:rsid w:val="0064671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Al-Kharashi 11"/>
        <w:sz w:val="28"/>
        <w:szCs w:val="28"/>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able of figures"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Outline List 2" w:uiPriority="0"/>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952"/>
    <w:rPr>
      <w:rFonts w:asciiTheme="minorBidi" w:hAnsiTheme="minorBidi"/>
      <w:sz w:val="24"/>
    </w:rPr>
  </w:style>
  <w:style w:type="paragraph" w:styleId="Heading1">
    <w:name w:val="heading 1"/>
    <w:basedOn w:val="Normal"/>
    <w:next w:val="Normal"/>
    <w:link w:val="Heading1Char"/>
    <w:qFormat/>
    <w:rsid w:val="000A1EEA"/>
    <w:pPr>
      <w:keepNext/>
      <w:keepLines/>
      <w:numPr>
        <w:numId w:val="78"/>
      </w:numPr>
      <w:spacing w:before="480" w:after="0" w:line="360" w:lineRule="auto"/>
      <w:ind w:left="360"/>
      <w:outlineLvl w:val="0"/>
    </w:pPr>
    <w:rPr>
      <w:rFonts w:ascii="Arial" w:eastAsiaTheme="majorEastAsia" w:hAnsi="Arial" w:cs="Arial"/>
      <w:b/>
      <w:bCs/>
      <w:sz w:val="36"/>
      <w:szCs w:val="44"/>
    </w:rPr>
  </w:style>
  <w:style w:type="paragraph" w:styleId="Heading2">
    <w:name w:val="heading 2"/>
    <w:basedOn w:val="ListNumber2"/>
    <w:next w:val="Normal"/>
    <w:link w:val="Heading2Char"/>
    <w:autoRedefine/>
    <w:unhideWhenUsed/>
    <w:qFormat/>
    <w:rsid w:val="00B7220D"/>
    <w:pPr>
      <w:keepLines/>
      <w:numPr>
        <w:ilvl w:val="1"/>
        <w:numId w:val="1"/>
      </w:numPr>
      <w:spacing w:before="200" w:line="480" w:lineRule="auto"/>
      <w:outlineLvl w:val="1"/>
    </w:pPr>
    <w:rPr>
      <w:rFonts w:eastAsiaTheme="majorEastAsia"/>
      <w:b/>
      <w:bCs/>
      <w:sz w:val="32"/>
      <w:szCs w:val="26"/>
      <w:lang w:eastAsia="en-GB"/>
    </w:rPr>
  </w:style>
  <w:style w:type="paragraph" w:styleId="Heading3">
    <w:name w:val="heading 3"/>
    <w:basedOn w:val="Normal"/>
    <w:next w:val="Normal"/>
    <w:link w:val="Heading3Char"/>
    <w:unhideWhenUsed/>
    <w:qFormat/>
    <w:rsid w:val="00313233"/>
    <w:pPr>
      <w:keepNext/>
      <w:keepLines/>
      <w:numPr>
        <w:ilvl w:val="2"/>
        <w:numId w:val="1"/>
      </w:numPr>
      <w:spacing w:before="320" w:after="120"/>
      <w:ind w:left="720"/>
      <w:outlineLvl w:val="2"/>
    </w:pPr>
    <w:rPr>
      <w:rFonts w:eastAsiaTheme="majorEastAsia"/>
      <w:b/>
      <w:bCs/>
      <w:sz w:val="28"/>
    </w:rPr>
  </w:style>
  <w:style w:type="paragraph" w:styleId="Heading4">
    <w:name w:val="heading 4"/>
    <w:basedOn w:val="Normal"/>
    <w:next w:val="Normal"/>
    <w:link w:val="Heading4Char"/>
    <w:unhideWhenUsed/>
    <w:qFormat/>
    <w:rsid w:val="00F32858"/>
    <w:pPr>
      <w:keepNext/>
      <w:keepLines/>
      <w:numPr>
        <w:ilvl w:val="3"/>
        <w:numId w:val="1"/>
      </w:numPr>
      <w:spacing w:before="200" w:after="0"/>
      <w:outlineLvl w:val="3"/>
    </w:pPr>
    <w:rPr>
      <w:rFonts w:eastAsiaTheme="majorEastAsia" w:cstheme="majorBidi"/>
      <w:b/>
      <w:bCs/>
      <w:iCs/>
    </w:rPr>
  </w:style>
  <w:style w:type="paragraph" w:styleId="Heading5">
    <w:name w:val="heading 5"/>
    <w:basedOn w:val="Normal"/>
    <w:next w:val="Normal"/>
    <w:link w:val="Heading5Char"/>
    <w:unhideWhenUsed/>
    <w:qFormat/>
    <w:rsid w:val="002559E1"/>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nhideWhenUsed/>
    <w:qFormat/>
    <w:rsid w:val="002559E1"/>
    <w:pPr>
      <w:keepNext/>
      <w:keepLines/>
      <w:numPr>
        <w:ilvl w:val="5"/>
        <w:numId w:val="1"/>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nhideWhenUsed/>
    <w:qFormat/>
    <w:rsid w:val="002559E1"/>
    <w:pPr>
      <w:keepNext/>
      <w:keepLines/>
      <w:numPr>
        <w:ilvl w:val="6"/>
        <w:numId w:val="1"/>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nhideWhenUsed/>
    <w:qFormat/>
    <w:rsid w:val="002559E1"/>
    <w:pPr>
      <w:keepNext/>
      <w:keepLines/>
      <w:numPr>
        <w:ilvl w:val="7"/>
        <w:numId w:val="1"/>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nhideWhenUsed/>
    <w:qFormat/>
    <w:rsid w:val="002559E1"/>
    <w:pPr>
      <w:keepNext/>
      <w:keepLines/>
      <w:numPr>
        <w:ilvl w:val="8"/>
        <w:numId w:val="1"/>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1EEA"/>
    <w:rPr>
      <w:rFonts w:ascii="Arial" w:eastAsiaTheme="majorEastAsia" w:hAnsi="Arial" w:cs="Arial"/>
      <w:b/>
      <w:bCs/>
      <w:sz w:val="36"/>
      <w:szCs w:val="44"/>
    </w:rPr>
  </w:style>
  <w:style w:type="character" w:customStyle="1" w:styleId="Heading2Char">
    <w:name w:val="Heading 2 Char"/>
    <w:basedOn w:val="DefaultParagraphFont"/>
    <w:link w:val="Heading2"/>
    <w:rsid w:val="00B7220D"/>
    <w:rPr>
      <w:rFonts w:asciiTheme="minorBidi" w:eastAsiaTheme="majorEastAsia" w:hAnsiTheme="minorBidi"/>
      <w:b/>
      <w:bCs/>
      <w:sz w:val="32"/>
      <w:szCs w:val="26"/>
      <w:lang w:eastAsia="en-GB"/>
    </w:rPr>
  </w:style>
  <w:style w:type="character" w:customStyle="1" w:styleId="Heading3Char">
    <w:name w:val="Heading 3 Char"/>
    <w:basedOn w:val="DefaultParagraphFont"/>
    <w:link w:val="Heading3"/>
    <w:rsid w:val="00313233"/>
    <w:rPr>
      <w:rFonts w:asciiTheme="minorBidi" w:eastAsiaTheme="majorEastAsia" w:hAnsiTheme="minorBidi"/>
      <w:b/>
      <w:bCs/>
    </w:rPr>
  </w:style>
  <w:style w:type="paragraph" w:styleId="ListParagraph">
    <w:name w:val="List Paragraph"/>
    <w:basedOn w:val="Normal"/>
    <w:uiPriority w:val="34"/>
    <w:qFormat/>
    <w:rsid w:val="00AE35C7"/>
    <w:pPr>
      <w:ind w:left="720"/>
      <w:contextualSpacing/>
    </w:pPr>
  </w:style>
  <w:style w:type="character" w:customStyle="1" w:styleId="Heading4Char">
    <w:name w:val="Heading 4 Char"/>
    <w:basedOn w:val="DefaultParagraphFont"/>
    <w:link w:val="Heading4"/>
    <w:rsid w:val="00F32858"/>
    <w:rPr>
      <w:rFonts w:asciiTheme="minorBidi" w:eastAsiaTheme="majorEastAsia" w:hAnsiTheme="minorBidi" w:cstheme="majorBidi"/>
      <w:b/>
      <w:bCs/>
      <w:iCs/>
      <w:sz w:val="24"/>
    </w:rPr>
  </w:style>
  <w:style w:type="character" w:customStyle="1" w:styleId="Heading5Char">
    <w:name w:val="Heading 5 Char"/>
    <w:basedOn w:val="DefaultParagraphFont"/>
    <w:link w:val="Heading5"/>
    <w:rsid w:val="002559E1"/>
    <w:rPr>
      <w:rFonts w:asciiTheme="minorBidi" w:eastAsiaTheme="majorEastAsia" w:hAnsiTheme="minorBidi" w:cstheme="majorBidi"/>
      <w:color w:val="243F60" w:themeColor="accent1" w:themeShade="7F"/>
      <w:sz w:val="24"/>
    </w:rPr>
  </w:style>
  <w:style w:type="character" w:customStyle="1" w:styleId="Heading6Char">
    <w:name w:val="Heading 6 Char"/>
    <w:basedOn w:val="DefaultParagraphFont"/>
    <w:link w:val="Heading6"/>
    <w:rsid w:val="002559E1"/>
    <w:rPr>
      <w:rFonts w:asciiTheme="minorBidi" w:eastAsiaTheme="majorEastAsia" w:hAnsiTheme="minorBidi" w:cstheme="majorBidi"/>
      <w:i/>
      <w:iCs/>
      <w:color w:val="243F60" w:themeColor="accent1" w:themeShade="7F"/>
      <w:sz w:val="24"/>
    </w:rPr>
  </w:style>
  <w:style w:type="character" w:customStyle="1" w:styleId="Heading7Char">
    <w:name w:val="Heading 7 Char"/>
    <w:basedOn w:val="DefaultParagraphFont"/>
    <w:link w:val="Heading7"/>
    <w:rsid w:val="002559E1"/>
    <w:rPr>
      <w:rFonts w:asciiTheme="minorBidi" w:eastAsiaTheme="majorEastAsia" w:hAnsiTheme="minorBidi" w:cstheme="majorBidi"/>
      <w:i/>
      <w:iCs/>
      <w:color w:val="404040" w:themeColor="text1" w:themeTint="BF"/>
      <w:sz w:val="24"/>
    </w:rPr>
  </w:style>
  <w:style w:type="character" w:customStyle="1" w:styleId="Heading8Char">
    <w:name w:val="Heading 8 Char"/>
    <w:basedOn w:val="DefaultParagraphFont"/>
    <w:link w:val="Heading8"/>
    <w:rsid w:val="002559E1"/>
    <w:rPr>
      <w:rFonts w:asciiTheme="minorBidi" w:eastAsiaTheme="majorEastAsia" w:hAnsiTheme="minorBidi" w:cstheme="majorBidi"/>
      <w:color w:val="404040" w:themeColor="text1" w:themeTint="BF"/>
      <w:sz w:val="20"/>
      <w:szCs w:val="20"/>
    </w:rPr>
  </w:style>
  <w:style w:type="character" w:customStyle="1" w:styleId="Heading9Char">
    <w:name w:val="Heading 9 Char"/>
    <w:basedOn w:val="DefaultParagraphFont"/>
    <w:link w:val="Heading9"/>
    <w:rsid w:val="002559E1"/>
    <w:rPr>
      <w:rFonts w:asciiTheme="minorBidi" w:eastAsiaTheme="majorEastAsia" w:hAnsiTheme="minorBidi" w:cstheme="majorBidi"/>
      <w:i/>
      <w:iCs/>
      <w:color w:val="404040" w:themeColor="text1" w:themeTint="BF"/>
      <w:sz w:val="20"/>
      <w:szCs w:val="20"/>
    </w:rPr>
  </w:style>
  <w:style w:type="paragraph" w:styleId="Title">
    <w:name w:val="Title"/>
    <w:basedOn w:val="Normal"/>
    <w:next w:val="Normal"/>
    <w:link w:val="TitleChar"/>
    <w:uiPriority w:val="10"/>
    <w:qFormat/>
    <w:rsid w:val="007D689C"/>
    <w:pPr>
      <w:pBdr>
        <w:bottom w:val="single" w:sz="8" w:space="4" w:color="4F81BD" w:themeColor="accent1"/>
      </w:pBdr>
      <w:spacing w:after="300" w:line="240" w:lineRule="auto"/>
      <w:contextualSpacing/>
    </w:pPr>
    <w:rPr>
      <w:rFonts w:eastAsiaTheme="majorEastAsia" w:cstheme="majorBidi"/>
      <w:b/>
      <w:spacing w:val="5"/>
      <w:kern w:val="28"/>
      <w:sz w:val="40"/>
      <w:szCs w:val="52"/>
    </w:rPr>
  </w:style>
  <w:style w:type="character" w:customStyle="1" w:styleId="TitleChar">
    <w:name w:val="Title Char"/>
    <w:basedOn w:val="DefaultParagraphFont"/>
    <w:link w:val="Title"/>
    <w:uiPriority w:val="10"/>
    <w:rsid w:val="007D689C"/>
    <w:rPr>
      <w:rFonts w:asciiTheme="minorBidi" w:eastAsiaTheme="majorEastAsia" w:hAnsiTheme="minorBidi" w:cstheme="majorBidi"/>
      <w:b/>
      <w:spacing w:val="5"/>
      <w:kern w:val="28"/>
      <w:sz w:val="40"/>
      <w:szCs w:val="52"/>
    </w:rPr>
  </w:style>
  <w:style w:type="numbering" w:customStyle="1" w:styleId="StyleStyle1LatinBodyCSArialComplexBodyCSArial">
    <w:name w:val="Style Style1 + (Latin) +Body CS (Arial) (Complex) +Body CS (Arial)..."/>
    <w:basedOn w:val="NoList"/>
    <w:rsid w:val="009142AE"/>
    <w:pPr>
      <w:numPr>
        <w:numId w:val="2"/>
      </w:numPr>
    </w:pPr>
  </w:style>
  <w:style w:type="numbering" w:styleId="111111">
    <w:name w:val="Outline List 2"/>
    <w:basedOn w:val="NoList"/>
    <w:rsid w:val="009142AE"/>
    <w:pPr>
      <w:numPr>
        <w:numId w:val="44"/>
      </w:numPr>
    </w:pPr>
  </w:style>
  <w:style w:type="paragraph" w:styleId="Header">
    <w:name w:val="header"/>
    <w:link w:val="HeaderChar"/>
    <w:uiPriority w:val="99"/>
    <w:rsid w:val="008441CB"/>
    <w:pPr>
      <w:spacing w:after="0" w:line="240" w:lineRule="atLeast"/>
      <w:jc w:val="center"/>
    </w:pPr>
    <w:rPr>
      <w:rFonts w:ascii="Arial" w:eastAsia="Times New Roman" w:hAnsi="Arial" w:cs="Arial"/>
      <w:sz w:val="24"/>
      <w:szCs w:val="20"/>
      <w:lang w:eastAsia="zh-CN"/>
    </w:rPr>
  </w:style>
  <w:style w:type="character" w:customStyle="1" w:styleId="HeaderChar">
    <w:name w:val="Header Char"/>
    <w:basedOn w:val="DefaultParagraphFont"/>
    <w:link w:val="Header"/>
    <w:uiPriority w:val="99"/>
    <w:rsid w:val="008441CB"/>
    <w:rPr>
      <w:rFonts w:ascii="Arial" w:eastAsia="Times New Roman" w:hAnsi="Arial" w:cs="Arial"/>
      <w:sz w:val="24"/>
      <w:szCs w:val="20"/>
      <w:lang w:eastAsia="zh-CN"/>
    </w:rPr>
  </w:style>
  <w:style w:type="table" w:styleId="TableGrid">
    <w:name w:val="Table Grid"/>
    <w:basedOn w:val="TableNormal"/>
    <w:uiPriority w:val="59"/>
    <w:rsid w:val="008441CB"/>
    <w:pPr>
      <w:spacing w:after="0" w:line="240" w:lineRule="auto"/>
    </w:pPr>
    <w:rPr>
      <w:rFonts w:ascii="Arial" w:eastAsia="Times New Roman" w:hAnsi="Arial" w:cs="Arial"/>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
    <w:name w:val="Style2"/>
    <w:uiPriority w:val="99"/>
    <w:rsid w:val="008441CB"/>
    <w:pPr>
      <w:numPr>
        <w:numId w:val="46"/>
      </w:numPr>
    </w:pPr>
  </w:style>
  <w:style w:type="numbering" w:customStyle="1" w:styleId="Style3">
    <w:name w:val="Style3"/>
    <w:uiPriority w:val="99"/>
    <w:rsid w:val="008441CB"/>
    <w:pPr>
      <w:numPr>
        <w:numId w:val="47"/>
      </w:numPr>
    </w:pPr>
  </w:style>
  <w:style w:type="numbering" w:customStyle="1" w:styleId="StyleStyle1BodyCSArial">
    <w:name w:val="Style Style1 + +Body CS (Arial)"/>
    <w:basedOn w:val="NoList"/>
    <w:rsid w:val="008441CB"/>
    <w:pPr>
      <w:numPr>
        <w:numId w:val="55"/>
      </w:numPr>
    </w:pPr>
  </w:style>
  <w:style w:type="numbering" w:customStyle="1" w:styleId="StyleStyleStyle1BodyCSArialOutlinenumberedBold">
    <w:name w:val="Style Style Style1 + +Body CS (Arial) + Outline numbered Bold"/>
    <w:basedOn w:val="NoList"/>
    <w:rsid w:val="008441CB"/>
    <w:pPr>
      <w:numPr>
        <w:numId w:val="56"/>
      </w:numPr>
    </w:pPr>
  </w:style>
  <w:style w:type="character" w:customStyle="1" w:styleId="StyleStrongLatinBodyCSArialComplexBodyCSArial">
    <w:name w:val="Style Strong + (Latin) +Body CS (Arial) (Complex) +Body CS (Arial)..."/>
    <w:basedOn w:val="Heading2Char"/>
    <w:rsid w:val="008441CB"/>
    <w:rPr>
      <w:rFonts w:asciiTheme="minorBidi" w:eastAsia="Calibri" w:hAnsiTheme="minorBidi" w:cstheme="minorBidi"/>
      <w:b/>
      <w:bCs w:val="0"/>
      <w:sz w:val="28"/>
      <w:szCs w:val="20"/>
      <w:lang w:eastAsia="en-GB"/>
    </w:rPr>
  </w:style>
  <w:style w:type="paragraph" w:styleId="BalloonText">
    <w:name w:val="Balloon Text"/>
    <w:basedOn w:val="Normal"/>
    <w:link w:val="BalloonTextChar"/>
    <w:uiPriority w:val="99"/>
    <w:semiHidden/>
    <w:unhideWhenUsed/>
    <w:rsid w:val="00844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1CB"/>
    <w:rPr>
      <w:rFonts w:ascii="Tahoma" w:hAnsi="Tahoma" w:cs="Tahoma"/>
      <w:sz w:val="16"/>
      <w:szCs w:val="16"/>
    </w:rPr>
  </w:style>
  <w:style w:type="character" w:styleId="CommentReference">
    <w:name w:val="annotation reference"/>
    <w:basedOn w:val="DefaultParagraphFont"/>
    <w:unhideWhenUsed/>
    <w:rsid w:val="00033813"/>
    <w:rPr>
      <w:sz w:val="16"/>
      <w:szCs w:val="16"/>
    </w:rPr>
  </w:style>
  <w:style w:type="paragraph" w:styleId="CommentText">
    <w:name w:val="annotation text"/>
    <w:basedOn w:val="Normal"/>
    <w:link w:val="CommentTextChar"/>
    <w:unhideWhenUsed/>
    <w:rsid w:val="00033813"/>
    <w:pPr>
      <w:spacing w:line="240" w:lineRule="auto"/>
      <w:jc w:val="both"/>
    </w:pPr>
    <w:rPr>
      <w:rFonts w:ascii="Times New Roman" w:eastAsia="Calibri" w:hAnsi="Times New Roman" w:cs="Times New Roman"/>
      <w:sz w:val="20"/>
      <w:szCs w:val="24"/>
    </w:rPr>
  </w:style>
  <w:style w:type="character" w:customStyle="1" w:styleId="CommentTextChar">
    <w:name w:val="Comment Text Char"/>
    <w:basedOn w:val="DefaultParagraphFont"/>
    <w:link w:val="CommentText"/>
    <w:uiPriority w:val="99"/>
    <w:rsid w:val="00033813"/>
    <w:rPr>
      <w:rFonts w:ascii="Times New Roman" w:eastAsia="Calibri" w:hAnsi="Times New Roman" w:cs="Times New Roman"/>
      <w:sz w:val="20"/>
      <w:szCs w:val="24"/>
    </w:rPr>
  </w:style>
  <w:style w:type="paragraph" w:styleId="NoSpacing">
    <w:name w:val="No Spacing"/>
    <w:link w:val="NoSpacingChar"/>
    <w:uiPriority w:val="1"/>
    <w:qFormat/>
    <w:rsid w:val="00B320B4"/>
    <w:pPr>
      <w:spacing w:after="0" w:line="240" w:lineRule="auto"/>
    </w:pPr>
    <w:rPr>
      <w:rFonts w:ascii="Times New Roman" w:eastAsia="Calibri" w:hAnsi="Times New Roman" w:cs="Arial"/>
      <w:sz w:val="24"/>
      <w:szCs w:val="22"/>
    </w:rPr>
  </w:style>
  <w:style w:type="numbering" w:customStyle="1" w:styleId="Style1">
    <w:name w:val="Style1"/>
    <w:uiPriority w:val="99"/>
    <w:rsid w:val="00B320B4"/>
    <w:pPr>
      <w:numPr>
        <w:numId w:val="57"/>
      </w:numPr>
    </w:pPr>
  </w:style>
  <w:style w:type="paragraph" w:styleId="ListBullet">
    <w:name w:val="List Bullet"/>
    <w:basedOn w:val="Normal"/>
    <w:uiPriority w:val="99"/>
    <w:unhideWhenUsed/>
    <w:rsid w:val="00B320B4"/>
    <w:pPr>
      <w:numPr>
        <w:numId w:val="58"/>
      </w:numPr>
      <w:spacing w:before="120" w:after="0" w:line="360" w:lineRule="auto"/>
      <w:contextualSpacing/>
      <w:jc w:val="both"/>
    </w:pPr>
    <w:rPr>
      <w:rFonts w:ascii="Times New Roman" w:eastAsiaTheme="minorEastAsia" w:hAnsi="Times New Roman" w:cs="Arial"/>
      <w:szCs w:val="24"/>
      <w:lang w:eastAsia="zh-CN"/>
    </w:rPr>
  </w:style>
  <w:style w:type="character" w:customStyle="1" w:styleId="NoSpacingChar">
    <w:name w:val="No Spacing Char"/>
    <w:basedOn w:val="DefaultParagraphFont"/>
    <w:link w:val="NoSpacing"/>
    <w:uiPriority w:val="1"/>
    <w:rsid w:val="00B320B4"/>
    <w:rPr>
      <w:rFonts w:ascii="Times New Roman" w:eastAsia="Calibri" w:hAnsi="Times New Roman" w:cs="Arial"/>
      <w:sz w:val="24"/>
      <w:szCs w:val="22"/>
    </w:rPr>
  </w:style>
  <w:style w:type="character" w:styleId="BookTitle">
    <w:name w:val="Book Title"/>
    <w:basedOn w:val="DefaultParagraphFont"/>
    <w:uiPriority w:val="33"/>
    <w:qFormat/>
    <w:rsid w:val="00B320B4"/>
    <w:rPr>
      <w:bCs/>
      <w:smallCaps/>
      <w:spacing w:val="5"/>
    </w:rPr>
  </w:style>
  <w:style w:type="paragraph" w:customStyle="1" w:styleId="table">
    <w:name w:val="table"/>
    <w:basedOn w:val="Normal"/>
    <w:link w:val="tableChar"/>
    <w:qFormat/>
    <w:rsid w:val="005F7577"/>
    <w:pPr>
      <w:keepNext/>
      <w:keepLines/>
      <w:spacing w:after="120" w:line="480" w:lineRule="auto"/>
    </w:pPr>
    <w:rPr>
      <w:rFonts w:eastAsia="Times New Roman" w:cs="Arial"/>
      <w:bCs/>
      <w:szCs w:val="22"/>
      <w:lang w:eastAsia="zh-CN"/>
    </w:rPr>
  </w:style>
  <w:style w:type="character" w:customStyle="1" w:styleId="tableChar">
    <w:name w:val="table Char"/>
    <w:basedOn w:val="DefaultParagraphFont"/>
    <w:link w:val="table"/>
    <w:rsid w:val="005F7577"/>
    <w:rPr>
      <w:rFonts w:asciiTheme="minorBidi" w:eastAsia="Times New Roman" w:hAnsiTheme="minorBidi" w:cs="Arial"/>
      <w:bCs/>
      <w:sz w:val="24"/>
      <w:szCs w:val="22"/>
      <w:lang w:eastAsia="zh-CN"/>
    </w:rPr>
  </w:style>
  <w:style w:type="paragraph" w:customStyle="1" w:styleId="Style5">
    <w:name w:val="Style5"/>
    <w:basedOn w:val="Heading2"/>
    <w:next w:val="ListNumber2"/>
    <w:autoRedefine/>
    <w:qFormat/>
    <w:rsid w:val="00B320B4"/>
    <w:pPr>
      <w:numPr>
        <w:ilvl w:val="0"/>
        <w:numId w:val="59"/>
      </w:numPr>
      <w:spacing w:before="360" w:after="240" w:line="360" w:lineRule="auto"/>
    </w:pPr>
    <w:rPr>
      <w:rFonts w:ascii="Arial" w:eastAsia="Calibri" w:hAnsi="Arial" w:cs="Arial"/>
      <w:bCs w:val="0"/>
      <w:sz w:val="28"/>
      <w:szCs w:val="24"/>
      <w:lang w:eastAsia="zh-CN"/>
    </w:rPr>
  </w:style>
  <w:style w:type="paragraph" w:styleId="ListNumber2">
    <w:name w:val="List Number 2"/>
    <w:basedOn w:val="Normal"/>
    <w:uiPriority w:val="99"/>
    <w:semiHidden/>
    <w:unhideWhenUsed/>
    <w:rsid w:val="00B320B4"/>
    <w:pPr>
      <w:tabs>
        <w:tab w:val="num" w:pos="360"/>
      </w:tabs>
      <w:ind w:left="360" w:hanging="360"/>
      <w:contextualSpacing/>
    </w:pPr>
  </w:style>
  <w:style w:type="numbering" w:customStyle="1" w:styleId="Style11">
    <w:name w:val="Style11"/>
    <w:uiPriority w:val="99"/>
    <w:rsid w:val="00726487"/>
  </w:style>
  <w:style w:type="paragraph" w:styleId="NormalWeb">
    <w:name w:val="Normal (Web)"/>
    <w:basedOn w:val="Normal"/>
    <w:uiPriority w:val="99"/>
    <w:rsid w:val="00AD5B1C"/>
    <w:pPr>
      <w:spacing w:line="360" w:lineRule="auto"/>
      <w:jc w:val="both"/>
    </w:pPr>
    <w:rPr>
      <w:rFonts w:ascii="Times New Roman" w:eastAsia="Times New Roman" w:hAnsi="Times New Roman" w:cs="Times New Roman"/>
      <w:szCs w:val="24"/>
    </w:rPr>
  </w:style>
  <w:style w:type="paragraph" w:styleId="BodyText2">
    <w:name w:val="Body Text 2"/>
    <w:basedOn w:val="Normal"/>
    <w:link w:val="BodyText2Char"/>
    <w:rsid w:val="00AD5B1C"/>
    <w:pPr>
      <w:spacing w:after="120" w:line="480" w:lineRule="auto"/>
      <w:jc w:val="both"/>
    </w:pPr>
    <w:rPr>
      <w:rFonts w:ascii="Arial" w:eastAsia="Times New Roman" w:hAnsi="Arial" w:cs="Arial"/>
      <w:szCs w:val="24"/>
      <w:lang w:eastAsia="zh-CN"/>
    </w:rPr>
  </w:style>
  <w:style w:type="character" w:customStyle="1" w:styleId="BodyText2Char">
    <w:name w:val="Body Text 2 Char"/>
    <w:basedOn w:val="DefaultParagraphFont"/>
    <w:link w:val="BodyText2"/>
    <w:rsid w:val="00AD5B1C"/>
    <w:rPr>
      <w:rFonts w:ascii="Arial" w:eastAsia="Times New Roman" w:hAnsi="Arial" w:cs="Arial"/>
      <w:sz w:val="24"/>
      <w:szCs w:val="24"/>
      <w:lang w:eastAsia="zh-CN"/>
    </w:rPr>
  </w:style>
  <w:style w:type="character" w:customStyle="1" w:styleId="italic">
    <w:name w:val="italic"/>
    <w:basedOn w:val="DefaultParagraphFont"/>
    <w:uiPriority w:val="99"/>
    <w:rsid w:val="00AD5B1C"/>
    <w:rPr>
      <w:rFonts w:cs="Times New Roman"/>
    </w:rPr>
  </w:style>
  <w:style w:type="character" w:customStyle="1" w:styleId="StyleStrongBodyCSArial14pt">
    <w:name w:val="Style Strong + +Body CS (Arial) 14 pt"/>
    <w:basedOn w:val="Strong"/>
    <w:rsid w:val="00AD5B1C"/>
    <w:rPr>
      <w:rFonts w:asciiTheme="minorBidi" w:eastAsia="Calibri" w:hAnsiTheme="minorBidi"/>
      <w:b w:val="0"/>
      <w:bCs/>
      <w:sz w:val="28"/>
    </w:rPr>
  </w:style>
  <w:style w:type="character" w:styleId="Strong">
    <w:name w:val="Strong"/>
    <w:basedOn w:val="DefaultParagraphFont"/>
    <w:uiPriority w:val="22"/>
    <w:qFormat/>
    <w:rsid w:val="00AD5B1C"/>
    <w:rPr>
      <w:b/>
      <w:bCs/>
    </w:rPr>
  </w:style>
  <w:style w:type="paragraph" w:customStyle="1" w:styleId="StyleHeading3Black">
    <w:name w:val="Style Heading 3 + Black"/>
    <w:basedOn w:val="Heading3"/>
    <w:next w:val="Normal"/>
    <w:link w:val="StyleHeading3BlackChar"/>
    <w:autoRedefine/>
    <w:qFormat/>
    <w:rsid w:val="00250F94"/>
    <w:pPr>
      <w:numPr>
        <w:ilvl w:val="0"/>
        <w:numId w:val="0"/>
      </w:numPr>
      <w:spacing w:before="360" w:after="240" w:line="360" w:lineRule="auto"/>
      <w:ind w:left="1780" w:hanging="504"/>
      <w:jc w:val="both"/>
    </w:pPr>
    <w:rPr>
      <w:rFonts w:ascii="Arial" w:eastAsia="Calibri" w:hAnsi="Arial" w:cs="Arial"/>
      <w:bCs w:val="0"/>
      <w:sz w:val="26"/>
      <w:szCs w:val="24"/>
      <w:lang w:eastAsia="zh-CN"/>
    </w:rPr>
  </w:style>
  <w:style w:type="character" w:customStyle="1" w:styleId="StyleHeading3BlackChar">
    <w:name w:val="Style Heading 3 + Black Char"/>
    <w:basedOn w:val="Heading3Char"/>
    <w:link w:val="StyleHeading3Black"/>
    <w:rsid w:val="00250F94"/>
    <w:rPr>
      <w:rFonts w:ascii="Arial" w:eastAsia="Calibri" w:hAnsi="Arial" w:cs="Arial"/>
      <w:b/>
      <w:bCs w:val="0"/>
      <w:sz w:val="26"/>
      <w:szCs w:val="24"/>
      <w:lang w:eastAsia="zh-CN"/>
    </w:rPr>
  </w:style>
  <w:style w:type="table" w:customStyle="1" w:styleId="TableGrid1">
    <w:name w:val="Table Grid1"/>
    <w:basedOn w:val="TableNormal"/>
    <w:next w:val="TableGrid"/>
    <w:uiPriority w:val="59"/>
    <w:rsid w:val="002F3F06"/>
    <w:pPr>
      <w:spacing w:after="0" w:line="240" w:lineRule="auto"/>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F3F06"/>
    <w:pPr>
      <w:spacing w:after="0" w:line="240" w:lineRule="auto"/>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rsid w:val="00C50D79"/>
    <w:pPr>
      <w:spacing w:after="0"/>
      <w:ind w:left="480" w:hanging="480"/>
    </w:pPr>
    <w:rPr>
      <w:rFonts w:asciiTheme="minorHAnsi" w:hAnsiTheme="minorHAnsi" w:cs="Times New Roman"/>
      <w:smallCaps/>
      <w:sz w:val="20"/>
      <w:szCs w:val="24"/>
    </w:rPr>
  </w:style>
  <w:style w:type="character" w:styleId="Hyperlink">
    <w:name w:val="Hyperlink"/>
    <w:basedOn w:val="DefaultParagraphFont"/>
    <w:uiPriority w:val="99"/>
    <w:unhideWhenUsed/>
    <w:rsid w:val="002F3F06"/>
    <w:rPr>
      <w:color w:val="0000FF" w:themeColor="hyperlink"/>
      <w:u w:val="single"/>
    </w:rPr>
  </w:style>
  <w:style w:type="table" w:customStyle="1" w:styleId="LightGrid-Accent41">
    <w:name w:val="Light Grid - Accent 41"/>
    <w:basedOn w:val="TableNormal"/>
    <w:uiPriority w:val="62"/>
    <w:rsid w:val="00805867"/>
    <w:pPr>
      <w:spacing w:after="0" w:line="240" w:lineRule="auto"/>
    </w:pPr>
    <w:rPr>
      <w:rFonts w:ascii="Corbel" w:eastAsia="Corbel" w:hAnsi="Corbel" w:cs="Tahoma"/>
      <w:sz w:val="22"/>
      <w:szCs w:val="22"/>
    </w:rPr>
    <w:tblPr>
      <w:tblStyleRowBandSize w:val="1"/>
      <w:tblStyleColBandSize w:val="1"/>
      <w:tblInd w:w="0" w:type="dxa"/>
      <w:tblBorders>
        <w:top w:val="single" w:sz="8" w:space="0" w:color="00ADDC"/>
        <w:left w:val="single" w:sz="8" w:space="0" w:color="00ADDC"/>
        <w:bottom w:val="single" w:sz="8" w:space="0" w:color="00ADDC"/>
        <w:right w:val="single" w:sz="8" w:space="0" w:color="00ADDC"/>
        <w:insideH w:val="single" w:sz="8" w:space="0" w:color="00ADDC"/>
        <w:insideV w:val="single" w:sz="8" w:space="0" w:color="00ADDC"/>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Batang" w:eastAsia="Times New Roman" w:hAnsi="@Batang" w:cs="Tahoma" w:hint="default"/>
        <w:b/>
        <w:bCs/>
      </w:rPr>
      <w:tblPr/>
      <w:tcPr>
        <w:tcBorders>
          <w:top w:val="single" w:sz="8" w:space="0" w:color="00ADDC"/>
          <w:left w:val="single" w:sz="8" w:space="0" w:color="00ADDC"/>
          <w:bottom w:val="single" w:sz="18" w:space="0" w:color="00ADDC"/>
          <w:right w:val="single" w:sz="8" w:space="0" w:color="00ADDC"/>
          <w:insideH w:val="nil"/>
          <w:insideV w:val="single" w:sz="8" w:space="0" w:color="00ADDC"/>
        </w:tcBorders>
      </w:tcPr>
    </w:tblStylePr>
    <w:tblStylePr w:type="lastRow">
      <w:pPr>
        <w:spacing w:beforeLines="0" w:before="0" w:beforeAutospacing="0" w:afterLines="0" w:after="0" w:afterAutospacing="0" w:line="240" w:lineRule="auto"/>
      </w:pPr>
      <w:rPr>
        <w:rFonts w:ascii="@Batang" w:eastAsia="Times New Roman" w:hAnsi="@Batang" w:cs="Tahoma" w:hint="default"/>
        <w:b/>
        <w:bCs/>
      </w:rPr>
      <w:tblPr/>
      <w:tcPr>
        <w:tcBorders>
          <w:top w:val="double" w:sz="6" w:space="0" w:color="00ADDC"/>
          <w:left w:val="single" w:sz="8" w:space="0" w:color="00ADDC"/>
          <w:bottom w:val="single" w:sz="8" w:space="0" w:color="00ADDC"/>
          <w:right w:val="single" w:sz="8" w:space="0" w:color="00ADDC"/>
          <w:insideH w:val="nil"/>
          <w:insideV w:val="single" w:sz="8" w:space="0" w:color="00ADDC"/>
        </w:tcBorders>
      </w:tcPr>
    </w:tblStylePr>
    <w:tblStylePr w:type="firstCol">
      <w:rPr>
        <w:rFonts w:ascii="@Batang" w:eastAsia="Times New Roman" w:hAnsi="@Batang" w:cs="Tahoma" w:hint="default"/>
        <w:b/>
        <w:bCs/>
      </w:rPr>
    </w:tblStylePr>
    <w:tblStylePr w:type="lastCol">
      <w:rPr>
        <w:rFonts w:ascii="@Batang" w:eastAsia="Times New Roman" w:hAnsi="@Batang" w:cs="Tahoma" w:hint="default"/>
        <w:b/>
        <w:bCs/>
      </w:rPr>
      <w:tblPr/>
      <w:tcPr>
        <w:tcBorders>
          <w:top w:val="single" w:sz="8" w:space="0" w:color="00ADDC"/>
          <w:left w:val="single" w:sz="8" w:space="0" w:color="00ADDC"/>
          <w:bottom w:val="single" w:sz="8" w:space="0" w:color="00ADDC"/>
          <w:right w:val="single" w:sz="8" w:space="0" w:color="00ADDC"/>
        </w:tcBorders>
      </w:tcPr>
    </w:tblStylePr>
    <w:tblStylePr w:type="band1Vert">
      <w:tblPr/>
      <w:tcPr>
        <w:tcBorders>
          <w:top w:val="single" w:sz="8" w:space="0" w:color="00ADDC"/>
          <w:left w:val="single" w:sz="8" w:space="0" w:color="00ADDC"/>
          <w:bottom w:val="single" w:sz="8" w:space="0" w:color="00ADDC"/>
          <w:right w:val="single" w:sz="8" w:space="0" w:color="00ADDC"/>
        </w:tcBorders>
        <w:shd w:val="clear" w:color="auto" w:fill="B7EFFF"/>
      </w:tcPr>
    </w:tblStylePr>
    <w:tblStylePr w:type="band1Horz">
      <w:tblPr/>
      <w:tcPr>
        <w:tcBorders>
          <w:top w:val="single" w:sz="8" w:space="0" w:color="00ADDC"/>
          <w:left w:val="single" w:sz="8" w:space="0" w:color="00ADDC"/>
          <w:bottom w:val="single" w:sz="8" w:space="0" w:color="00ADDC"/>
          <w:right w:val="single" w:sz="8" w:space="0" w:color="00ADDC"/>
          <w:insideV w:val="single" w:sz="8" w:space="0" w:color="00ADDC"/>
        </w:tcBorders>
        <w:shd w:val="clear" w:color="auto" w:fill="B7EFFF"/>
      </w:tcPr>
    </w:tblStylePr>
    <w:tblStylePr w:type="band2Horz">
      <w:tblPr/>
      <w:tcPr>
        <w:tcBorders>
          <w:top w:val="single" w:sz="8" w:space="0" w:color="00ADDC"/>
          <w:left w:val="single" w:sz="8" w:space="0" w:color="00ADDC"/>
          <w:bottom w:val="single" w:sz="8" w:space="0" w:color="00ADDC"/>
          <w:right w:val="single" w:sz="8" w:space="0" w:color="00ADDC"/>
          <w:insideV w:val="single" w:sz="8" w:space="0" w:color="00ADDC"/>
        </w:tcBorders>
      </w:tcPr>
    </w:tblStylePr>
  </w:style>
  <w:style w:type="table" w:styleId="TableGrid7">
    <w:name w:val="Table Grid 7"/>
    <w:basedOn w:val="TableNormal"/>
    <w:rsid w:val="00165E91"/>
    <w:pPr>
      <w:spacing w:after="120" w:line="360" w:lineRule="auto"/>
      <w:jc w:val="both"/>
    </w:pPr>
    <w:rPr>
      <w:rFonts w:ascii="Arial" w:eastAsia="Times New Roman" w:hAnsi="Arial" w:cs="Arial"/>
      <w:bCs/>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NoList1">
    <w:name w:val="No List1"/>
    <w:next w:val="NoList"/>
    <w:uiPriority w:val="99"/>
    <w:semiHidden/>
    <w:unhideWhenUsed/>
    <w:rsid w:val="00294F6F"/>
  </w:style>
  <w:style w:type="paragraph" w:customStyle="1" w:styleId="Subheading">
    <w:name w:val="Subheading"/>
    <w:basedOn w:val="Normal"/>
    <w:next w:val="Normal"/>
    <w:link w:val="SubheadingChar"/>
    <w:rsid w:val="00294F6F"/>
    <w:pPr>
      <w:keepNext/>
      <w:spacing w:before="120" w:after="0"/>
    </w:pPr>
    <w:rPr>
      <w:rFonts w:ascii="Arial" w:eastAsia="SimSun" w:hAnsi="Arial" w:cs="Arial"/>
      <w:b/>
      <w:szCs w:val="24"/>
      <w:lang w:eastAsia="zh-CN"/>
    </w:rPr>
  </w:style>
  <w:style w:type="character" w:customStyle="1" w:styleId="SubheadingChar">
    <w:name w:val="Subheading Char"/>
    <w:link w:val="Subheading"/>
    <w:rsid w:val="00294F6F"/>
    <w:rPr>
      <w:rFonts w:ascii="Arial" w:eastAsia="SimSun" w:hAnsi="Arial" w:cs="Arial"/>
      <w:b/>
      <w:sz w:val="24"/>
      <w:szCs w:val="24"/>
      <w:lang w:eastAsia="zh-CN"/>
    </w:rPr>
  </w:style>
  <w:style w:type="paragraph" w:styleId="Subtitle">
    <w:name w:val="Subtitle"/>
    <w:basedOn w:val="Normal"/>
    <w:next w:val="Normal"/>
    <w:link w:val="SubtitleChar"/>
    <w:autoRedefine/>
    <w:uiPriority w:val="11"/>
    <w:qFormat/>
    <w:rsid w:val="00294F6F"/>
    <w:pPr>
      <w:keepNext/>
      <w:numPr>
        <w:ilvl w:val="1"/>
      </w:numPr>
      <w:spacing w:before="120" w:after="0"/>
    </w:pPr>
    <w:rPr>
      <w:rFonts w:ascii="Arial" w:eastAsia="SimSun" w:hAnsi="Arial" w:cs="Arial"/>
      <w:iCs/>
      <w:spacing w:val="15"/>
      <w:sz w:val="28"/>
      <w:szCs w:val="24"/>
      <w:lang w:eastAsia="zh-CN"/>
    </w:rPr>
  </w:style>
  <w:style w:type="character" w:customStyle="1" w:styleId="SubtitleChar">
    <w:name w:val="Subtitle Char"/>
    <w:basedOn w:val="DefaultParagraphFont"/>
    <w:link w:val="Subtitle"/>
    <w:uiPriority w:val="11"/>
    <w:rsid w:val="00294F6F"/>
    <w:rPr>
      <w:rFonts w:ascii="Arial" w:eastAsia="SimSun" w:hAnsi="Arial" w:cs="Arial"/>
      <w:iCs/>
      <w:spacing w:val="15"/>
      <w:szCs w:val="24"/>
      <w:lang w:eastAsia="zh-CN"/>
    </w:rPr>
  </w:style>
  <w:style w:type="paragraph" w:styleId="Quote">
    <w:name w:val="Quote"/>
    <w:basedOn w:val="Normal"/>
    <w:next w:val="Normal"/>
    <w:link w:val="QuoteChar1"/>
    <w:uiPriority w:val="29"/>
    <w:qFormat/>
    <w:rsid w:val="00294F6F"/>
    <w:pPr>
      <w:spacing w:before="120" w:after="0"/>
      <w:ind w:left="794" w:right="794"/>
    </w:pPr>
    <w:rPr>
      <w:rFonts w:ascii="Arial" w:eastAsia="SimSun" w:hAnsi="Arial" w:cs="Arial"/>
      <w:i/>
      <w:iCs/>
      <w:szCs w:val="24"/>
      <w:lang w:eastAsia="zh-CN"/>
    </w:rPr>
  </w:style>
  <w:style w:type="character" w:customStyle="1" w:styleId="QuoteChar">
    <w:name w:val="Quote Char"/>
    <w:basedOn w:val="DefaultParagraphFont"/>
    <w:uiPriority w:val="29"/>
    <w:rsid w:val="00294F6F"/>
    <w:rPr>
      <w:rFonts w:asciiTheme="minorBidi" w:hAnsiTheme="minorBidi"/>
      <w:i/>
      <w:iCs/>
      <w:color w:val="000000" w:themeColor="text1"/>
      <w:sz w:val="24"/>
    </w:rPr>
  </w:style>
  <w:style w:type="character" w:customStyle="1" w:styleId="QuoteChar1">
    <w:name w:val="Quote Char1"/>
    <w:link w:val="Quote"/>
    <w:uiPriority w:val="29"/>
    <w:rsid w:val="00294F6F"/>
    <w:rPr>
      <w:rFonts w:ascii="Arial" w:eastAsia="SimSun" w:hAnsi="Arial" w:cs="Arial"/>
      <w:i/>
      <w:iCs/>
      <w:sz w:val="24"/>
      <w:szCs w:val="24"/>
      <w:lang w:eastAsia="zh-CN"/>
    </w:rPr>
  </w:style>
  <w:style w:type="paragraph" w:styleId="ListNumber">
    <w:name w:val="List Number"/>
    <w:basedOn w:val="Normal"/>
    <w:uiPriority w:val="99"/>
    <w:semiHidden/>
    <w:unhideWhenUsed/>
    <w:rsid w:val="00294F6F"/>
    <w:pPr>
      <w:numPr>
        <w:numId w:val="76"/>
      </w:numPr>
      <w:spacing w:before="120" w:after="0"/>
      <w:contextualSpacing/>
    </w:pPr>
    <w:rPr>
      <w:rFonts w:ascii="Arial" w:eastAsia="SimSun" w:hAnsi="Arial" w:cs="Arial"/>
      <w:szCs w:val="24"/>
      <w:lang w:eastAsia="zh-CN"/>
    </w:rPr>
  </w:style>
  <w:style w:type="character" w:styleId="IntenseEmphasis">
    <w:name w:val="Intense Emphasis"/>
    <w:uiPriority w:val="21"/>
    <w:qFormat/>
    <w:rsid w:val="00294F6F"/>
    <w:rPr>
      <w:b/>
      <w:bCs/>
      <w:i/>
      <w:iCs/>
      <w:color w:val="auto"/>
    </w:rPr>
  </w:style>
  <w:style w:type="paragraph" w:styleId="IntenseQuote">
    <w:name w:val="Intense Quote"/>
    <w:basedOn w:val="Normal"/>
    <w:next w:val="Normal"/>
    <w:link w:val="IntenseQuoteChar"/>
    <w:uiPriority w:val="30"/>
    <w:qFormat/>
    <w:rsid w:val="00294F6F"/>
    <w:pPr>
      <w:pBdr>
        <w:bottom w:val="single" w:sz="4" w:space="4" w:color="4F81BD"/>
      </w:pBdr>
      <w:spacing w:before="200" w:after="280"/>
      <w:ind w:left="936" w:right="936"/>
    </w:pPr>
    <w:rPr>
      <w:rFonts w:ascii="Arial" w:eastAsia="SimSun" w:hAnsi="Arial" w:cs="Arial"/>
      <w:b/>
      <w:bCs/>
      <w:i/>
      <w:iCs/>
      <w:szCs w:val="24"/>
      <w:lang w:eastAsia="zh-CN"/>
    </w:rPr>
  </w:style>
  <w:style w:type="character" w:customStyle="1" w:styleId="IntenseQuoteChar">
    <w:name w:val="Intense Quote Char"/>
    <w:basedOn w:val="DefaultParagraphFont"/>
    <w:link w:val="IntenseQuote"/>
    <w:uiPriority w:val="30"/>
    <w:rsid w:val="00294F6F"/>
    <w:rPr>
      <w:rFonts w:ascii="Arial" w:eastAsia="SimSun" w:hAnsi="Arial" w:cs="Arial"/>
      <w:b/>
      <w:bCs/>
      <w:i/>
      <w:iCs/>
      <w:sz w:val="24"/>
      <w:szCs w:val="24"/>
      <w:lang w:eastAsia="zh-CN"/>
    </w:rPr>
  </w:style>
  <w:style w:type="character" w:styleId="SubtleReference">
    <w:name w:val="Subtle Reference"/>
    <w:uiPriority w:val="31"/>
    <w:qFormat/>
    <w:rsid w:val="00294F6F"/>
    <w:rPr>
      <w:smallCaps/>
      <w:color w:val="auto"/>
      <w:u w:val="single"/>
    </w:rPr>
  </w:style>
  <w:style w:type="character" w:styleId="IntenseReference">
    <w:name w:val="Intense Reference"/>
    <w:uiPriority w:val="32"/>
    <w:qFormat/>
    <w:rsid w:val="00294F6F"/>
    <w:rPr>
      <w:b/>
      <w:bCs/>
      <w:smallCaps/>
      <w:color w:val="auto"/>
      <w:spacing w:val="5"/>
      <w:u w:val="single"/>
    </w:rPr>
  </w:style>
  <w:style w:type="paragraph" w:styleId="TOCHeading">
    <w:name w:val="TOC Heading"/>
    <w:basedOn w:val="Heading1"/>
    <w:next w:val="Normal"/>
    <w:uiPriority w:val="39"/>
    <w:semiHidden/>
    <w:unhideWhenUsed/>
    <w:qFormat/>
    <w:rsid w:val="00294F6F"/>
    <w:pPr>
      <w:outlineLvl w:val="9"/>
    </w:pPr>
    <w:rPr>
      <w:rFonts w:eastAsia="SimSun" w:cs="Times New Roman"/>
      <w:sz w:val="28"/>
      <w:lang w:eastAsia="zh-CN"/>
    </w:rPr>
  </w:style>
  <w:style w:type="paragraph" w:styleId="BlockText">
    <w:name w:val="Block Text"/>
    <w:basedOn w:val="Normal"/>
    <w:uiPriority w:val="99"/>
    <w:semiHidden/>
    <w:unhideWhenUsed/>
    <w:rsid w:val="00294F6F"/>
    <w:pPr>
      <w:pBdr>
        <w:top w:val="single" w:sz="2" w:space="10" w:color="auto" w:shadow="1"/>
        <w:left w:val="single" w:sz="2" w:space="10" w:color="auto" w:shadow="1"/>
        <w:bottom w:val="single" w:sz="2" w:space="10" w:color="auto" w:shadow="1"/>
        <w:right w:val="single" w:sz="2" w:space="10" w:color="auto" w:shadow="1"/>
      </w:pBdr>
      <w:spacing w:before="120" w:after="0"/>
      <w:ind w:left="1152" w:right="1152"/>
    </w:pPr>
    <w:rPr>
      <w:rFonts w:ascii="Arial" w:eastAsia="SimSun" w:hAnsi="Arial" w:cs="Arial"/>
      <w:i/>
      <w:iCs/>
      <w:szCs w:val="24"/>
      <w:lang w:eastAsia="zh-CN"/>
    </w:rPr>
  </w:style>
  <w:style w:type="character" w:styleId="PlaceholderText">
    <w:name w:val="Placeholder Text"/>
    <w:uiPriority w:val="99"/>
    <w:semiHidden/>
    <w:rsid w:val="00294F6F"/>
    <w:rPr>
      <w:color w:val="auto"/>
    </w:rPr>
  </w:style>
  <w:style w:type="paragraph" w:styleId="TOAHeading">
    <w:name w:val="toa heading"/>
    <w:basedOn w:val="Normal"/>
    <w:next w:val="Normal"/>
    <w:uiPriority w:val="99"/>
    <w:semiHidden/>
    <w:unhideWhenUsed/>
    <w:rsid w:val="00294F6F"/>
    <w:pPr>
      <w:spacing w:before="120" w:after="0"/>
    </w:pPr>
    <w:rPr>
      <w:rFonts w:ascii="Arial" w:eastAsia="SimSun" w:hAnsi="Arial" w:cs="Times New Roman"/>
      <w:b/>
      <w:bCs/>
      <w:sz w:val="28"/>
      <w:szCs w:val="24"/>
      <w:lang w:eastAsia="zh-CN"/>
    </w:rPr>
  </w:style>
  <w:style w:type="paragraph" w:styleId="PlainText">
    <w:name w:val="Plain Text"/>
    <w:basedOn w:val="Normal"/>
    <w:link w:val="PlainTextChar"/>
    <w:uiPriority w:val="99"/>
    <w:semiHidden/>
    <w:unhideWhenUsed/>
    <w:rsid w:val="00294F6F"/>
    <w:pPr>
      <w:spacing w:after="0" w:line="240" w:lineRule="auto"/>
    </w:pPr>
    <w:rPr>
      <w:rFonts w:ascii="Consolas" w:eastAsia="SimSun" w:hAnsi="Consolas" w:cs="Arial"/>
      <w:szCs w:val="21"/>
      <w:lang w:eastAsia="zh-CN"/>
    </w:rPr>
  </w:style>
  <w:style w:type="character" w:customStyle="1" w:styleId="PlainTextChar">
    <w:name w:val="Plain Text Char"/>
    <w:basedOn w:val="DefaultParagraphFont"/>
    <w:link w:val="PlainText"/>
    <w:uiPriority w:val="99"/>
    <w:semiHidden/>
    <w:rsid w:val="00294F6F"/>
    <w:rPr>
      <w:rFonts w:ascii="Consolas" w:eastAsia="SimSun" w:hAnsi="Consolas" w:cs="Arial"/>
      <w:sz w:val="24"/>
      <w:szCs w:val="21"/>
      <w:lang w:eastAsia="zh-CN"/>
    </w:rPr>
  </w:style>
  <w:style w:type="paragraph" w:styleId="BodyText3">
    <w:name w:val="Body Text 3"/>
    <w:basedOn w:val="Normal"/>
    <w:link w:val="BodyText3Char"/>
    <w:uiPriority w:val="99"/>
    <w:semiHidden/>
    <w:unhideWhenUsed/>
    <w:rsid w:val="00294F6F"/>
    <w:pPr>
      <w:spacing w:before="120" w:after="120"/>
    </w:pPr>
    <w:rPr>
      <w:rFonts w:ascii="Arial" w:eastAsia="SimSun" w:hAnsi="Arial" w:cs="Arial"/>
      <w:sz w:val="20"/>
      <w:szCs w:val="16"/>
      <w:lang w:eastAsia="zh-CN"/>
    </w:rPr>
  </w:style>
  <w:style w:type="character" w:customStyle="1" w:styleId="BodyText3Char">
    <w:name w:val="Body Text 3 Char"/>
    <w:basedOn w:val="DefaultParagraphFont"/>
    <w:link w:val="BodyText3"/>
    <w:uiPriority w:val="99"/>
    <w:semiHidden/>
    <w:rsid w:val="00294F6F"/>
    <w:rPr>
      <w:rFonts w:ascii="Arial" w:eastAsia="SimSun" w:hAnsi="Arial" w:cs="Arial"/>
      <w:sz w:val="20"/>
      <w:szCs w:val="16"/>
      <w:lang w:eastAsia="zh-CN"/>
    </w:rPr>
  </w:style>
  <w:style w:type="paragraph" w:styleId="BodyText">
    <w:name w:val="Body Text"/>
    <w:basedOn w:val="Normal"/>
    <w:link w:val="BodyTextChar"/>
    <w:uiPriority w:val="99"/>
    <w:semiHidden/>
    <w:unhideWhenUsed/>
    <w:rsid w:val="00294F6F"/>
    <w:pPr>
      <w:spacing w:before="120" w:after="120"/>
    </w:pPr>
    <w:rPr>
      <w:rFonts w:ascii="Arial" w:eastAsia="SimSun" w:hAnsi="Arial" w:cs="Arial"/>
      <w:szCs w:val="24"/>
      <w:lang w:eastAsia="zh-CN"/>
    </w:rPr>
  </w:style>
  <w:style w:type="character" w:customStyle="1" w:styleId="BodyTextChar">
    <w:name w:val="Body Text Char"/>
    <w:basedOn w:val="DefaultParagraphFont"/>
    <w:link w:val="BodyText"/>
    <w:uiPriority w:val="99"/>
    <w:semiHidden/>
    <w:rsid w:val="00294F6F"/>
    <w:rPr>
      <w:rFonts w:ascii="Arial" w:eastAsia="SimSun" w:hAnsi="Arial" w:cs="Arial"/>
      <w:sz w:val="24"/>
      <w:szCs w:val="24"/>
      <w:lang w:eastAsia="zh-CN"/>
    </w:rPr>
  </w:style>
  <w:style w:type="paragraph" w:styleId="BodyTextFirstIndent">
    <w:name w:val="Body Text First Indent"/>
    <w:basedOn w:val="BodyText"/>
    <w:link w:val="BodyTextFirstIndentChar"/>
    <w:uiPriority w:val="99"/>
    <w:unhideWhenUsed/>
    <w:rsid w:val="00294F6F"/>
    <w:pPr>
      <w:spacing w:after="320"/>
      <w:ind w:firstLine="360"/>
    </w:pPr>
  </w:style>
  <w:style w:type="character" w:customStyle="1" w:styleId="BodyTextFirstIndentChar">
    <w:name w:val="Body Text First Indent Char"/>
    <w:basedOn w:val="BodyTextChar"/>
    <w:link w:val="BodyTextFirstIndent"/>
    <w:uiPriority w:val="99"/>
    <w:rsid w:val="00294F6F"/>
    <w:rPr>
      <w:rFonts w:ascii="Arial" w:eastAsia="SimSun" w:hAnsi="Arial" w:cs="Arial"/>
      <w:sz w:val="24"/>
      <w:szCs w:val="24"/>
      <w:lang w:eastAsia="zh-CN"/>
    </w:rPr>
  </w:style>
  <w:style w:type="paragraph" w:styleId="BodyTextIndent3">
    <w:name w:val="Body Text Indent 3"/>
    <w:basedOn w:val="Normal"/>
    <w:link w:val="BodyTextIndent3Char"/>
    <w:uiPriority w:val="99"/>
    <w:unhideWhenUsed/>
    <w:rsid w:val="00294F6F"/>
    <w:pPr>
      <w:spacing w:before="120" w:after="120"/>
      <w:ind w:left="283"/>
    </w:pPr>
    <w:rPr>
      <w:rFonts w:ascii="Arial" w:eastAsia="SimSun" w:hAnsi="Arial" w:cs="Arial"/>
      <w:sz w:val="20"/>
      <w:szCs w:val="16"/>
      <w:lang w:eastAsia="zh-CN"/>
    </w:rPr>
  </w:style>
  <w:style w:type="character" w:customStyle="1" w:styleId="BodyTextIndent3Char">
    <w:name w:val="Body Text Indent 3 Char"/>
    <w:basedOn w:val="DefaultParagraphFont"/>
    <w:link w:val="BodyTextIndent3"/>
    <w:uiPriority w:val="99"/>
    <w:rsid w:val="00294F6F"/>
    <w:rPr>
      <w:rFonts w:ascii="Arial" w:eastAsia="SimSun" w:hAnsi="Arial" w:cs="Arial"/>
      <w:sz w:val="20"/>
      <w:szCs w:val="16"/>
      <w:lang w:eastAsia="zh-CN"/>
    </w:rPr>
  </w:style>
  <w:style w:type="paragraph" w:styleId="DocumentMap">
    <w:name w:val="Document Map"/>
    <w:basedOn w:val="Normal"/>
    <w:link w:val="DocumentMapChar"/>
    <w:uiPriority w:val="99"/>
    <w:semiHidden/>
    <w:unhideWhenUsed/>
    <w:rsid w:val="00294F6F"/>
    <w:pPr>
      <w:spacing w:after="0" w:line="240" w:lineRule="auto"/>
    </w:pPr>
    <w:rPr>
      <w:rFonts w:ascii="Arial" w:eastAsia="SimSun" w:hAnsi="Arial" w:cs="Tahoma"/>
      <w:szCs w:val="16"/>
      <w:lang w:eastAsia="zh-CN"/>
    </w:rPr>
  </w:style>
  <w:style w:type="character" w:customStyle="1" w:styleId="DocumentMapChar">
    <w:name w:val="Document Map Char"/>
    <w:basedOn w:val="DefaultParagraphFont"/>
    <w:link w:val="DocumentMap"/>
    <w:uiPriority w:val="99"/>
    <w:semiHidden/>
    <w:rsid w:val="00294F6F"/>
    <w:rPr>
      <w:rFonts w:ascii="Arial" w:eastAsia="SimSun" w:hAnsi="Arial" w:cs="Tahoma"/>
      <w:sz w:val="24"/>
      <w:szCs w:val="16"/>
      <w:lang w:eastAsia="zh-CN"/>
    </w:rPr>
  </w:style>
  <w:style w:type="paragraph" w:styleId="EndnoteText">
    <w:name w:val="endnote text"/>
    <w:basedOn w:val="Normal"/>
    <w:link w:val="EndnoteTextChar"/>
    <w:uiPriority w:val="99"/>
    <w:unhideWhenUsed/>
    <w:rsid w:val="00294F6F"/>
    <w:pPr>
      <w:spacing w:after="0" w:line="240" w:lineRule="auto"/>
    </w:pPr>
    <w:rPr>
      <w:rFonts w:ascii="Arial" w:eastAsia="SimSun" w:hAnsi="Arial" w:cs="Arial"/>
      <w:szCs w:val="20"/>
      <w:lang w:eastAsia="zh-CN"/>
    </w:rPr>
  </w:style>
  <w:style w:type="character" w:customStyle="1" w:styleId="EndnoteTextChar">
    <w:name w:val="Endnote Text Char"/>
    <w:basedOn w:val="DefaultParagraphFont"/>
    <w:link w:val="EndnoteText"/>
    <w:uiPriority w:val="99"/>
    <w:rsid w:val="00294F6F"/>
    <w:rPr>
      <w:rFonts w:ascii="Arial" w:eastAsia="SimSun" w:hAnsi="Arial" w:cs="Arial"/>
      <w:sz w:val="24"/>
      <w:szCs w:val="20"/>
      <w:lang w:eastAsia="zh-CN"/>
    </w:rPr>
  </w:style>
  <w:style w:type="character" w:styleId="Emphasis">
    <w:name w:val="Emphasis"/>
    <w:uiPriority w:val="20"/>
    <w:qFormat/>
    <w:rsid w:val="00294F6F"/>
    <w:rPr>
      <w:i/>
      <w:iCs/>
    </w:rPr>
  </w:style>
  <w:style w:type="paragraph" w:styleId="EnvelopeReturn">
    <w:name w:val="envelope return"/>
    <w:basedOn w:val="Normal"/>
    <w:uiPriority w:val="99"/>
    <w:semiHidden/>
    <w:unhideWhenUsed/>
    <w:rsid w:val="00294F6F"/>
    <w:pPr>
      <w:spacing w:after="0" w:line="240" w:lineRule="auto"/>
    </w:pPr>
    <w:rPr>
      <w:rFonts w:ascii="Arial" w:eastAsia="SimSun" w:hAnsi="Arial" w:cs="Times New Roman"/>
      <w:szCs w:val="20"/>
      <w:lang w:eastAsia="zh-CN"/>
    </w:rPr>
  </w:style>
  <w:style w:type="paragraph" w:styleId="MessageHeader">
    <w:name w:val="Message Header"/>
    <w:basedOn w:val="Normal"/>
    <w:link w:val="MessageHeaderChar"/>
    <w:uiPriority w:val="99"/>
    <w:semiHidden/>
    <w:unhideWhenUsed/>
    <w:rsid w:val="00294F6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zCs w:val="24"/>
      <w:lang w:eastAsia="zh-CN"/>
    </w:rPr>
  </w:style>
  <w:style w:type="character" w:customStyle="1" w:styleId="MessageHeaderChar">
    <w:name w:val="Message Header Char"/>
    <w:basedOn w:val="DefaultParagraphFont"/>
    <w:link w:val="MessageHeader"/>
    <w:uiPriority w:val="99"/>
    <w:semiHidden/>
    <w:rsid w:val="00294F6F"/>
    <w:rPr>
      <w:rFonts w:ascii="Arial" w:eastAsia="SimSun" w:hAnsi="Arial" w:cs="Times New Roman"/>
      <w:sz w:val="24"/>
      <w:szCs w:val="24"/>
      <w:shd w:val="pct20" w:color="auto" w:fill="auto"/>
      <w:lang w:eastAsia="zh-CN"/>
    </w:rPr>
  </w:style>
  <w:style w:type="paragraph" w:styleId="Index1">
    <w:name w:val="index 1"/>
    <w:basedOn w:val="Normal"/>
    <w:next w:val="Normal"/>
    <w:autoRedefine/>
    <w:uiPriority w:val="99"/>
    <w:semiHidden/>
    <w:unhideWhenUsed/>
    <w:rsid w:val="00294F6F"/>
    <w:pPr>
      <w:spacing w:after="0" w:line="240" w:lineRule="auto"/>
      <w:ind w:left="240" w:hanging="240"/>
    </w:pPr>
    <w:rPr>
      <w:rFonts w:ascii="Arial" w:eastAsia="SimSun" w:hAnsi="Arial" w:cs="Arial"/>
      <w:szCs w:val="24"/>
      <w:lang w:eastAsia="zh-CN"/>
    </w:rPr>
  </w:style>
  <w:style w:type="paragraph" w:styleId="IndexHeading">
    <w:name w:val="index heading"/>
    <w:basedOn w:val="Normal"/>
    <w:next w:val="Index1"/>
    <w:uiPriority w:val="99"/>
    <w:semiHidden/>
    <w:unhideWhenUsed/>
    <w:rsid w:val="00294F6F"/>
    <w:pPr>
      <w:spacing w:before="120" w:after="0"/>
    </w:pPr>
    <w:rPr>
      <w:rFonts w:ascii="Arial" w:eastAsia="SimSun" w:hAnsi="Arial" w:cs="Times New Roman"/>
      <w:b/>
      <w:bCs/>
      <w:szCs w:val="24"/>
      <w:lang w:eastAsia="zh-CN"/>
    </w:rPr>
  </w:style>
  <w:style w:type="table" w:customStyle="1" w:styleId="TableGrid3">
    <w:name w:val="Table Grid3"/>
    <w:basedOn w:val="TableNormal"/>
    <w:next w:val="TableGrid"/>
    <w:uiPriority w:val="59"/>
    <w:rsid w:val="00294F6F"/>
    <w:pPr>
      <w:spacing w:after="0" w:line="240" w:lineRule="auto"/>
    </w:pPr>
    <w:rPr>
      <w:rFonts w:ascii="Arial" w:eastAsia="SimSun" w:hAnsi="Arial" w:cs="Arial"/>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294F6F"/>
    <w:pPr>
      <w:spacing w:before="120" w:after="0"/>
      <w:jc w:val="left"/>
    </w:pPr>
    <w:rPr>
      <w:rFonts w:ascii="Arial" w:eastAsia="SimSun" w:hAnsi="Arial" w:cs="Arial"/>
      <w:b/>
      <w:bCs/>
      <w:szCs w:val="20"/>
      <w:lang w:eastAsia="zh-CN"/>
    </w:rPr>
  </w:style>
  <w:style w:type="character" w:customStyle="1" w:styleId="CommentSubjectChar">
    <w:name w:val="Comment Subject Char"/>
    <w:basedOn w:val="CommentTextChar"/>
    <w:link w:val="CommentSubject"/>
    <w:uiPriority w:val="99"/>
    <w:semiHidden/>
    <w:rsid w:val="00294F6F"/>
    <w:rPr>
      <w:rFonts w:ascii="Arial" w:eastAsia="SimSun" w:hAnsi="Arial" w:cs="Arial"/>
      <w:b/>
      <w:bCs/>
      <w:sz w:val="20"/>
      <w:szCs w:val="20"/>
      <w:lang w:eastAsia="zh-CN"/>
    </w:rPr>
  </w:style>
  <w:style w:type="character" w:customStyle="1" w:styleId="st">
    <w:name w:val="st"/>
    <w:basedOn w:val="DefaultParagraphFont"/>
    <w:rsid w:val="00294F6F"/>
  </w:style>
  <w:style w:type="table" w:customStyle="1" w:styleId="TableGrid11">
    <w:name w:val="Table Grid11"/>
    <w:basedOn w:val="TableNormal"/>
    <w:next w:val="TableGrid"/>
    <w:uiPriority w:val="59"/>
    <w:rsid w:val="00EC38E2"/>
    <w:pPr>
      <w:spacing w:after="0" w:line="240" w:lineRule="auto"/>
    </w:pPr>
    <w:rPr>
      <w:rFonts w:ascii="Arial" w:eastAsia="Times New Roman" w:hAnsi="Arial" w:cs="Arial"/>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EC38E2"/>
    <w:pPr>
      <w:spacing w:after="0" w:line="240" w:lineRule="auto"/>
    </w:pPr>
    <w:rPr>
      <w:rFonts w:ascii="Arial" w:eastAsia="Times New Roman" w:hAnsi="Arial" w:cs="Arial"/>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82607"/>
    <w:pPr>
      <w:tabs>
        <w:tab w:val="center" w:pos="4153"/>
        <w:tab w:val="right" w:pos="8306"/>
      </w:tabs>
      <w:spacing w:after="0" w:line="240" w:lineRule="auto"/>
    </w:pPr>
  </w:style>
  <w:style w:type="character" w:customStyle="1" w:styleId="FooterChar">
    <w:name w:val="Footer Char"/>
    <w:basedOn w:val="DefaultParagraphFont"/>
    <w:link w:val="Footer"/>
    <w:uiPriority w:val="99"/>
    <w:rsid w:val="00D82607"/>
    <w:rPr>
      <w:rFonts w:asciiTheme="minorBidi" w:hAnsiTheme="minorBidi"/>
      <w:sz w:val="24"/>
    </w:rPr>
  </w:style>
  <w:style w:type="character" w:customStyle="1" w:styleId="CaptionChar">
    <w:name w:val="Caption Char"/>
    <w:basedOn w:val="DefaultParagraphFont"/>
    <w:rsid w:val="001D3F19"/>
    <w:rPr>
      <w:rFonts w:ascii="Arial" w:hAnsi="Arial" w:cs="Arial"/>
      <w:bCs/>
      <w:noProof/>
      <w:sz w:val="24"/>
      <w:szCs w:val="24"/>
      <w:lang w:eastAsia="zh-CN"/>
    </w:rPr>
  </w:style>
  <w:style w:type="character" w:customStyle="1" w:styleId="articlealttitle1">
    <w:name w:val="articlealttitle1"/>
    <w:basedOn w:val="DefaultParagraphFont"/>
    <w:rsid w:val="006A4877"/>
    <w:rPr>
      <w:sz w:val="24"/>
      <w:szCs w:val="24"/>
      <w:bdr w:val="none" w:sz="0" w:space="0" w:color="auto" w:frame="1"/>
      <w:vertAlign w:val="baseline"/>
    </w:rPr>
  </w:style>
  <w:style w:type="paragraph" w:styleId="TOC1">
    <w:name w:val="toc 1"/>
    <w:basedOn w:val="Normal"/>
    <w:next w:val="Normal"/>
    <w:autoRedefine/>
    <w:uiPriority w:val="39"/>
    <w:unhideWhenUsed/>
    <w:qFormat/>
    <w:rsid w:val="00F85233"/>
    <w:pPr>
      <w:spacing w:after="100"/>
    </w:pPr>
  </w:style>
  <w:style w:type="paragraph" w:styleId="TOC2">
    <w:name w:val="toc 2"/>
    <w:basedOn w:val="Normal"/>
    <w:next w:val="Normal"/>
    <w:autoRedefine/>
    <w:uiPriority w:val="39"/>
    <w:unhideWhenUsed/>
    <w:rsid w:val="00F85233"/>
    <w:pPr>
      <w:tabs>
        <w:tab w:val="left" w:pos="880"/>
        <w:tab w:val="right" w:leader="dot" w:pos="9016"/>
      </w:tabs>
      <w:spacing w:after="100"/>
      <w:ind w:left="240"/>
    </w:pPr>
  </w:style>
  <w:style w:type="paragraph" w:styleId="TOC3">
    <w:name w:val="toc 3"/>
    <w:basedOn w:val="Normal"/>
    <w:next w:val="Normal"/>
    <w:autoRedefine/>
    <w:uiPriority w:val="39"/>
    <w:unhideWhenUsed/>
    <w:rsid w:val="000D083C"/>
    <w:pPr>
      <w:spacing w:after="100"/>
      <w:ind w:left="480"/>
    </w:pPr>
  </w:style>
  <w:style w:type="paragraph" w:styleId="TOC4">
    <w:name w:val="toc 4"/>
    <w:basedOn w:val="Normal"/>
    <w:next w:val="Normal"/>
    <w:autoRedefine/>
    <w:uiPriority w:val="39"/>
    <w:unhideWhenUsed/>
    <w:rsid w:val="000D083C"/>
    <w:pPr>
      <w:spacing w:after="100"/>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0D083C"/>
    <w:pPr>
      <w:spacing w:after="100"/>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0D083C"/>
    <w:pPr>
      <w:spacing w:after="100"/>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0D083C"/>
    <w:pPr>
      <w:spacing w:after="100"/>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0D083C"/>
    <w:pPr>
      <w:spacing w:after="100"/>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0D083C"/>
    <w:pPr>
      <w:spacing w:after="100"/>
      <w:ind w:left="1760"/>
    </w:pPr>
    <w:rPr>
      <w:rFonts w:asciiTheme="minorHAnsi" w:eastAsiaTheme="minorEastAsia" w:hAnsiTheme="minorHAnsi" w:cstheme="minorBidi"/>
      <w:sz w:val="22"/>
      <w:szCs w:val="22"/>
      <w:lang w:eastAsia="en-GB"/>
    </w:rPr>
  </w:style>
  <w:style w:type="character" w:styleId="EndnoteReference">
    <w:name w:val="endnote reference"/>
    <w:basedOn w:val="DefaultParagraphFont"/>
    <w:uiPriority w:val="99"/>
    <w:semiHidden/>
    <w:unhideWhenUsed/>
    <w:rsid w:val="003F3689"/>
    <w:rPr>
      <w:vertAlign w:val="superscript"/>
    </w:rPr>
  </w:style>
  <w:style w:type="paragraph" w:styleId="Caption">
    <w:name w:val="caption"/>
    <w:basedOn w:val="Normal"/>
    <w:next w:val="Normal"/>
    <w:unhideWhenUsed/>
    <w:qFormat/>
    <w:rsid w:val="00A40948"/>
    <w:pPr>
      <w:spacing w:line="480" w:lineRule="auto"/>
    </w:pPr>
    <w:rPr>
      <w:bCs/>
      <w:szCs w:val="18"/>
    </w:rPr>
  </w:style>
  <w:style w:type="numbering" w:customStyle="1" w:styleId="WWOutlineListStyle">
    <w:name w:val="WW_OutlineListStyle"/>
    <w:basedOn w:val="NoList"/>
    <w:rsid w:val="00261231"/>
    <w:pPr>
      <w:numPr>
        <w:numId w:val="94"/>
      </w:numPr>
    </w:pPr>
  </w:style>
  <w:style w:type="numbering" w:customStyle="1" w:styleId="WWOutlineListStyle1">
    <w:name w:val="WW_OutlineListStyle1"/>
    <w:basedOn w:val="NoList"/>
    <w:rsid w:val="00C07655"/>
  </w:style>
  <w:style w:type="paragraph" w:customStyle="1" w:styleId="Default">
    <w:name w:val="Default"/>
    <w:rsid w:val="0064671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21971">
      <w:bodyDiv w:val="1"/>
      <w:marLeft w:val="0"/>
      <w:marRight w:val="0"/>
      <w:marTop w:val="0"/>
      <w:marBottom w:val="0"/>
      <w:divBdr>
        <w:top w:val="none" w:sz="0" w:space="0" w:color="auto"/>
        <w:left w:val="none" w:sz="0" w:space="0" w:color="auto"/>
        <w:bottom w:val="none" w:sz="0" w:space="0" w:color="auto"/>
        <w:right w:val="none" w:sz="0" w:space="0" w:color="auto"/>
      </w:divBdr>
    </w:div>
    <w:div w:id="325284931">
      <w:bodyDiv w:val="1"/>
      <w:marLeft w:val="0"/>
      <w:marRight w:val="0"/>
      <w:marTop w:val="0"/>
      <w:marBottom w:val="0"/>
      <w:divBdr>
        <w:top w:val="none" w:sz="0" w:space="0" w:color="auto"/>
        <w:left w:val="none" w:sz="0" w:space="0" w:color="auto"/>
        <w:bottom w:val="none" w:sz="0" w:space="0" w:color="auto"/>
        <w:right w:val="none" w:sz="0" w:space="0" w:color="auto"/>
      </w:divBdr>
    </w:div>
    <w:div w:id="426341886">
      <w:bodyDiv w:val="1"/>
      <w:marLeft w:val="0"/>
      <w:marRight w:val="0"/>
      <w:marTop w:val="0"/>
      <w:marBottom w:val="0"/>
      <w:divBdr>
        <w:top w:val="none" w:sz="0" w:space="0" w:color="auto"/>
        <w:left w:val="none" w:sz="0" w:space="0" w:color="auto"/>
        <w:bottom w:val="none" w:sz="0" w:space="0" w:color="auto"/>
        <w:right w:val="none" w:sz="0" w:space="0" w:color="auto"/>
      </w:divBdr>
    </w:div>
    <w:div w:id="458455781">
      <w:bodyDiv w:val="1"/>
      <w:marLeft w:val="0"/>
      <w:marRight w:val="0"/>
      <w:marTop w:val="0"/>
      <w:marBottom w:val="0"/>
      <w:divBdr>
        <w:top w:val="none" w:sz="0" w:space="0" w:color="auto"/>
        <w:left w:val="none" w:sz="0" w:space="0" w:color="auto"/>
        <w:bottom w:val="none" w:sz="0" w:space="0" w:color="auto"/>
        <w:right w:val="none" w:sz="0" w:space="0" w:color="auto"/>
      </w:divBdr>
    </w:div>
    <w:div w:id="594484151">
      <w:bodyDiv w:val="1"/>
      <w:marLeft w:val="0"/>
      <w:marRight w:val="0"/>
      <w:marTop w:val="0"/>
      <w:marBottom w:val="0"/>
      <w:divBdr>
        <w:top w:val="none" w:sz="0" w:space="0" w:color="auto"/>
        <w:left w:val="none" w:sz="0" w:space="0" w:color="auto"/>
        <w:bottom w:val="none" w:sz="0" w:space="0" w:color="auto"/>
        <w:right w:val="none" w:sz="0" w:space="0" w:color="auto"/>
      </w:divBdr>
    </w:div>
    <w:div w:id="986394130">
      <w:bodyDiv w:val="1"/>
      <w:marLeft w:val="0"/>
      <w:marRight w:val="0"/>
      <w:marTop w:val="0"/>
      <w:marBottom w:val="0"/>
      <w:divBdr>
        <w:top w:val="none" w:sz="0" w:space="0" w:color="auto"/>
        <w:left w:val="none" w:sz="0" w:space="0" w:color="auto"/>
        <w:bottom w:val="none" w:sz="0" w:space="0" w:color="auto"/>
        <w:right w:val="none" w:sz="0" w:space="0" w:color="auto"/>
      </w:divBdr>
    </w:div>
    <w:div w:id="1692533372">
      <w:bodyDiv w:val="1"/>
      <w:marLeft w:val="0"/>
      <w:marRight w:val="0"/>
      <w:marTop w:val="0"/>
      <w:marBottom w:val="0"/>
      <w:divBdr>
        <w:top w:val="none" w:sz="0" w:space="0" w:color="auto"/>
        <w:left w:val="none" w:sz="0" w:space="0" w:color="auto"/>
        <w:bottom w:val="none" w:sz="0" w:space="0" w:color="auto"/>
        <w:right w:val="none" w:sz="0" w:space="0" w:color="auto"/>
      </w:divBdr>
    </w:div>
    <w:div w:id="1713845094">
      <w:bodyDiv w:val="1"/>
      <w:marLeft w:val="0"/>
      <w:marRight w:val="0"/>
      <w:marTop w:val="0"/>
      <w:marBottom w:val="0"/>
      <w:divBdr>
        <w:top w:val="none" w:sz="0" w:space="0" w:color="auto"/>
        <w:left w:val="none" w:sz="0" w:space="0" w:color="auto"/>
        <w:bottom w:val="none" w:sz="0" w:space="0" w:color="auto"/>
        <w:right w:val="none" w:sz="0" w:space="0" w:color="auto"/>
      </w:divBdr>
    </w:div>
    <w:div w:id="210642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final\Wageh%20PhD%20Thesis%20submitted%202013.docx" TargetMode="External"/><Relationship Id="rId117" Type="http://schemas.openxmlformats.org/officeDocument/2006/relationships/theme" Target="theme/theme1.xml"/><Relationship Id="rId21" Type="http://schemas.openxmlformats.org/officeDocument/2006/relationships/hyperlink" Target="file:///F:\final\Wageh%20PhD%20Thesis%20submitted%202013.docx" TargetMode="External"/><Relationship Id="rId42" Type="http://schemas.openxmlformats.org/officeDocument/2006/relationships/image" Target="media/image6.jpeg"/><Relationship Id="rId47" Type="http://schemas.openxmlformats.org/officeDocument/2006/relationships/image" Target="media/image10.wmf"/><Relationship Id="rId63" Type="http://schemas.openxmlformats.org/officeDocument/2006/relationships/image" Target="media/image25.jpeg"/><Relationship Id="rId68" Type="http://schemas.openxmlformats.org/officeDocument/2006/relationships/image" Target="media/image30.jpeg"/><Relationship Id="rId84" Type="http://schemas.openxmlformats.org/officeDocument/2006/relationships/chart" Target="charts/chart9.xml"/><Relationship Id="rId89" Type="http://schemas.openxmlformats.org/officeDocument/2006/relationships/hyperlink" Target="http://en.wikipedia.org/wiki/Toxicity" TargetMode="External"/><Relationship Id="rId112" Type="http://schemas.openxmlformats.org/officeDocument/2006/relationships/hyperlink" Target="http://www.ncbi.nlm.nih.gov/pubmed/?term=Takamori%20Y%5Bauth%5D" TargetMode="External"/><Relationship Id="rId16" Type="http://schemas.openxmlformats.org/officeDocument/2006/relationships/hyperlink" Target="file:///F:\final\Wageh%20PhD%20Thesis%20submitted%202013.docx" TargetMode="External"/><Relationship Id="rId107" Type="http://schemas.openxmlformats.org/officeDocument/2006/relationships/chart" Target="charts/chart11.xml"/><Relationship Id="rId11" Type="http://schemas.openxmlformats.org/officeDocument/2006/relationships/hyperlink" Target="file:///F:\final\Wageh%20PhD%20Thesis%20submitted%202013.docx" TargetMode="External"/><Relationship Id="rId24" Type="http://schemas.openxmlformats.org/officeDocument/2006/relationships/hyperlink" Target="file:///F:\final\Wageh%20PhD%20Thesis%20submitted%202013.docx" TargetMode="External"/><Relationship Id="rId32" Type="http://schemas.openxmlformats.org/officeDocument/2006/relationships/hyperlink" Target="file:///F:\final\Wageh%20PhD%20Thesis%20submitted%202013.docx" TargetMode="External"/><Relationship Id="rId37" Type="http://schemas.openxmlformats.org/officeDocument/2006/relationships/image" Target="media/image2.png"/><Relationship Id="rId40" Type="http://schemas.openxmlformats.org/officeDocument/2006/relationships/image" Target="media/image4.jpeg"/><Relationship Id="rId45" Type="http://schemas.openxmlformats.org/officeDocument/2006/relationships/image" Target="media/image9.wmf"/><Relationship Id="rId53" Type="http://schemas.openxmlformats.org/officeDocument/2006/relationships/image" Target="media/image15.png"/><Relationship Id="rId58" Type="http://schemas.openxmlformats.org/officeDocument/2006/relationships/image" Target="media/image20.jpeg"/><Relationship Id="rId66" Type="http://schemas.openxmlformats.org/officeDocument/2006/relationships/image" Target="media/image28.jpeg"/><Relationship Id="rId74" Type="http://schemas.openxmlformats.org/officeDocument/2006/relationships/image" Target="media/image36.jpeg"/><Relationship Id="rId79" Type="http://schemas.openxmlformats.org/officeDocument/2006/relationships/chart" Target="charts/chart5.xml"/><Relationship Id="rId87" Type="http://schemas.openxmlformats.org/officeDocument/2006/relationships/image" Target="media/image39.jpeg"/><Relationship Id="rId102" Type="http://schemas.openxmlformats.org/officeDocument/2006/relationships/image" Target="media/image46.png"/><Relationship Id="rId110" Type="http://schemas.openxmlformats.org/officeDocument/2006/relationships/hyperlink" Target="http://en.wikipedia.org/wiki/Biochemical" TargetMode="External"/><Relationship Id="rId115"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chart" Target="charts/chart7.xml"/><Relationship Id="rId90" Type="http://schemas.openxmlformats.org/officeDocument/2006/relationships/hyperlink" Target="http://en.wikipedia.org/wiki/Cell_%28biology%29" TargetMode="External"/><Relationship Id="rId95" Type="http://schemas.openxmlformats.org/officeDocument/2006/relationships/image" Target="media/image41.jpeg"/><Relationship Id="rId19" Type="http://schemas.openxmlformats.org/officeDocument/2006/relationships/hyperlink" Target="file:///F:\final\Wageh%20PhD%20Thesis%20submitted%202013.docx" TargetMode="External"/><Relationship Id="rId14" Type="http://schemas.openxmlformats.org/officeDocument/2006/relationships/hyperlink" Target="file:///F:\final\Wageh%20PhD%20Thesis%20submitted%202013.docx" TargetMode="External"/><Relationship Id="rId22" Type="http://schemas.openxmlformats.org/officeDocument/2006/relationships/hyperlink" Target="file:///F:\final\Wageh%20PhD%20Thesis%20submitted%202013.docx" TargetMode="External"/><Relationship Id="rId27" Type="http://schemas.openxmlformats.org/officeDocument/2006/relationships/hyperlink" Target="file:///F:\final\Wageh%20PhD%20Thesis%20submitted%202013.docx" TargetMode="External"/><Relationship Id="rId30" Type="http://schemas.openxmlformats.org/officeDocument/2006/relationships/hyperlink" Target="file:///F:\final\Wageh%20PhD%20Thesis%20submitted%202013.docx" TargetMode="External"/><Relationship Id="rId35" Type="http://schemas.openxmlformats.org/officeDocument/2006/relationships/header" Target="header3.xml"/><Relationship Id="rId43" Type="http://schemas.openxmlformats.org/officeDocument/2006/relationships/image" Target="media/image7.jpeg"/><Relationship Id="rId48" Type="http://schemas.openxmlformats.org/officeDocument/2006/relationships/oleObject" Target="embeddings/oleObject2.bin"/><Relationship Id="rId56"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image" Target="media/image31.jpeg"/><Relationship Id="rId77" Type="http://schemas.openxmlformats.org/officeDocument/2006/relationships/chart" Target="charts/chart3.xml"/><Relationship Id="rId100" Type="http://schemas.openxmlformats.org/officeDocument/2006/relationships/image" Target="media/image44.png"/><Relationship Id="rId105" Type="http://schemas.openxmlformats.org/officeDocument/2006/relationships/image" Target="media/image49.png"/><Relationship Id="rId113" Type="http://schemas.openxmlformats.org/officeDocument/2006/relationships/hyperlink" Target="http://www.sciencedirect.com/science/article/pii/S1349007913000315" TargetMode="External"/><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image" Target="media/image34.jpeg"/><Relationship Id="rId80" Type="http://schemas.openxmlformats.org/officeDocument/2006/relationships/image" Target="media/image37.png"/><Relationship Id="rId85" Type="http://schemas.openxmlformats.org/officeDocument/2006/relationships/chart" Target="charts/chart10.xml"/><Relationship Id="rId93" Type="http://schemas.openxmlformats.org/officeDocument/2006/relationships/hyperlink" Target="http://en.wikipedia.org/wiki/Apoptosis" TargetMode="External"/><Relationship Id="rId98"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file:///F:\final\Wageh%20PhD%20Thesis%20submitted%202013.docx" TargetMode="External"/><Relationship Id="rId17" Type="http://schemas.openxmlformats.org/officeDocument/2006/relationships/hyperlink" Target="file:///F:\final\Wageh%20PhD%20Thesis%20submitted%202013.docx" TargetMode="External"/><Relationship Id="rId25" Type="http://schemas.openxmlformats.org/officeDocument/2006/relationships/hyperlink" Target="file:///F:\final\Wageh%20PhD%20Thesis%20submitted%202013.docx" TargetMode="External"/><Relationship Id="rId33" Type="http://schemas.openxmlformats.org/officeDocument/2006/relationships/header" Target="header2.xml"/><Relationship Id="rId38" Type="http://schemas.openxmlformats.org/officeDocument/2006/relationships/image" Target="media/image3.jpeg"/><Relationship Id="rId46" Type="http://schemas.openxmlformats.org/officeDocument/2006/relationships/oleObject" Target="embeddings/oleObject1.bin"/><Relationship Id="rId59" Type="http://schemas.openxmlformats.org/officeDocument/2006/relationships/image" Target="media/image21.jpeg"/><Relationship Id="rId67" Type="http://schemas.openxmlformats.org/officeDocument/2006/relationships/image" Target="media/image29.jpeg"/><Relationship Id="rId103" Type="http://schemas.openxmlformats.org/officeDocument/2006/relationships/image" Target="media/image47.png"/><Relationship Id="rId108" Type="http://schemas.openxmlformats.org/officeDocument/2006/relationships/chart" Target="charts/chart12.xml"/><Relationship Id="rId116" Type="http://schemas.openxmlformats.org/officeDocument/2006/relationships/fontTable" Target="fontTable.xml"/><Relationship Id="rId20" Type="http://schemas.openxmlformats.org/officeDocument/2006/relationships/hyperlink" Target="file:///F:\final\Wageh%20PhD%20Thesis%20submitted%202013.docx" TargetMode="External"/><Relationship Id="rId41" Type="http://schemas.openxmlformats.org/officeDocument/2006/relationships/image" Target="media/image5.jpeg"/><Relationship Id="rId54" Type="http://schemas.openxmlformats.org/officeDocument/2006/relationships/image" Target="media/image16.png"/><Relationship Id="rId62"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chart" Target="charts/chart1.xml"/><Relationship Id="rId83" Type="http://schemas.openxmlformats.org/officeDocument/2006/relationships/chart" Target="charts/chart8.xml"/><Relationship Id="rId88" Type="http://schemas.openxmlformats.org/officeDocument/2006/relationships/image" Target="media/image40.png"/><Relationship Id="rId91" Type="http://schemas.openxmlformats.org/officeDocument/2006/relationships/hyperlink" Target="http://en.wikipedia.org/wiki/Necrosis" TargetMode="External"/><Relationship Id="rId96" Type="http://schemas.openxmlformats.org/officeDocument/2006/relationships/hyperlink" Target="http://bioantares.com/uploads/Cyto_test.jpg" TargetMode="External"/><Relationship Id="rId11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F:\final\Wageh%20PhD%20Thesis%20submitted%202013.docx" TargetMode="External"/><Relationship Id="rId23" Type="http://schemas.openxmlformats.org/officeDocument/2006/relationships/hyperlink" Target="file:///F:\final\Wageh%20PhD%20Thesis%20submitted%202013.docx" TargetMode="External"/><Relationship Id="rId28" Type="http://schemas.openxmlformats.org/officeDocument/2006/relationships/hyperlink" Target="file:///F:\final\Wageh%20PhD%20Thesis%20submitted%202013.docx" TargetMode="External"/><Relationship Id="rId36" Type="http://schemas.openxmlformats.org/officeDocument/2006/relationships/image" Target="media/image1.emf"/><Relationship Id="rId49" Type="http://schemas.openxmlformats.org/officeDocument/2006/relationships/image" Target="media/image11.png"/><Relationship Id="rId57" Type="http://schemas.openxmlformats.org/officeDocument/2006/relationships/image" Target="media/image19.jpeg"/><Relationship Id="rId106" Type="http://schemas.openxmlformats.org/officeDocument/2006/relationships/image" Target="media/image50.png"/><Relationship Id="rId114" Type="http://schemas.openxmlformats.org/officeDocument/2006/relationships/hyperlink" Target="http://www.sciencedirect.com/science/article/pii/S1349007913000315" TargetMode="External"/><Relationship Id="rId10" Type="http://schemas.openxmlformats.org/officeDocument/2006/relationships/hyperlink" Target="file:///F:\final\Wageh%20PhD%20Thesis%20submitted%202013.docx" TargetMode="External"/><Relationship Id="rId31" Type="http://schemas.openxmlformats.org/officeDocument/2006/relationships/hyperlink" Target="file:///F:\final\Wageh%20PhD%20Thesis%20submitted%202013.docx" TargetMode="External"/><Relationship Id="rId44" Type="http://schemas.openxmlformats.org/officeDocument/2006/relationships/image" Target="media/image8.png"/><Relationship Id="rId52" Type="http://schemas.openxmlformats.org/officeDocument/2006/relationships/image" Target="media/image14.png"/><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image" Target="media/image35.jpeg"/><Relationship Id="rId78" Type="http://schemas.openxmlformats.org/officeDocument/2006/relationships/chart" Target="charts/chart4.xml"/><Relationship Id="rId81" Type="http://schemas.openxmlformats.org/officeDocument/2006/relationships/chart" Target="charts/chart6.xml"/><Relationship Id="rId86" Type="http://schemas.openxmlformats.org/officeDocument/2006/relationships/image" Target="media/image38.png"/><Relationship Id="rId94" Type="http://schemas.openxmlformats.org/officeDocument/2006/relationships/hyperlink" Target="http://en.wikipedia.org/wiki/Refractive_index" TargetMode="External"/><Relationship Id="rId99" Type="http://schemas.openxmlformats.org/officeDocument/2006/relationships/image" Target="media/image43.png"/><Relationship Id="rId101"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F:\final\Wageh%20PhD%20Thesis%20submitted%202013.docx" TargetMode="External"/><Relationship Id="rId18" Type="http://schemas.openxmlformats.org/officeDocument/2006/relationships/hyperlink" Target="file:///F:\final\Wageh%20PhD%20Thesis%20submitted%202013.docx" TargetMode="External"/><Relationship Id="rId39" Type="http://schemas.openxmlformats.org/officeDocument/2006/relationships/header" Target="header4.xml"/><Relationship Id="rId109" Type="http://schemas.openxmlformats.org/officeDocument/2006/relationships/hyperlink" Target="http://en.wikipedia.org/wiki/Programmed_cell_death" TargetMode="External"/><Relationship Id="rId34" Type="http://schemas.openxmlformats.org/officeDocument/2006/relationships/hyperlink" Target="http://www.ncbi.nlm.nih.gov/pubmed?term=Bastone%20EB%5BAuthor%5D&amp;cauthor=true&amp;cauthor_uid=10846265" TargetMode="External"/><Relationship Id="rId50" Type="http://schemas.openxmlformats.org/officeDocument/2006/relationships/image" Target="media/image12.png"/><Relationship Id="rId55" Type="http://schemas.openxmlformats.org/officeDocument/2006/relationships/image" Target="media/image17.jpeg"/><Relationship Id="rId76" Type="http://schemas.openxmlformats.org/officeDocument/2006/relationships/chart" Target="charts/chart2.xml"/><Relationship Id="rId97" Type="http://schemas.openxmlformats.org/officeDocument/2006/relationships/hyperlink" Target="http://en.wikipedia.org/wiki/Protease" TargetMode="External"/><Relationship Id="rId104"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image" Target="media/image33.jpeg"/><Relationship Id="rId92" Type="http://schemas.openxmlformats.org/officeDocument/2006/relationships/hyperlink" Target="http://en.wikipedia.org/wiki/Cell_lysis" TargetMode="External"/><Relationship Id="rId2" Type="http://schemas.openxmlformats.org/officeDocument/2006/relationships/numbering" Target="numbering.xml"/><Relationship Id="rId29" Type="http://schemas.openxmlformats.org/officeDocument/2006/relationships/hyperlink" Target="file:///F:\final\Wageh%20PhD%20Thesis%20submitted%202013.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den4wat\Desktop\RESULT%20MIC\NEW%20EXP%20EC&amp;EF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plotArea>
      <c:layout/>
      <c:scatterChart>
        <c:scatterStyle val="smoothMarker"/>
        <c:varyColors val="0"/>
        <c:ser>
          <c:idx val="0"/>
          <c:order val="0"/>
          <c:marker>
            <c:symbol val="none"/>
          </c:marker>
          <c:xVal>
            <c:numRef>
              <c:f>Sheet1!$A$24:$A$29</c:f>
              <c:numCache>
                <c:formatCode>General</c:formatCode>
                <c:ptCount val="6"/>
                <c:pt idx="0">
                  <c:v>1.34</c:v>
                </c:pt>
                <c:pt idx="1">
                  <c:v>0.75900000000001311</c:v>
                </c:pt>
                <c:pt idx="2">
                  <c:v>0.4</c:v>
                </c:pt>
                <c:pt idx="3">
                  <c:v>0.19800000000000004</c:v>
                </c:pt>
                <c:pt idx="4">
                  <c:v>0.10700000000000012</c:v>
                </c:pt>
                <c:pt idx="5">
                  <c:v>5.2000000000000018E-2</c:v>
                </c:pt>
              </c:numCache>
            </c:numRef>
          </c:xVal>
          <c:yVal>
            <c:numRef>
              <c:f>Sheet1!$B$24:$B$29</c:f>
              <c:numCache>
                <c:formatCode>0.00E+00</c:formatCode>
                <c:ptCount val="6"/>
                <c:pt idx="0">
                  <c:v>270000000</c:v>
                </c:pt>
                <c:pt idx="1">
                  <c:v>130000000</c:v>
                </c:pt>
                <c:pt idx="2">
                  <c:v>66000000</c:v>
                </c:pt>
                <c:pt idx="3">
                  <c:v>33000000</c:v>
                </c:pt>
                <c:pt idx="4">
                  <c:v>16000000</c:v>
                </c:pt>
                <c:pt idx="5">
                  <c:v>8300000</c:v>
                </c:pt>
              </c:numCache>
            </c:numRef>
          </c:yVal>
          <c:smooth val="1"/>
        </c:ser>
        <c:dLbls>
          <c:showLegendKey val="0"/>
          <c:showVal val="0"/>
          <c:showCatName val="0"/>
          <c:showSerName val="0"/>
          <c:showPercent val="0"/>
          <c:showBubbleSize val="0"/>
        </c:dLbls>
        <c:axId val="72291456"/>
        <c:axId val="72293376"/>
      </c:scatterChart>
      <c:valAx>
        <c:axId val="72291456"/>
        <c:scaling>
          <c:orientation val="minMax"/>
        </c:scaling>
        <c:delete val="0"/>
        <c:axPos val="b"/>
        <c:title>
          <c:tx>
            <c:rich>
              <a:bodyPr/>
              <a:lstStyle/>
              <a:p>
                <a:pPr>
                  <a:defRPr/>
                </a:pPr>
                <a:r>
                  <a:rPr lang="en-GB"/>
                  <a:t>Optical density</a:t>
                </a:r>
              </a:p>
            </c:rich>
          </c:tx>
          <c:overlay val="0"/>
        </c:title>
        <c:numFmt formatCode="General" sourceLinked="1"/>
        <c:majorTickMark val="out"/>
        <c:minorTickMark val="none"/>
        <c:tickLblPos val="nextTo"/>
        <c:crossAx val="72293376"/>
        <c:crosses val="autoZero"/>
        <c:crossBetween val="midCat"/>
      </c:valAx>
      <c:valAx>
        <c:axId val="72293376"/>
        <c:scaling>
          <c:orientation val="minMax"/>
        </c:scaling>
        <c:delete val="0"/>
        <c:axPos val="l"/>
        <c:majorGridlines/>
        <c:title>
          <c:tx>
            <c:rich>
              <a:bodyPr rot="-5400000" vert="horz"/>
              <a:lstStyle/>
              <a:p>
                <a:pPr>
                  <a:defRPr/>
                </a:pPr>
                <a:r>
                  <a:rPr lang="en-GB"/>
                  <a:t>CFU/ml</a:t>
                </a:r>
              </a:p>
            </c:rich>
          </c:tx>
          <c:overlay val="0"/>
        </c:title>
        <c:numFmt formatCode="0.00E+00" sourceLinked="1"/>
        <c:majorTickMark val="out"/>
        <c:minorTickMark val="none"/>
        <c:tickLblPos val="nextTo"/>
        <c:crossAx val="72291456"/>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a:pPr>
            <a:r>
              <a:rPr lang="en-US" i="1"/>
              <a:t>A. odontolyticus </a:t>
            </a:r>
            <a:r>
              <a:rPr lang="en-US"/>
              <a:t>(NCTC 9335)</a:t>
            </a:r>
          </a:p>
        </c:rich>
      </c:tx>
      <c:overlay val="1"/>
    </c:title>
    <c:autoTitleDeleted val="0"/>
    <c:plotArea>
      <c:layout/>
      <c:barChart>
        <c:barDir val="col"/>
        <c:grouping val="clustered"/>
        <c:varyColors val="0"/>
        <c:ser>
          <c:idx val="0"/>
          <c:order val="0"/>
          <c:invertIfNegative val="0"/>
          <c:cat>
            <c:strRef>
              <c:f>Sheet1!$B$69:$B$75</c:f>
              <c:strCache>
                <c:ptCount val="7"/>
                <c:pt idx="0">
                  <c:v>NSCH</c:v>
                </c:pt>
                <c:pt idx="1">
                  <c:v>MTA</c:v>
                </c:pt>
                <c:pt idx="2">
                  <c:v>e (Mino)</c:v>
                </c:pt>
                <c:pt idx="3">
                  <c:v> (Cip)</c:v>
                </c:pt>
                <c:pt idx="4">
                  <c:v> (Met)</c:v>
                </c:pt>
                <c:pt idx="5">
                  <c:v>(Cip + Met)</c:v>
                </c:pt>
                <c:pt idx="6">
                  <c:v>(Mino+ Cip + Met)</c:v>
                </c:pt>
              </c:strCache>
            </c:strRef>
          </c:cat>
          <c:val>
            <c:numRef>
              <c:f>Sheet1!$C$69:$C$75</c:f>
              <c:numCache>
                <c:formatCode>General</c:formatCode>
                <c:ptCount val="7"/>
                <c:pt idx="0">
                  <c:v>8.7900000000000009</c:v>
                </c:pt>
                <c:pt idx="1">
                  <c:v>28.630000000000013</c:v>
                </c:pt>
                <c:pt idx="2">
                  <c:v>27.479999999999986</c:v>
                </c:pt>
                <c:pt idx="3">
                  <c:v>27.64</c:v>
                </c:pt>
                <c:pt idx="4">
                  <c:v>20.75</c:v>
                </c:pt>
                <c:pt idx="5">
                  <c:v>38.5</c:v>
                </c:pt>
                <c:pt idx="6">
                  <c:v>39.94</c:v>
                </c:pt>
              </c:numCache>
            </c:numRef>
          </c:val>
        </c:ser>
        <c:dLbls>
          <c:showLegendKey val="0"/>
          <c:showVal val="0"/>
          <c:showCatName val="0"/>
          <c:showSerName val="0"/>
          <c:showPercent val="0"/>
          <c:showBubbleSize val="0"/>
        </c:dLbls>
        <c:gapWidth val="150"/>
        <c:axId val="118208000"/>
        <c:axId val="118209920"/>
      </c:barChart>
      <c:catAx>
        <c:axId val="118208000"/>
        <c:scaling>
          <c:orientation val="minMax"/>
        </c:scaling>
        <c:delete val="0"/>
        <c:axPos val="b"/>
        <c:title>
          <c:tx>
            <c:rich>
              <a:bodyPr/>
              <a:lstStyle/>
              <a:p>
                <a:pPr>
                  <a:defRPr/>
                </a:pPr>
                <a:r>
                  <a:rPr lang="en-GB"/>
                  <a:t>Test material</a:t>
                </a:r>
              </a:p>
            </c:rich>
          </c:tx>
          <c:overlay val="0"/>
        </c:title>
        <c:majorTickMark val="out"/>
        <c:minorTickMark val="none"/>
        <c:tickLblPos val="nextTo"/>
        <c:crossAx val="118209920"/>
        <c:crosses val="autoZero"/>
        <c:auto val="1"/>
        <c:lblAlgn val="ctr"/>
        <c:lblOffset val="100"/>
        <c:noMultiLvlLbl val="0"/>
      </c:catAx>
      <c:valAx>
        <c:axId val="118209920"/>
        <c:scaling>
          <c:orientation val="minMax"/>
        </c:scaling>
        <c:delete val="0"/>
        <c:axPos val="l"/>
        <c:majorGridlines/>
        <c:title>
          <c:tx>
            <c:rich>
              <a:bodyPr rot="-5400000" vert="horz"/>
              <a:lstStyle/>
              <a:p>
                <a:pPr>
                  <a:defRPr/>
                </a:pPr>
                <a:r>
                  <a:rPr lang="en-US"/>
                  <a:t>Mean  inhibition zone (mm)</a:t>
                </a:r>
              </a:p>
            </c:rich>
          </c:tx>
          <c:overlay val="0"/>
        </c:title>
        <c:numFmt formatCode="General" sourceLinked="1"/>
        <c:majorTickMark val="out"/>
        <c:minorTickMark val="none"/>
        <c:tickLblPos val="nextTo"/>
        <c:crossAx val="11820800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n-US"/>
              <a:t>Cell counting using Trypan Blue:</a:t>
            </a:r>
          </a:p>
        </c:rich>
      </c:tx>
      <c:overlay val="0"/>
    </c:title>
    <c:autoTitleDeleted val="0"/>
    <c:plotArea>
      <c:layout/>
      <c:barChart>
        <c:barDir val="col"/>
        <c:grouping val="clustered"/>
        <c:varyColors val="0"/>
        <c:ser>
          <c:idx val="0"/>
          <c:order val="0"/>
          <c:invertIfNegative val="0"/>
          <c:errBars>
            <c:errBarType val="both"/>
            <c:errValType val="cust"/>
            <c:noEndCap val="0"/>
            <c:plus>
              <c:numLit>
                <c:formatCode>General</c:formatCode>
                <c:ptCount val="1"/>
                <c:pt idx="0">
                  <c:v>1</c:v>
                </c:pt>
              </c:numLit>
            </c:plus>
            <c:minus>
              <c:numLit>
                <c:formatCode>General</c:formatCode>
                <c:ptCount val="1"/>
                <c:pt idx="0">
                  <c:v>1</c:v>
                </c:pt>
              </c:numLit>
            </c:minus>
          </c:errBars>
          <c:cat>
            <c:strRef>
              <c:f>Sheet2!$B$14:$B$19</c:f>
              <c:strCache>
                <c:ptCount val="6"/>
                <c:pt idx="0">
                  <c:v>cont</c:v>
                </c:pt>
                <c:pt idx="1">
                  <c:v>Met</c:v>
                </c:pt>
                <c:pt idx="2">
                  <c:v>Cip</c:v>
                </c:pt>
                <c:pt idx="3">
                  <c:v>Mino</c:v>
                </c:pt>
                <c:pt idx="4">
                  <c:v>2Ab</c:v>
                </c:pt>
                <c:pt idx="5">
                  <c:v>3Ab</c:v>
                </c:pt>
              </c:strCache>
            </c:strRef>
          </c:cat>
          <c:val>
            <c:numRef>
              <c:f>Sheet2!$E$14:$E$19</c:f>
              <c:numCache>
                <c:formatCode>General</c:formatCode>
                <c:ptCount val="6"/>
                <c:pt idx="0">
                  <c:v>93.458258542663302</c:v>
                </c:pt>
                <c:pt idx="1">
                  <c:v>94.869609566189254</c:v>
                </c:pt>
                <c:pt idx="2">
                  <c:v>73.689490368511869</c:v>
                </c:pt>
                <c:pt idx="3">
                  <c:v>79.002991910415247</c:v>
                </c:pt>
                <c:pt idx="4">
                  <c:v>86.194947462553102</c:v>
                </c:pt>
                <c:pt idx="5">
                  <c:v>84.277643681099562</c:v>
                </c:pt>
              </c:numCache>
            </c:numRef>
          </c:val>
        </c:ser>
        <c:dLbls>
          <c:showLegendKey val="0"/>
          <c:showVal val="0"/>
          <c:showCatName val="0"/>
          <c:showSerName val="0"/>
          <c:showPercent val="0"/>
          <c:showBubbleSize val="0"/>
        </c:dLbls>
        <c:gapWidth val="150"/>
        <c:axId val="118397952"/>
        <c:axId val="118416128"/>
      </c:barChart>
      <c:catAx>
        <c:axId val="118397952"/>
        <c:scaling>
          <c:orientation val="minMax"/>
        </c:scaling>
        <c:delete val="0"/>
        <c:axPos val="b"/>
        <c:numFmt formatCode="General" sourceLinked="1"/>
        <c:majorTickMark val="none"/>
        <c:minorTickMark val="none"/>
        <c:tickLblPos val="nextTo"/>
        <c:crossAx val="118416128"/>
        <c:crosses val="autoZero"/>
        <c:auto val="1"/>
        <c:lblAlgn val="ctr"/>
        <c:lblOffset val="100"/>
        <c:noMultiLvlLbl val="0"/>
      </c:catAx>
      <c:valAx>
        <c:axId val="118416128"/>
        <c:scaling>
          <c:orientation val="minMax"/>
        </c:scaling>
        <c:delete val="0"/>
        <c:axPos val="l"/>
        <c:majorGridlines/>
        <c:title>
          <c:tx>
            <c:rich>
              <a:bodyPr/>
              <a:lstStyle/>
              <a:p>
                <a:pPr>
                  <a:defRPr sz="1000" b="1" i="0" u="none" strike="noStrike" baseline="0">
                    <a:solidFill>
                      <a:srgbClr val="FFFFFF"/>
                    </a:solidFill>
                    <a:latin typeface="Calibri"/>
                    <a:ea typeface="Calibri"/>
                    <a:cs typeface="Calibri"/>
                  </a:defRPr>
                </a:pPr>
                <a:r>
                  <a:rPr lang="en-GB"/>
                  <a:t>Percentage of pulp survival cells </a:t>
                </a:r>
              </a:p>
            </c:rich>
          </c:tx>
          <c:overlay val="0"/>
        </c:title>
        <c:numFmt formatCode="General" sourceLinked="1"/>
        <c:majorTickMark val="none"/>
        <c:minorTickMark val="none"/>
        <c:tickLblPos val="nextTo"/>
        <c:crossAx val="118397952"/>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3"/>
    </mc:Choice>
    <mc:Fallback>
      <c:style val="4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errBars>
            <c:errBarType val="both"/>
            <c:errValType val="cust"/>
            <c:noEndCap val="0"/>
            <c:plus>
              <c:numRef>
                <c:f>Sheet1!$L$24:$L$29</c:f>
                <c:numCache>
                  <c:formatCode>General</c:formatCode>
                  <c:ptCount val="6"/>
                  <c:pt idx="0">
                    <c:v>8.2103303106222589E-2</c:v>
                  </c:pt>
                  <c:pt idx="1">
                    <c:v>0.10834249045547756</c:v>
                  </c:pt>
                  <c:pt idx="2">
                    <c:v>0.51174584465710049</c:v>
                  </c:pt>
                  <c:pt idx="3">
                    <c:v>0.33064103683314261</c:v>
                  </c:pt>
                  <c:pt idx="4">
                    <c:v>0.22886261214557341</c:v>
                  </c:pt>
                  <c:pt idx="5">
                    <c:v>0.12121213203463134</c:v>
                  </c:pt>
                </c:numCache>
              </c:numRef>
            </c:plus>
            <c:minus>
              <c:numRef>
                <c:f>Sheet1!$L$24:$L$29</c:f>
                <c:numCache>
                  <c:formatCode>General</c:formatCode>
                  <c:ptCount val="6"/>
                  <c:pt idx="0">
                    <c:v>8.2103303106222589E-2</c:v>
                  </c:pt>
                  <c:pt idx="1">
                    <c:v>0.10834249045547756</c:v>
                  </c:pt>
                  <c:pt idx="2">
                    <c:v>0.51174584465710049</c:v>
                  </c:pt>
                  <c:pt idx="3">
                    <c:v>0.33064103683314261</c:v>
                  </c:pt>
                  <c:pt idx="4">
                    <c:v>0.22886261214557341</c:v>
                  </c:pt>
                  <c:pt idx="5">
                    <c:v>0.12121213203463134</c:v>
                  </c:pt>
                </c:numCache>
              </c:numRef>
            </c:minus>
          </c:errBars>
          <c:cat>
            <c:strRef>
              <c:f>Sheet1!$J$24:$J$29</c:f>
              <c:strCache>
                <c:ptCount val="6"/>
                <c:pt idx="0">
                  <c:v>Cont</c:v>
                </c:pt>
                <c:pt idx="1">
                  <c:v>Met</c:v>
                </c:pt>
                <c:pt idx="2">
                  <c:v>Cip</c:v>
                </c:pt>
                <c:pt idx="3">
                  <c:v>Mino</c:v>
                </c:pt>
                <c:pt idx="4">
                  <c:v>2Ab</c:v>
                </c:pt>
                <c:pt idx="5">
                  <c:v>3Ab</c:v>
                </c:pt>
              </c:strCache>
            </c:strRef>
          </c:cat>
          <c:val>
            <c:numRef>
              <c:f>Sheet1!$K$24:$K$29</c:f>
              <c:numCache>
                <c:formatCode>General</c:formatCode>
                <c:ptCount val="6"/>
                <c:pt idx="0">
                  <c:v>46.428571428571438</c:v>
                </c:pt>
                <c:pt idx="1">
                  <c:v>48.705357142857139</c:v>
                </c:pt>
                <c:pt idx="2">
                  <c:v>59.866071428571423</c:v>
                </c:pt>
                <c:pt idx="3">
                  <c:v>60.174107142857146</c:v>
                </c:pt>
                <c:pt idx="4">
                  <c:v>40.178571428571431</c:v>
                </c:pt>
                <c:pt idx="5">
                  <c:v>45.803571428571423</c:v>
                </c:pt>
              </c:numCache>
            </c:numRef>
          </c:val>
        </c:ser>
        <c:dLbls>
          <c:showLegendKey val="0"/>
          <c:showVal val="0"/>
          <c:showCatName val="0"/>
          <c:showSerName val="0"/>
          <c:showPercent val="0"/>
          <c:showBubbleSize val="0"/>
        </c:dLbls>
        <c:gapWidth val="150"/>
        <c:axId val="120628736"/>
        <c:axId val="120630272"/>
      </c:barChart>
      <c:catAx>
        <c:axId val="120628736"/>
        <c:scaling>
          <c:orientation val="minMax"/>
        </c:scaling>
        <c:delete val="0"/>
        <c:axPos val="b"/>
        <c:majorTickMark val="out"/>
        <c:minorTickMark val="none"/>
        <c:tickLblPos val="nextTo"/>
        <c:crossAx val="120630272"/>
        <c:crosses val="autoZero"/>
        <c:auto val="1"/>
        <c:lblAlgn val="ctr"/>
        <c:lblOffset val="100"/>
        <c:noMultiLvlLbl val="0"/>
      </c:catAx>
      <c:valAx>
        <c:axId val="120630272"/>
        <c:scaling>
          <c:orientation val="minMax"/>
        </c:scaling>
        <c:delete val="0"/>
        <c:axPos val="l"/>
        <c:majorGridlines/>
        <c:title>
          <c:tx>
            <c:rich>
              <a:bodyPr rot="-5400000" vert="horz"/>
              <a:lstStyle/>
              <a:p>
                <a:pPr>
                  <a:defRPr/>
                </a:pPr>
                <a:r>
                  <a:rPr lang="en-GB"/>
                  <a:t>percentage</a:t>
                </a:r>
                <a:r>
                  <a:rPr lang="en-GB" baseline="0"/>
                  <a:t> of cytototoxic cells</a:t>
                </a:r>
                <a:endParaRPr lang="en-GB"/>
              </a:p>
            </c:rich>
          </c:tx>
          <c:overlay val="0"/>
        </c:title>
        <c:numFmt formatCode="General" sourceLinked="1"/>
        <c:majorTickMark val="out"/>
        <c:minorTickMark val="none"/>
        <c:tickLblPos val="nextTo"/>
        <c:crossAx val="12062873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endParaRPr lang="en-GB"/>
          </a:p>
        </c:rich>
      </c:tx>
      <c:overlay val="0"/>
    </c:title>
    <c:autoTitleDeleted val="0"/>
    <c:plotArea>
      <c:layout>
        <c:manualLayout>
          <c:xMode val="edge"/>
          <c:yMode val="edge"/>
          <c:x val="5.7173687753074291E-2"/>
          <c:y val="9.7174525157163169E-2"/>
          <c:w val="0.91227064391713586"/>
          <c:h val="0.90230017774545679"/>
        </c:manualLayout>
      </c:layout>
      <c:barChart>
        <c:barDir val="col"/>
        <c:grouping val="clustered"/>
        <c:varyColors val="0"/>
        <c:ser>
          <c:idx val="0"/>
          <c:order val="0"/>
          <c:tx>
            <c:v/>
          </c:tx>
          <c:invertIfNegative val="0"/>
          <c:errBars>
            <c:errBarType val="both"/>
            <c:errValType val="fixedVal"/>
            <c:noEndCap val="0"/>
            <c:val val="1"/>
          </c:errBars>
          <c:cat>
            <c:strLit>
              <c:ptCount val="6"/>
              <c:pt idx="0">
                <c:v>Cont</c:v>
              </c:pt>
              <c:pt idx="1">
                <c:v>Met</c:v>
              </c:pt>
              <c:pt idx="2">
                <c:v>Cip</c:v>
              </c:pt>
              <c:pt idx="3">
                <c:v>Mino</c:v>
              </c:pt>
              <c:pt idx="4">
                <c:v>2Ab</c:v>
              </c:pt>
              <c:pt idx="5">
                <c:v>3Ab</c:v>
              </c:pt>
            </c:strLit>
          </c:cat>
          <c:val>
            <c:numLit>
              <c:formatCode>General</c:formatCode>
              <c:ptCount val="6"/>
              <c:pt idx="0">
                <c:v>86.061111111111117</c:v>
              </c:pt>
              <c:pt idx="1">
                <c:v>81.433333333333309</c:v>
              </c:pt>
              <c:pt idx="2">
                <c:v>77.855555555555398</c:v>
              </c:pt>
              <c:pt idx="3">
                <c:v>84.055555555555458</c:v>
              </c:pt>
              <c:pt idx="4">
                <c:v>83.988888888888695</c:v>
              </c:pt>
              <c:pt idx="5">
                <c:v>85.822222222222209</c:v>
              </c:pt>
            </c:numLit>
          </c:val>
        </c:ser>
        <c:dLbls>
          <c:showLegendKey val="0"/>
          <c:showVal val="0"/>
          <c:showCatName val="0"/>
          <c:showSerName val="0"/>
          <c:showPercent val="0"/>
          <c:showBubbleSize val="0"/>
        </c:dLbls>
        <c:gapWidth val="150"/>
        <c:axId val="120710272"/>
        <c:axId val="120687616"/>
      </c:barChart>
      <c:valAx>
        <c:axId val="120687616"/>
        <c:scaling>
          <c:orientation val="minMax"/>
        </c:scaling>
        <c:delete val="0"/>
        <c:axPos val="l"/>
        <c:majorGridlines/>
        <c:title>
          <c:tx>
            <c:rich>
              <a:bodyPr rot="-5400000" vert="horz"/>
              <a:lstStyle/>
              <a:p>
                <a:pPr>
                  <a:defRPr/>
                </a:pPr>
                <a:r>
                  <a:rPr lang="en-GB"/>
                  <a:t>percentage of viable cells</a:t>
                </a:r>
              </a:p>
            </c:rich>
          </c:tx>
          <c:overlay val="0"/>
        </c:title>
        <c:numFmt formatCode="General" sourceLinked="0"/>
        <c:majorTickMark val="out"/>
        <c:minorTickMark val="none"/>
        <c:tickLblPos val="nextTo"/>
        <c:crossAx val="120710272"/>
        <c:crosses val="autoZero"/>
        <c:crossBetween val="between"/>
      </c:valAx>
      <c:catAx>
        <c:axId val="120710272"/>
        <c:scaling>
          <c:orientation val="minMax"/>
        </c:scaling>
        <c:delete val="0"/>
        <c:axPos val="b"/>
        <c:numFmt formatCode="General" sourceLinked="0"/>
        <c:majorTickMark val="out"/>
        <c:minorTickMark val="none"/>
        <c:tickLblPos val="nextTo"/>
        <c:crossAx val="120687616"/>
        <c:crosses val="autoZero"/>
        <c:auto val="1"/>
        <c:lblAlgn val="ctr"/>
        <c:lblOffset val="100"/>
        <c:noMultiLvlLbl val="0"/>
      </c:cat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plotArea>
      <c:layout/>
      <c:scatterChart>
        <c:scatterStyle val="smoothMarker"/>
        <c:varyColors val="0"/>
        <c:ser>
          <c:idx val="0"/>
          <c:order val="0"/>
          <c:marker>
            <c:symbol val="none"/>
          </c:marker>
          <c:xVal>
            <c:numRef>
              <c:f>Sheet1!$D$24:$D$29</c:f>
              <c:numCache>
                <c:formatCode>General</c:formatCode>
                <c:ptCount val="6"/>
                <c:pt idx="0">
                  <c:v>1.302</c:v>
                </c:pt>
                <c:pt idx="1">
                  <c:v>0.76400000000000046</c:v>
                </c:pt>
                <c:pt idx="2">
                  <c:v>0.39300000000000035</c:v>
                </c:pt>
                <c:pt idx="3">
                  <c:v>0.2</c:v>
                </c:pt>
                <c:pt idx="4">
                  <c:v>9.3000000000000083E-2</c:v>
                </c:pt>
                <c:pt idx="5">
                  <c:v>5.3999999999999999E-2</c:v>
                </c:pt>
              </c:numCache>
            </c:numRef>
          </c:xVal>
          <c:yVal>
            <c:numRef>
              <c:f>Sheet1!$E$24:$E$29</c:f>
              <c:numCache>
                <c:formatCode>0.00E+00</c:formatCode>
                <c:ptCount val="6"/>
                <c:pt idx="0">
                  <c:v>240000000</c:v>
                </c:pt>
                <c:pt idx="1">
                  <c:v>120000000</c:v>
                </c:pt>
                <c:pt idx="2">
                  <c:v>60000000</c:v>
                </c:pt>
                <c:pt idx="3">
                  <c:v>30000000</c:v>
                </c:pt>
                <c:pt idx="4">
                  <c:v>15000000</c:v>
                </c:pt>
                <c:pt idx="5">
                  <c:v>7500000</c:v>
                </c:pt>
              </c:numCache>
            </c:numRef>
          </c:yVal>
          <c:smooth val="1"/>
        </c:ser>
        <c:dLbls>
          <c:showLegendKey val="0"/>
          <c:showVal val="0"/>
          <c:showCatName val="0"/>
          <c:showSerName val="0"/>
          <c:showPercent val="0"/>
          <c:showBubbleSize val="0"/>
        </c:dLbls>
        <c:axId val="111327872"/>
        <c:axId val="112263936"/>
      </c:scatterChart>
      <c:valAx>
        <c:axId val="111327872"/>
        <c:scaling>
          <c:orientation val="minMax"/>
        </c:scaling>
        <c:delete val="0"/>
        <c:axPos val="b"/>
        <c:title>
          <c:tx>
            <c:rich>
              <a:bodyPr/>
              <a:lstStyle/>
              <a:p>
                <a:pPr>
                  <a:defRPr/>
                </a:pPr>
                <a:r>
                  <a:rPr lang="en-GB"/>
                  <a:t>Optical density</a:t>
                </a:r>
              </a:p>
            </c:rich>
          </c:tx>
          <c:overlay val="0"/>
        </c:title>
        <c:numFmt formatCode="General" sourceLinked="1"/>
        <c:majorTickMark val="out"/>
        <c:minorTickMark val="none"/>
        <c:tickLblPos val="nextTo"/>
        <c:crossAx val="112263936"/>
        <c:crosses val="autoZero"/>
        <c:crossBetween val="midCat"/>
      </c:valAx>
      <c:valAx>
        <c:axId val="112263936"/>
        <c:scaling>
          <c:orientation val="minMax"/>
        </c:scaling>
        <c:delete val="0"/>
        <c:axPos val="l"/>
        <c:majorGridlines/>
        <c:title>
          <c:tx>
            <c:rich>
              <a:bodyPr rot="-5400000" vert="horz"/>
              <a:lstStyle/>
              <a:p>
                <a:pPr>
                  <a:defRPr/>
                </a:pPr>
                <a:r>
                  <a:rPr lang="en-GB"/>
                  <a:t>CFU/ml</a:t>
                </a:r>
              </a:p>
            </c:rich>
          </c:tx>
          <c:overlay val="0"/>
        </c:title>
        <c:numFmt formatCode="0.00E+00" sourceLinked="1"/>
        <c:majorTickMark val="out"/>
        <c:minorTickMark val="none"/>
        <c:tickLblPos val="nextTo"/>
        <c:crossAx val="11132787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plotArea>
      <c:layout/>
      <c:scatterChart>
        <c:scatterStyle val="smoothMarker"/>
        <c:varyColors val="0"/>
        <c:ser>
          <c:idx val="0"/>
          <c:order val="0"/>
          <c:marker>
            <c:symbol val="none"/>
          </c:marker>
          <c:xVal>
            <c:numRef>
              <c:f>Sheet1!$A$3:$A$9</c:f>
              <c:numCache>
                <c:formatCode>General</c:formatCode>
                <c:ptCount val="7"/>
                <c:pt idx="0">
                  <c:v>0.92500000000000004</c:v>
                </c:pt>
                <c:pt idx="1">
                  <c:v>0.44800000000000001</c:v>
                </c:pt>
                <c:pt idx="2">
                  <c:v>0.23</c:v>
                </c:pt>
                <c:pt idx="3">
                  <c:v>0.12100000000000002</c:v>
                </c:pt>
                <c:pt idx="4">
                  <c:v>6.2000000000000034E-2</c:v>
                </c:pt>
                <c:pt idx="5">
                  <c:v>2.9000000000000001E-2</c:v>
                </c:pt>
                <c:pt idx="6">
                  <c:v>7.0000000000000036E-3</c:v>
                </c:pt>
              </c:numCache>
            </c:numRef>
          </c:xVal>
          <c:yVal>
            <c:numRef>
              <c:f>Sheet1!$B$3:$B$9</c:f>
              <c:numCache>
                <c:formatCode>0.00E+00</c:formatCode>
                <c:ptCount val="7"/>
                <c:pt idx="0">
                  <c:v>450000000</c:v>
                </c:pt>
                <c:pt idx="1">
                  <c:v>220000000</c:v>
                </c:pt>
                <c:pt idx="2">
                  <c:v>110000000</c:v>
                </c:pt>
                <c:pt idx="3">
                  <c:v>56000000</c:v>
                </c:pt>
                <c:pt idx="4">
                  <c:v>28000000</c:v>
                </c:pt>
                <c:pt idx="5">
                  <c:v>14000000</c:v>
                </c:pt>
                <c:pt idx="6">
                  <c:v>7000000</c:v>
                </c:pt>
              </c:numCache>
            </c:numRef>
          </c:yVal>
          <c:smooth val="1"/>
        </c:ser>
        <c:dLbls>
          <c:showLegendKey val="0"/>
          <c:showVal val="0"/>
          <c:showCatName val="0"/>
          <c:showSerName val="0"/>
          <c:showPercent val="0"/>
          <c:showBubbleSize val="0"/>
        </c:dLbls>
        <c:axId val="72339840"/>
        <c:axId val="72341760"/>
      </c:scatterChart>
      <c:valAx>
        <c:axId val="72339840"/>
        <c:scaling>
          <c:orientation val="minMax"/>
        </c:scaling>
        <c:delete val="0"/>
        <c:axPos val="b"/>
        <c:title>
          <c:tx>
            <c:rich>
              <a:bodyPr/>
              <a:lstStyle/>
              <a:p>
                <a:pPr>
                  <a:defRPr/>
                </a:pPr>
                <a:r>
                  <a:rPr lang="en-GB"/>
                  <a:t>Optical density</a:t>
                </a:r>
              </a:p>
            </c:rich>
          </c:tx>
          <c:overlay val="0"/>
        </c:title>
        <c:numFmt formatCode="General" sourceLinked="1"/>
        <c:majorTickMark val="out"/>
        <c:minorTickMark val="none"/>
        <c:tickLblPos val="nextTo"/>
        <c:crossAx val="72341760"/>
        <c:crosses val="autoZero"/>
        <c:crossBetween val="midCat"/>
      </c:valAx>
      <c:valAx>
        <c:axId val="72341760"/>
        <c:scaling>
          <c:orientation val="minMax"/>
        </c:scaling>
        <c:delete val="0"/>
        <c:axPos val="l"/>
        <c:majorGridlines/>
        <c:title>
          <c:tx>
            <c:rich>
              <a:bodyPr rot="-5400000" vert="horz"/>
              <a:lstStyle/>
              <a:p>
                <a:pPr>
                  <a:defRPr/>
                </a:pPr>
                <a:r>
                  <a:rPr lang="en-GB"/>
                  <a:t>CFU/ML</a:t>
                </a:r>
              </a:p>
            </c:rich>
          </c:tx>
          <c:overlay val="0"/>
        </c:title>
        <c:numFmt formatCode="0.00E+00" sourceLinked="1"/>
        <c:majorTickMark val="out"/>
        <c:minorTickMark val="none"/>
        <c:tickLblPos val="nextTo"/>
        <c:crossAx val="72339840"/>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plotArea>
      <c:layout/>
      <c:scatterChart>
        <c:scatterStyle val="smoothMarker"/>
        <c:varyColors val="0"/>
        <c:ser>
          <c:idx val="0"/>
          <c:order val="0"/>
          <c:marker>
            <c:symbol val="none"/>
          </c:marker>
          <c:xVal>
            <c:numRef>
              <c:f>Sheet1!$A$35:$A$41</c:f>
              <c:numCache>
                <c:formatCode>General</c:formatCode>
                <c:ptCount val="7"/>
                <c:pt idx="0">
                  <c:v>0.98299999999999998</c:v>
                </c:pt>
                <c:pt idx="1">
                  <c:v>0.4780000000000002</c:v>
                </c:pt>
                <c:pt idx="2">
                  <c:v>0.26400000000000001</c:v>
                </c:pt>
                <c:pt idx="3">
                  <c:v>0.13200000000000001</c:v>
                </c:pt>
                <c:pt idx="4">
                  <c:v>7.8000000000000014E-2</c:v>
                </c:pt>
                <c:pt idx="5">
                  <c:v>2.8000000000000001E-2</c:v>
                </c:pt>
                <c:pt idx="6">
                  <c:v>1.4999999999999998E-2</c:v>
                </c:pt>
              </c:numCache>
            </c:numRef>
          </c:xVal>
          <c:yVal>
            <c:numRef>
              <c:f>Sheet1!$B$35:$B$41</c:f>
              <c:numCache>
                <c:formatCode>0.00E+00</c:formatCode>
                <c:ptCount val="7"/>
                <c:pt idx="0">
                  <c:v>220000000</c:v>
                </c:pt>
                <c:pt idx="1">
                  <c:v>110000000</c:v>
                </c:pt>
                <c:pt idx="2">
                  <c:v>54000000</c:v>
                </c:pt>
                <c:pt idx="3">
                  <c:v>27000000</c:v>
                </c:pt>
                <c:pt idx="4">
                  <c:v>13000000</c:v>
                </c:pt>
                <c:pt idx="5">
                  <c:v>6700000</c:v>
                </c:pt>
                <c:pt idx="6">
                  <c:v>3400000</c:v>
                </c:pt>
              </c:numCache>
            </c:numRef>
          </c:yVal>
          <c:smooth val="1"/>
        </c:ser>
        <c:dLbls>
          <c:showLegendKey val="0"/>
          <c:showVal val="0"/>
          <c:showCatName val="0"/>
          <c:showSerName val="0"/>
          <c:showPercent val="0"/>
          <c:showBubbleSize val="0"/>
        </c:dLbls>
        <c:axId val="72300416"/>
        <c:axId val="114630656"/>
      </c:scatterChart>
      <c:valAx>
        <c:axId val="72300416"/>
        <c:scaling>
          <c:orientation val="minMax"/>
        </c:scaling>
        <c:delete val="0"/>
        <c:axPos val="b"/>
        <c:title>
          <c:tx>
            <c:rich>
              <a:bodyPr/>
              <a:lstStyle/>
              <a:p>
                <a:pPr>
                  <a:defRPr/>
                </a:pPr>
                <a:r>
                  <a:rPr lang="en-GB"/>
                  <a:t>Optical density</a:t>
                </a:r>
              </a:p>
            </c:rich>
          </c:tx>
          <c:overlay val="0"/>
        </c:title>
        <c:numFmt formatCode="General" sourceLinked="1"/>
        <c:majorTickMark val="out"/>
        <c:minorTickMark val="none"/>
        <c:tickLblPos val="nextTo"/>
        <c:crossAx val="114630656"/>
        <c:crosses val="autoZero"/>
        <c:crossBetween val="midCat"/>
      </c:valAx>
      <c:valAx>
        <c:axId val="114630656"/>
        <c:scaling>
          <c:orientation val="minMax"/>
        </c:scaling>
        <c:delete val="0"/>
        <c:axPos val="l"/>
        <c:majorGridlines/>
        <c:title>
          <c:tx>
            <c:rich>
              <a:bodyPr rot="-5400000" vert="horz"/>
              <a:lstStyle/>
              <a:p>
                <a:pPr>
                  <a:defRPr/>
                </a:pPr>
                <a:r>
                  <a:rPr lang="en-GB"/>
                  <a:t>CFU/ml</a:t>
                </a:r>
              </a:p>
            </c:rich>
          </c:tx>
          <c:overlay val="0"/>
        </c:title>
        <c:numFmt formatCode="0.00E+00" sourceLinked="1"/>
        <c:majorTickMark val="out"/>
        <c:minorTickMark val="none"/>
        <c:tickLblPos val="nextTo"/>
        <c:crossAx val="72300416"/>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plotArea>
      <c:layout/>
      <c:scatterChart>
        <c:scatterStyle val="smoothMarker"/>
        <c:varyColors val="0"/>
        <c:ser>
          <c:idx val="0"/>
          <c:order val="0"/>
          <c:marker>
            <c:symbol val="none"/>
          </c:marker>
          <c:xVal>
            <c:numRef>
              <c:f>Sheet1!$A$13:$A$18</c:f>
              <c:numCache>
                <c:formatCode>General</c:formatCode>
                <c:ptCount val="6"/>
                <c:pt idx="0">
                  <c:v>0.75800000000000045</c:v>
                </c:pt>
                <c:pt idx="1">
                  <c:v>0.39800000000000035</c:v>
                </c:pt>
                <c:pt idx="2">
                  <c:v>0.19400000000000001</c:v>
                </c:pt>
                <c:pt idx="3">
                  <c:v>9.5000000000000043E-2</c:v>
                </c:pt>
                <c:pt idx="4">
                  <c:v>4.8000000000000001E-2</c:v>
                </c:pt>
                <c:pt idx="5">
                  <c:v>1.0999999999999998E-2</c:v>
                </c:pt>
              </c:numCache>
            </c:numRef>
          </c:xVal>
          <c:yVal>
            <c:numRef>
              <c:f>Sheet1!$B$13:$B$18</c:f>
              <c:numCache>
                <c:formatCode>0.00E+00</c:formatCode>
                <c:ptCount val="6"/>
                <c:pt idx="0">
                  <c:v>160000</c:v>
                </c:pt>
                <c:pt idx="1">
                  <c:v>80000</c:v>
                </c:pt>
                <c:pt idx="2">
                  <c:v>40000</c:v>
                </c:pt>
                <c:pt idx="3">
                  <c:v>20000</c:v>
                </c:pt>
                <c:pt idx="4">
                  <c:v>10000</c:v>
                </c:pt>
                <c:pt idx="5">
                  <c:v>5000</c:v>
                </c:pt>
              </c:numCache>
            </c:numRef>
          </c:yVal>
          <c:smooth val="1"/>
        </c:ser>
        <c:dLbls>
          <c:showLegendKey val="0"/>
          <c:showVal val="0"/>
          <c:showCatName val="0"/>
          <c:showSerName val="0"/>
          <c:showPercent val="0"/>
          <c:showBubbleSize val="0"/>
        </c:dLbls>
        <c:axId val="114638208"/>
        <c:axId val="114886144"/>
      </c:scatterChart>
      <c:valAx>
        <c:axId val="114638208"/>
        <c:scaling>
          <c:orientation val="minMax"/>
        </c:scaling>
        <c:delete val="0"/>
        <c:axPos val="b"/>
        <c:title>
          <c:tx>
            <c:rich>
              <a:bodyPr/>
              <a:lstStyle/>
              <a:p>
                <a:pPr>
                  <a:defRPr/>
                </a:pPr>
                <a:r>
                  <a:rPr lang="en-GB"/>
                  <a:t>Optica density</a:t>
                </a:r>
              </a:p>
            </c:rich>
          </c:tx>
          <c:overlay val="0"/>
        </c:title>
        <c:numFmt formatCode="General" sourceLinked="1"/>
        <c:majorTickMark val="out"/>
        <c:minorTickMark val="none"/>
        <c:tickLblPos val="nextTo"/>
        <c:crossAx val="114886144"/>
        <c:crosses val="autoZero"/>
        <c:crossBetween val="midCat"/>
      </c:valAx>
      <c:valAx>
        <c:axId val="114886144"/>
        <c:scaling>
          <c:orientation val="minMax"/>
        </c:scaling>
        <c:delete val="0"/>
        <c:axPos val="l"/>
        <c:majorGridlines/>
        <c:title>
          <c:tx>
            <c:rich>
              <a:bodyPr rot="-5400000" vert="horz"/>
              <a:lstStyle/>
              <a:p>
                <a:pPr>
                  <a:defRPr/>
                </a:pPr>
                <a:r>
                  <a:rPr lang="en-GB"/>
                  <a:t>CFU/ml</a:t>
                </a:r>
              </a:p>
            </c:rich>
          </c:tx>
          <c:overlay val="0"/>
        </c:title>
        <c:numFmt formatCode="0.00E+00" sourceLinked="1"/>
        <c:majorTickMark val="out"/>
        <c:minorTickMark val="none"/>
        <c:tickLblPos val="nextTo"/>
        <c:crossAx val="114638208"/>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a:pPr>
            <a:r>
              <a:rPr lang="en-GB" i="1"/>
              <a:t>E.coli</a:t>
            </a:r>
          </a:p>
        </c:rich>
      </c:tx>
      <c:overlay val="0"/>
    </c:title>
    <c:autoTitleDeleted val="0"/>
    <c:plotArea>
      <c:layout/>
      <c:barChart>
        <c:barDir val="col"/>
        <c:grouping val="clustered"/>
        <c:varyColors val="0"/>
        <c:ser>
          <c:idx val="0"/>
          <c:order val="0"/>
          <c:invertIfNegative val="0"/>
          <c:cat>
            <c:strRef>
              <c:f>Sheet1!$B$6:$B$12</c:f>
              <c:strCache>
                <c:ptCount val="7"/>
                <c:pt idx="0">
                  <c:v>NSCH</c:v>
                </c:pt>
                <c:pt idx="1">
                  <c:v>MTA</c:v>
                </c:pt>
                <c:pt idx="2">
                  <c:v> (Mino)</c:v>
                </c:pt>
                <c:pt idx="3">
                  <c:v> (Cip)</c:v>
                </c:pt>
                <c:pt idx="4">
                  <c:v> (Met)</c:v>
                </c:pt>
                <c:pt idx="5">
                  <c:v>(Cip + Met)</c:v>
                </c:pt>
                <c:pt idx="6">
                  <c:v>(Mino+ Cip + Met)</c:v>
                </c:pt>
              </c:strCache>
            </c:strRef>
          </c:cat>
          <c:val>
            <c:numRef>
              <c:f>Sheet1!$C$6:$C$12</c:f>
              <c:numCache>
                <c:formatCode>General</c:formatCode>
                <c:ptCount val="7"/>
                <c:pt idx="0">
                  <c:v>27.58</c:v>
                </c:pt>
                <c:pt idx="1">
                  <c:v>24.17</c:v>
                </c:pt>
                <c:pt idx="2">
                  <c:v>35.54</c:v>
                </c:pt>
                <c:pt idx="3">
                  <c:v>27.05</c:v>
                </c:pt>
                <c:pt idx="4">
                  <c:v>22.1</c:v>
                </c:pt>
                <c:pt idx="5">
                  <c:v>32.65</c:v>
                </c:pt>
                <c:pt idx="6">
                  <c:v>34.46</c:v>
                </c:pt>
              </c:numCache>
            </c:numRef>
          </c:val>
        </c:ser>
        <c:dLbls>
          <c:showLegendKey val="0"/>
          <c:showVal val="0"/>
          <c:showCatName val="0"/>
          <c:showSerName val="0"/>
          <c:showPercent val="0"/>
          <c:showBubbleSize val="0"/>
        </c:dLbls>
        <c:gapWidth val="150"/>
        <c:axId val="114906240"/>
        <c:axId val="114908160"/>
      </c:barChart>
      <c:catAx>
        <c:axId val="114906240"/>
        <c:scaling>
          <c:orientation val="minMax"/>
        </c:scaling>
        <c:delete val="0"/>
        <c:axPos val="b"/>
        <c:title>
          <c:tx>
            <c:rich>
              <a:bodyPr/>
              <a:lstStyle/>
              <a:p>
                <a:pPr>
                  <a:defRPr/>
                </a:pPr>
                <a:r>
                  <a:rPr lang="en-GB"/>
                  <a:t>Diffrent test material</a:t>
                </a:r>
              </a:p>
            </c:rich>
          </c:tx>
          <c:layout>
            <c:manualLayout>
              <c:xMode val="edge"/>
              <c:yMode val="edge"/>
              <c:x val="0.41833442694663181"/>
              <c:y val="0.87868037328667303"/>
            </c:manualLayout>
          </c:layout>
          <c:overlay val="0"/>
        </c:title>
        <c:majorTickMark val="out"/>
        <c:minorTickMark val="none"/>
        <c:tickLblPos val="nextTo"/>
        <c:crossAx val="114908160"/>
        <c:crosses val="autoZero"/>
        <c:auto val="1"/>
        <c:lblAlgn val="ctr"/>
        <c:lblOffset val="100"/>
        <c:noMultiLvlLbl val="0"/>
      </c:catAx>
      <c:valAx>
        <c:axId val="114908160"/>
        <c:scaling>
          <c:orientation val="minMax"/>
        </c:scaling>
        <c:delete val="0"/>
        <c:axPos val="l"/>
        <c:majorGridlines/>
        <c:title>
          <c:tx>
            <c:rich>
              <a:bodyPr rot="-5400000" vert="horz"/>
              <a:lstStyle/>
              <a:p>
                <a:pPr>
                  <a:defRPr/>
                </a:pPr>
                <a:r>
                  <a:rPr lang="en-GB"/>
                  <a:t>Mean inhibitin zone (mm)</a:t>
                </a:r>
              </a:p>
            </c:rich>
          </c:tx>
          <c:overlay val="0"/>
        </c:title>
        <c:numFmt formatCode="General" sourceLinked="1"/>
        <c:majorTickMark val="out"/>
        <c:minorTickMark val="none"/>
        <c:tickLblPos val="nextTo"/>
        <c:crossAx val="11490624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a:pPr>
            <a:r>
              <a:rPr lang="en-US" i="1"/>
              <a:t>E. faecalis(NCTC </a:t>
            </a:r>
            <a:r>
              <a:rPr lang="en-US"/>
              <a:t>755)</a:t>
            </a:r>
          </a:p>
        </c:rich>
      </c:tx>
      <c:overlay val="1"/>
    </c:title>
    <c:autoTitleDeleted val="0"/>
    <c:plotArea>
      <c:layout/>
      <c:barChart>
        <c:barDir val="col"/>
        <c:grouping val="clustered"/>
        <c:varyColors val="0"/>
        <c:ser>
          <c:idx val="0"/>
          <c:order val="0"/>
          <c:invertIfNegative val="0"/>
          <c:cat>
            <c:strRef>
              <c:f>Sheet1!$B$21:$B$27</c:f>
              <c:strCache>
                <c:ptCount val="7"/>
                <c:pt idx="0">
                  <c:v>NSCH</c:v>
                </c:pt>
                <c:pt idx="1">
                  <c:v>MTA</c:v>
                </c:pt>
                <c:pt idx="2">
                  <c:v>e (Mino)</c:v>
                </c:pt>
                <c:pt idx="3">
                  <c:v> (Cip)</c:v>
                </c:pt>
                <c:pt idx="4">
                  <c:v> (Met)</c:v>
                </c:pt>
                <c:pt idx="5">
                  <c:v>(Cip + Met)</c:v>
                </c:pt>
                <c:pt idx="6">
                  <c:v>(Mino+ Cip + Met)</c:v>
                </c:pt>
              </c:strCache>
            </c:strRef>
          </c:cat>
          <c:val>
            <c:numRef>
              <c:f>Sheet1!$C$21:$C$27</c:f>
              <c:numCache>
                <c:formatCode>General</c:formatCode>
                <c:ptCount val="7"/>
                <c:pt idx="0">
                  <c:v>0</c:v>
                </c:pt>
                <c:pt idx="1">
                  <c:v>0</c:v>
                </c:pt>
                <c:pt idx="2">
                  <c:v>27.419999999999987</c:v>
                </c:pt>
                <c:pt idx="3">
                  <c:v>24.21</c:v>
                </c:pt>
                <c:pt idx="4">
                  <c:v>0</c:v>
                </c:pt>
                <c:pt idx="5">
                  <c:v>22.68</c:v>
                </c:pt>
                <c:pt idx="6">
                  <c:v>31.68</c:v>
                </c:pt>
              </c:numCache>
            </c:numRef>
          </c:val>
        </c:ser>
        <c:dLbls>
          <c:showLegendKey val="0"/>
          <c:showVal val="0"/>
          <c:showCatName val="0"/>
          <c:showSerName val="0"/>
          <c:showPercent val="0"/>
          <c:showBubbleSize val="0"/>
        </c:dLbls>
        <c:gapWidth val="150"/>
        <c:axId val="114916352"/>
        <c:axId val="114918528"/>
      </c:barChart>
      <c:catAx>
        <c:axId val="114916352"/>
        <c:scaling>
          <c:orientation val="minMax"/>
        </c:scaling>
        <c:delete val="0"/>
        <c:axPos val="b"/>
        <c:title>
          <c:tx>
            <c:rich>
              <a:bodyPr/>
              <a:lstStyle/>
              <a:p>
                <a:pPr>
                  <a:defRPr/>
                </a:pPr>
                <a:r>
                  <a:rPr lang="en-GB"/>
                  <a:t>Test material</a:t>
                </a:r>
              </a:p>
            </c:rich>
          </c:tx>
          <c:overlay val="0"/>
        </c:title>
        <c:majorTickMark val="out"/>
        <c:minorTickMark val="none"/>
        <c:tickLblPos val="nextTo"/>
        <c:crossAx val="114918528"/>
        <c:crosses val="autoZero"/>
        <c:auto val="1"/>
        <c:lblAlgn val="ctr"/>
        <c:lblOffset val="100"/>
        <c:noMultiLvlLbl val="0"/>
      </c:catAx>
      <c:valAx>
        <c:axId val="114918528"/>
        <c:scaling>
          <c:orientation val="minMax"/>
        </c:scaling>
        <c:delete val="0"/>
        <c:axPos val="l"/>
        <c:majorGridlines/>
        <c:title>
          <c:tx>
            <c:rich>
              <a:bodyPr rot="-5400000" vert="horz"/>
              <a:lstStyle/>
              <a:p>
                <a:pPr>
                  <a:defRPr/>
                </a:pPr>
                <a:r>
                  <a:rPr lang="en-US"/>
                  <a:t>Mean inhibition zone (mm)</a:t>
                </a:r>
              </a:p>
            </c:rich>
          </c:tx>
          <c:layout>
            <c:manualLayout>
              <c:xMode val="edge"/>
              <c:yMode val="edge"/>
              <c:x val="3.0555555555555572E-2"/>
              <c:y val="0.26892534266550017"/>
            </c:manualLayout>
          </c:layout>
          <c:overlay val="0"/>
        </c:title>
        <c:numFmt formatCode="General" sourceLinked="1"/>
        <c:majorTickMark val="out"/>
        <c:minorTickMark val="none"/>
        <c:tickLblPos val="nextTo"/>
        <c:crossAx val="11491635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a:pPr>
            <a:r>
              <a:rPr lang="en-US" i="1"/>
              <a:t>P.gingivalis</a:t>
            </a:r>
            <a:r>
              <a:rPr lang="en-US"/>
              <a:t> (W50)</a:t>
            </a:r>
          </a:p>
        </c:rich>
      </c:tx>
      <c:overlay val="1"/>
    </c:title>
    <c:autoTitleDeleted val="0"/>
    <c:plotArea>
      <c:layout/>
      <c:barChart>
        <c:barDir val="col"/>
        <c:grouping val="clustered"/>
        <c:varyColors val="0"/>
        <c:ser>
          <c:idx val="0"/>
          <c:order val="0"/>
          <c:invertIfNegative val="0"/>
          <c:val>
            <c:numRef>
              <c:f>Sheet1!$C$40:$C$46</c:f>
              <c:numCache>
                <c:formatCode>General</c:formatCode>
                <c:ptCount val="7"/>
                <c:pt idx="0">
                  <c:v>23</c:v>
                </c:pt>
                <c:pt idx="1">
                  <c:v>30.04</c:v>
                </c:pt>
                <c:pt idx="2">
                  <c:v>33.67</c:v>
                </c:pt>
                <c:pt idx="3">
                  <c:v>35.050000000000004</c:v>
                </c:pt>
                <c:pt idx="4">
                  <c:v>21.21</c:v>
                </c:pt>
                <c:pt idx="5">
                  <c:v>32.120000000000012</c:v>
                </c:pt>
                <c:pt idx="6">
                  <c:v>33.49</c:v>
                </c:pt>
              </c:numCache>
            </c:numRef>
          </c:val>
        </c:ser>
        <c:dLbls>
          <c:showLegendKey val="0"/>
          <c:showVal val="0"/>
          <c:showCatName val="0"/>
          <c:showSerName val="0"/>
          <c:showPercent val="0"/>
          <c:showBubbleSize val="0"/>
        </c:dLbls>
        <c:gapWidth val="150"/>
        <c:axId val="118113408"/>
        <c:axId val="118115328"/>
      </c:barChart>
      <c:catAx>
        <c:axId val="118113408"/>
        <c:scaling>
          <c:orientation val="minMax"/>
        </c:scaling>
        <c:delete val="0"/>
        <c:axPos val="b"/>
        <c:title>
          <c:tx>
            <c:rich>
              <a:bodyPr/>
              <a:lstStyle/>
              <a:p>
                <a:pPr>
                  <a:defRPr/>
                </a:pPr>
                <a:r>
                  <a:rPr lang="en-US"/>
                  <a:t>Test material</a:t>
                </a:r>
              </a:p>
            </c:rich>
          </c:tx>
          <c:overlay val="0"/>
        </c:title>
        <c:majorTickMark val="out"/>
        <c:minorTickMark val="none"/>
        <c:tickLblPos val="nextTo"/>
        <c:crossAx val="118115328"/>
        <c:crosses val="autoZero"/>
        <c:auto val="1"/>
        <c:lblAlgn val="ctr"/>
        <c:lblOffset val="100"/>
        <c:noMultiLvlLbl val="0"/>
      </c:catAx>
      <c:valAx>
        <c:axId val="118115328"/>
        <c:scaling>
          <c:orientation val="minMax"/>
        </c:scaling>
        <c:delete val="0"/>
        <c:axPos val="l"/>
        <c:majorGridlines/>
        <c:title>
          <c:tx>
            <c:rich>
              <a:bodyPr rot="-5400000" vert="horz"/>
              <a:lstStyle/>
              <a:p>
                <a:pPr>
                  <a:defRPr/>
                </a:pPr>
                <a:r>
                  <a:rPr lang="en-US"/>
                  <a:t>Mean  inhibition zone (mm)</a:t>
                </a:r>
              </a:p>
            </c:rich>
          </c:tx>
          <c:overlay val="0"/>
        </c:title>
        <c:numFmt formatCode="General" sourceLinked="1"/>
        <c:majorTickMark val="out"/>
        <c:minorTickMark val="none"/>
        <c:tickLblPos val="nextTo"/>
        <c:crossAx val="11811340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a:pPr>
            <a:r>
              <a:rPr lang="en-US" i="1"/>
              <a:t>F.  nucleatum </a:t>
            </a:r>
            <a:r>
              <a:rPr lang="en-US"/>
              <a:t>(ACTC 10953)</a:t>
            </a:r>
          </a:p>
        </c:rich>
      </c:tx>
      <c:layout>
        <c:manualLayout>
          <c:xMode val="edge"/>
          <c:yMode val="edge"/>
          <c:x val="0.21011811023622062"/>
          <c:y val="0"/>
        </c:manualLayout>
      </c:layout>
      <c:overlay val="1"/>
    </c:title>
    <c:autoTitleDeleted val="0"/>
    <c:plotArea>
      <c:layout/>
      <c:barChart>
        <c:barDir val="col"/>
        <c:grouping val="clustered"/>
        <c:varyColors val="0"/>
        <c:ser>
          <c:idx val="0"/>
          <c:order val="0"/>
          <c:invertIfNegative val="0"/>
          <c:cat>
            <c:strRef>
              <c:f>Sheet1!$B$58:$B$64</c:f>
              <c:strCache>
                <c:ptCount val="7"/>
                <c:pt idx="0">
                  <c:v>NSCH</c:v>
                </c:pt>
                <c:pt idx="1">
                  <c:v>MTA</c:v>
                </c:pt>
                <c:pt idx="2">
                  <c:v>e (Mino)</c:v>
                </c:pt>
                <c:pt idx="3">
                  <c:v> (Cip)</c:v>
                </c:pt>
                <c:pt idx="4">
                  <c:v> (Met)</c:v>
                </c:pt>
                <c:pt idx="5">
                  <c:v>(Cip + Met)</c:v>
                </c:pt>
                <c:pt idx="6">
                  <c:v>(Mino+ Cip + Met)</c:v>
                </c:pt>
              </c:strCache>
            </c:strRef>
          </c:cat>
          <c:val>
            <c:numRef>
              <c:f>Sheet1!$C$58:$C$64</c:f>
              <c:numCache>
                <c:formatCode>General</c:formatCode>
                <c:ptCount val="7"/>
                <c:pt idx="0">
                  <c:v>0</c:v>
                </c:pt>
                <c:pt idx="1">
                  <c:v>25.55</c:v>
                </c:pt>
                <c:pt idx="2">
                  <c:v>43.42</c:v>
                </c:pt>
                <c:pt idx="3">
                  <c:v>43.02</c:v>
                </c:pt>
                <c:pt idx="4">
                  <c:v>34.44</c:v>
                </c:pt>
                <c:pt idx="5">
                  <c:v>40.230000000000011</c:v>
                </c:pt>
                <c:pt idx="6">
                  <c:v>41.03</c:v>
                </c:pt>
              </c:numCache>
            </c:numRef>
          </c:val>
        </c:ser>
        <c:dLbls>
          <c:showLegendKey val="0"/>
          <c:showVal val="0"/>
          <c:showCatName val="0"/>
          <c:showSerName val="0"/>
          <c:showPercent val="0"/>
          <c:showBubbleSize val="0"/>
        </c:dLbls>
        <c:gapWidth val="150"/>
        <c:axId val="118136192"/>
        <c:axId val="114656768"/>
      </c:barChart>
      <c:catAx>
        <c:axId val="118136192"/>
        <c:scaling>
          <c:orientation val="minMax"/>
        </c:scaling>
        <c:delete val="0"/>
        <c:axPos val="b"/>
        <c:title>
          <c:tx>
            <c:rich>
              <a:bodyPr/>
              <a:lstStyle/>
              <a:p>
                <a:pPr>
                  <a:defRPr/>
                </a:pPr>
                <a:r>
                  <a:rPr lang="en-GB"/>
                  <a:t>Test material</a:t>
                </a:r>
              </a:p>
            </c:rich>
          </c:tx>
          <c:overlay val="0"/>
        </c:title>
        <c:majorTickMark val="out"/>
        <c:minorTickMark val="none"/>
        <c:tickLblPos val="nextTo"/>
        <c:crossAx val="114656768"/>
        <c:crosses val="autoZero"/>
        <c:auto val="1"/>
        <c:lblAlgn val="ctr"/>
        <c:lblOffset val="100"/>
        <c:noMultiLvlLbl val="0"/>
      </c:catAx>
      <c:valAx>
        <c:axId val="114656768"/>
        <c:scaling>
          <c:orientation val="minMax"/>
        </c:scaling>
        <c:delete val="0"/>
        <c:axPos val="l"/>
        <c:majorGridlines/>
        <c:title>
          <c:tx>
            <c:rich>
              <a:bodyPr rot="-5400000" vert="horz"/>
              <a:lstStyle/>
              <a:p>
                <a:pPr>
                  <a:defRPr/>
                </a:pPr>
                <a:r>
                  <a:rPr lang="en-US"/>
                  <a:t>Mean  inhibition zone (mm)</a:t>
                </a:r>
              </a:p>
            </c:rich>
          </c:tx>
          <c:overlay val="0"/>
        </c:title>
        <c:numFmt formatCode="General" sourceLinked="1"/>
        <c:majorTickMark val="out"/>
        <c:minorTickMark val="none"/>
        <c:tickLblPos val="nextTo"/>
        <c:crossAx val="1181361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83A85-2099-430D-AC21-4BE7DE691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308</Pages>
  <Words>56823</Words>
  <Characters>323894</Characters>
  <Application>Microsoft Office Word</Application>
  <DocSecurity>0</DocSecurity>
  <Lines>2699</Lines>
  <Paragraphs>759</Paragraphs>
  <ScaleCrop>false</ScaleCrop>
  <HeadingPairs>
    <vt:vector size="2" baseType="variant">
      <vt:variant>
        <vt:lpstr>Title</vt:lpstr>
      </vt:variant>
      <vt:variant>
        <vt:i4>1</vt:i4>
      </vt:variant>
    </vt:vector>
  </HeadingPairs>
  <TitlesOfParts>
    <vt:vector size="1" baseType="lpstr">
      <vt:lpstr>Studies on materials and techniques to enhance clinical outcomes for non-vital immature permanent incisors.</vt:lpstr>
    </vt:vector>
  </TitlesOfParts>
  <Company>University of Leeds</Company>
  <LinksUpToDate>false</LinksUpToDate>
  <CharactersWithSpaces>379958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Studies on materials and techniques to enhance clinical outcomes for non-vital immature permanent incisors.</dc:title>
  <dc:creator>2013 THE UNIVERSITY OF LEEDS WAGEH ALI TWATI</dc:creator>
  <cp:lastModifiedBy>wageh</cp:lastModifiedBy>
  <cp:revision>55</cp:revision>
  <cp:lastPrinted>2013-10-28T21:34:00Z</cp:lastPrinted>
  <dcterms:created xsi:type="dcterms:W3CDTF">2013-07-16T09:37:00Z</dcterms:created>
  <dcterms:modified xsi:type="dcterms:W3CDTF">2013-10-29T14:35:00Z</dcterms:modified>
</cp:coreProperties>
</file>